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50" w:name="年11月4日盘前简报"/>
    <w:p>
      <w:pPr>
        <w:pStyle w:val="Heading1"/>
      </w:pPr>
      <w:r>
        <w:t xml:space="preserve">📅 </w:t>
      </w:r>
      <w:r>
        <w:rPr>
          <w:rFonts w:hint="eastAsia"/>
        </w:rPr>
        <w:t xml:space="preserve">2026年11月4日盘前简报</w:t>
      </w:r>
    </w:p>
    <w:bookmarkStart w:id="11" w:name="隔夜全球市场"/>
    <w:p>
      <w:pPr>
        <w:pStyle w:val="Heading2"/>
      </w:pPr>
      <w:r>
        <w:t xml:space="preserve">🌍 </w:t>
      </w:r>
      <w:r>
        <w:rPr>
          <w:rFonts w:hint="eastAsia"/>
        </w:rPr>
        <w:t xml:space="preserve">隔夜全球市场</w:t>
      </w:r>
    </w:p>
    <w:bookmarkStart w:id="9" w:name="美股与核心半导体"/>
    <w:p>
      <w:pPr>
        <w:pStyle w:val="Heading3"/>
      </w:pPr>
      <w:r>
        <w:t xml:space="preserve">📈 </w:t>
      </w:r>
      <w:r>
        <w:rPr>
          <w:rFonts w:hint="eastAsia"/>
        </w:rPr>
        <w:t xml:space="preserve">美股与核心半导体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市场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收盘点位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涨跌幅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道琼斯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51786.72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📉 -0.38%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纳斯达克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25372.01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📈 +0.83%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标普500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7568.92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📈 +0.36%</w:t>
            </w:r>
          </w:p>
        </w:tc>
      </w:tr>
    </w:tbl>
    <w:p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核心半导体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收盘价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涨跌幅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英伟达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206.69美元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📈 +2.29%</w:t>
            </w:r>
          </w:p>
        </w:tc>
      </w:tr>
      <w:tr>
        <w:tc>
          <w:tcPr/>
          <w:p>
            <w:pPr>
              <w:pStyle w:val="Compact"/>
            </w:pPr>
            <w:r>
              <w:t xml:space="preserve">AMD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483.90美元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📈 +3.65%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台积电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404.80美元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📈 +1.55%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博通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332.13美元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📈 +3.07%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美光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855.10美元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📈 +2.58%</w:t>
            </w:r>
          </w:p>
        </w:tc>
      </w:tr>
    </w:tbl>
    <w:p>
      <w:pPr>
        <w:pStyle w:val="Compact"/>
        <w:numPr>
          <w:ilvl w:val="0"/>
          <w:numId w:val="1001"/>
        </w:numPr>
      </w:pPr>
      <w:r>
        <w:t xml:space="preserve">🟢 </w:t>
      </w:r>
      <w:r>
        <w:rPr>
          <w:rFonts w:hint="eastAsia"/>
        </w:rPr>
        <w:t xml:space="preserve">纳指及五只核心半导体股全部上涨，AMD、博通、美光涨幅居前，有利于A股科技板块出现超跌修复预期。</w:t>
      </w:r>
    </w:p>
    <w:p>
      <w:pPr>
        <w:pStyle w:val="Compact"/>
        <w:numPr>
          <w:ilvl w:val="0"/>
          <w:numId w:val="1001"/>
        </w:numPr>
      </w:pPr>
      <w:r>
        <w:t xml:space="preserve">⚠️ </w:t>
      </w:r>
      <w:r>
        <w:rPr>
          <w:rFonts w:hint="eastAsia"/>
        </w:rPr>
        <w:t xml:space="preserve">A股半导体、通信设备前一交易日分别净流出131.43亿元、100.91亿元，海外映射只能提供情绪修复，不能抵消国内筹码结构破坏。</w:t>
      </w:r>
    </w:p>
    <w:p>
      <w:pPr>
        <w:pStyle w:val="Compact"/>
        <w:numPr>
          <w:ilvl w:val="0"/>
          <w:numId w:val="1001"/>
        </w:numPr>
      </w:pPr>
      <w:r>
        <w:t xml:space="preserve">💡 </w:t>
      </w:r>
      <w:r>
        <w:rPr>
          <w:rFonts w:hint="eastAsia"/>
        </w:rPr>
        <w:t xml:space="preserve">科技方向今日重点观察低开后的承接和资金回流，不把美股上涨直接等同于A股趋势反转。</w:t>
      </w:r>
    </w:p>
    <w:bookmarkEnd w:id="9"/>
    <w:bookmarkStart w:id="10" w:name="大宗商品与海外风险资产"/>
    <w:p>
      <w:pPr>
        <w:pStyle w:val="Heading3"/>
      </w:pPr>
      <w:r>
        <w:t xml:space="preserve">📊 </w:t>
      </w:r>
      <w:r>
        <w:rPr>
          <w:rFonts w:hint="eastAsia"/>
        </w:rPr>
        <w:t xml:space="preserve">大宗商品与海外风险资产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WTI原油报96.47美元，📈上涨0.40%，能源与运输成本预期维持高位。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COMEX黄金报3939.432美元，📉下跌0.02%，避险资产暂未出现进一步加速。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伦铜报14019.35，📉下跌0.12%，对有色金属方向形成轻微压制。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富时中国A50期指报12813.2，📈上涨0.28%，盘前指数风险偏好偏正面。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恒生指数上一交易日收于23393.32点，📈上涨0.57%。</w:t>
      </w:r>
    </w:p>
    <w:bookmarkEnd w:id="10"/>
    <w:bookmarkEnd w:id="11"/>
    <w:bookmarkStart w:id="16" w:name="新闻联播政策面深度解读"/>
    <w:p>
      <w:pPr>
        <w:pStyle w:val="Heading2"/>
      </w:pPr>
      <w:r>
        <w:t xml:space="preserve">📰 </w:t>
      </w:r>
      <w:r>
        <w:rPr>
          <w:rFonts w:hint="eastAsia"/>
        </w:rPr>
        <w:t xml:space="preserve">新闻联播政策面深度解读</w:t>
      </w:r>
    </w:p>
    <w:bookmarkStart w:id="12" w:name="数字经济与人工智能"/>
    <w:p>
      <w:pPr>
        <w:pStyle w:val="Heading3"/>
      </w:pPr>
      <w:r>
        <w:t xml:space="preserve">🤖 </w:t>
      </w:r>
      <w:r>
        <w:rPr>
          <w:rFonts w:hint="eastAsia"/>
        </w:rPr>
        <w:t xml:space="preserve">数字经济与人工智能</w:t>
      </w:r>
    </w:p>
    <w:p>
      <w:pPr>
        <w:pStyle w:val="FirstParagraph"/>
      </w:pPr>
      <w:r>
        <w:rPr>
          <w:rFonts w:hint="eastAsia"/>
        </w:rPr>
        <w:t xml:space="preserve">11月3日，国务院总理李强在2026年世界互联网大会乌镇峰会提出：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互联网正在经历智能化变革和系统性跃迁，成为产业变革动能与智能生成力量。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建设开放包容的数字创新生态，同时强调可信可控、数字安全和普惠均衡。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全国政协相关调研议题包括“推进人工智能法治建设”。</w:t>
      </w:r>
    </w:p>
    <w:p>
      <w:pPr>
        <w:pStyle w:val="FirstParagraph"/>
      </w:pPr>
      <w:r>
        <w:rPr>
          <w:rFonts w:hint="eastAsia"/>
          <w:b/>
          <w:bCs/>
        </w:rPr>
        <w:t xml:space="preserve">A股映射：</w:t>
      </w:r>
    </w:p>
    <w:p>
      <w:pPr>
        <w:pStyle w:val="Compact"/>
        <w:numPr>
          <w:ilvl w:val="0"/>
          <w:numId w:val="1004"/>
        </w:numPr>
      </w:pPr>
      <w:r>
        <w:t xml:space="preserve">🟢 </w:t>
      </w:r>
      <w:r>
        <w:rPr>
          <w:rFonts w:hint="eastAsia"/>
        </w:rPr>
        <w:t xml:space="preserve">中长期利好人工智能基础设施、工业互联网、网络安全、数据要素、国产软件及算力应用。</w:t>
      </w:r>
    </w:p>
    <w:p>
      <w:pPr>
        <w:pStyle w:val="Compact"/>
        <w:numPr>
          <w:ilvl w:val="0"/>
          <w:numId w:val="1004"/>
        </w:numPr>
      </w:pPr>
      <w:r>
        <w:t xml:space="preserve">⚠️ </w:t>
      </w:r>
      <w:r>
        <w:rPr>
          <w:rFonts w:hint="eastAsia"/>
        </w:rPr>
        <w:t xml:space="preserve">前一交易日半导体、通信设备、元件和消费电子资金大幅流出，政策逻辑与短期资金方向背离。</w:t>
      </w:r>
    </w:p>
    <w:p>
      <w:pPr>
        <w:pStyle w:val="Compact"/>
        <w:numPr>
          <w:ilvl w:val="0"/>
          <w:numId w:val="1004"/>
        </w:numPr>
      </w:pPr>
      <w:r>
        <w:t xml:space="preserve">💡 </w:t>
      </w:r>
      <w:r>
        <w:rPr>
          <w:rFonts w:hint="eastAsia"/>
        </w:rPr>
        <w:t xml:space="preserve">政策方向可跟踪，但须等待板块资金由净流出转为净流入、核心股重新站回关键均线后再确认。</w:t>
      </w:r>
    </w:p>
    <w:bookmarkEnd w:id="12"/>
    <w:bookmarkStart w:id="13" w:name="黄河流域生态保护与基础设施"/>
    <w:p>
      <w:pPr>
        <w:pStyle w:val="Heading3"/>
      </w:pPr>
      <w:r>
        <w:t xml:space="preserve">🌊 </w:t>
      </w:r>
      <w:r>
        <w:rPr>
          <w:rFonts w:hint="eastAsia"/>
        </w:rPr>
        <w:t xml:space="preserve">黄河流域生态保护与基础设施</w:t>
      </w:r>
    </w:p>
    <w:p>
      <w:pPr>
        <w:pStyle w:val="FirstParagraph"/>
      </w:pPr>
      <w:r>
        <w:rPr>
          <w:rFonts w:hint="eastAsia"/>
        </w:rPr>
        <w:t xml:space="preserve">总书记对黄河保护治理作出重要指示，要求完善大保护、大协同格局，推动黄河流域生态保护和高质量发展。</w:t>
      </w:r>
    </w:p>
    <w:p>
      <w:pPr>
        <w:pStyle w:val="BodyText"/>
      </w:pPr>
      <w:r>
        <w:rPr>
          <w:rFonts w:hint="eastAsia"/>
          <w:b/>
          <w:bCs/>
        </w:rPr>
        <w:t xml:space="preserve">A股映射：</w:t>
      </w:r>
    </w:p>
    <w:p>
      <w:pPr>
        <w:pStyle w:val="Compact"/>
        <w:numPr>
          <w:ilvl w:val="0"/>
          <w:numId w:val="1005"/>
        </w:numPr>
      </w:pPr>
      <w:r>
        <w:t xml:space="preserve">🟢 </w:t>
      </w:r>
      <w:r>
        <w:rPr>
          <w:rFonts w:hint="eastAsia"/>
        </w:rPr>
        <w:t xml:space="preserve">关注水利建设、节水设备、生态修复、环境治理、沿黄基础设施和跨区域水资源配置。</w:t>
      </w:r>
    </w:p>
    <w:p>
      <w:pPr>
        <w:pStyle w:val="Compact"/>
        <w:numPr>
          <w:ilvl w:val="0"/>
          <w:numId w:val="1005"/>
        </w:numPr>
      </w:pPr>
      <w:r>
        <w:t xml:space="preserve">⚠️ </w:t>
      </w:r>
      <w:r>
        <w:rPr>
          <w:rFonts w:hint="eastAsia"/>
        </w:rPr>
        <w:t xml:space="preserve">当前采集数据未提供相关板块资金排名和重点股右侧技术确认，不估算资金强度，不纳入今日高确定性方向。</w:t>
      </w:r>
    </w:p>
    <w:bookmarkEnd w:id="13"/>
    <w:bookmarkStart w:id="14" w:name="外汇政策收紧短期波动管理"/>
    <w:p>
      <w:pPr>
        <w:pStyle w:val="Heading3"/>
      </w:pPr>
      <w:r>
        <w:t xml:space="preserve">💱 </w:t>
      </w:r>
      <w:r>
        <w:rPr>
          <w:rFonts w:hint="eastAsia"/>
        </w:rPr>
        <w:t xml:space="preserve">外汇政策收紧短期波动管理</w:t>
      </w:r>
    </w:p>
    <w:p>
      <w:pPr>
        <w:pStyle w:val="FirstParagraph"/>
      </w:pPr>
      <w:r>
        <w:rPr>
          <w:rFonts w:hint="eastAsia"/>
        </w:rPr>
        <w:t xml:space="preserve">中国人民银行决定自2026年11月15日起，将金融机构外汇存款准备金率由4%提高至6%。</w:t>
      </w:r>
    </w:p>
    <w:p>
      <w:pPr>
        <w:pStyle w:val="BodyText"/>
      </w:pPr>
      <w:r>
        <w:rPr>
          <w:rFonts w:hint="eastAsia"/>
          <w:b/>
          <w:bCs/>
        </w:rPr>
        <w:t xml:space="preserve">A股映射：</w:t>
      </w:r>
    </w:p>
    <w:p>
      <w:pPr>
        <w:pStyle w:val="Compact"/>
        <w:numPr>
          <w:ilvl w:val="0"/>
          <w:numId w:val="1006"/>
        </w:numPr>
      </w:pPr>
      <w:r>
        <w:t xml:space="preserve">🟢 </w:t>
      </w:r>
      <w:r>
        <w:rPr>
          <w:rFonts w:hint="eastAsia"/>
        </w:rPr>
        <w:t xml:space="preserve">政策目标是平衡外汇市场供求、防范汇率短期超调，有助于稳定人民币预期和外资风险偏好。</w:t>
      </w:r>
    </w:p>
    <w:p>
      <w:pPr>
        <w:pStyle w:val="Compact"/>
        <w:numPr>
          <w:ilvl w:val="0"/>
          <w:numId w:val="1006"/>
        </w:numPr>
      </w:pPr>
      <w:r>
        <w:t xml:space="preserve">🟢 </w:t>
      </w:r>
      <w:r>
        <w:rPr>
          <w:rFonts w:hint="eastAsia"/>
        </w:rPr>
        <w:t xml:space="preserve">对航空、造纸、进口原材料、美元负债较高企业的汇兑压力构成边际缓解预期。</w:t>
      </w:r>
    </w:p>
    <w:p>
      <w:pPr>
        <w:pStyle w:val="Compact"/>
        <w:numPr>
          <w:ilvl w:val="0"/>
          <w:numId w:val="1006"/>
        </w:numPr>
      </w:pPr>
      <w:r>
        <w:t xml:space="preserve">⚠️ </w:t>
      </w:r>
      <w:r>
        <w:rPr>
          <w:rFonts w:hint="eastAsia"/>
        </w:rPr>
        <w:t xml:space="preserve">出口占比较高企业可能面临人民币升值预期带来的汇兑和报价压力，需要结合企业套保能力区分。</w:t>
      </w:r>
    </w:p>
    <w:bookmarkEnd w:id="14"/>
    <w:bookmarkStart w:id="15" w:name="一体化电视规模部署"/>
    <w:p>
      <w:pPr>
        <w:pStyle w:val="Heading3"/>
      </w:pPr>
      <w:r>
        <w:t xml:space="preserve">📺 </w:t>
      </w:r>
      <w:r>
        <w:rPr>
          <w:rFonts w:hint="eastAsia"/>
        </w:rPr>
        <w:t xml:space="preserve">一体化电视规模部署</w:t>
      </w:r>
    </w:p>
    <w:p>
      <w:pPr>
        <w:pStyle w:val="FirstParagraph"/>
      </w:pPr>
      <w:r>
        <w:rPr>
          <w:rFonts w:hint="eastAsia"/>
        </w:rPr>
        <w:t xml:space="preserve">国家广播电视总局披露，年底前四大运营商将完成数千万台一体化电视部署应用。</w:t>
      </w:r>
    </w:p>
    <w:p>
      <w:pPr>
        <w:pStyle w:val="BodyText"/>
      </w:pPr>
      <w:r>
        <w:rPr>
          <w:rFonts w:hint="eastAsia"/>
          <w:b/>
          <w:bCs/>
        </w:rPr>
        <w:t xml:space="preserve">A股映射：</w:t>
      </w:r>
    </w:p>
    <w:p>
      <w:pPr>
        <w:pStyle w:val="Compact"/>
        <w:numPr>
          <w:ilvl w:val="0"/>
          <w:numId w:val="1007"/>
        </w:numPr>
      </w:pPr>
      <w:r>
        <w:t xml:space="preserve">🟢 </w:t>
      </w:r>
      <w:r>
        <w:rPr>
          <w:rFonts w:hint="eastAsia"/>
        </w:rPr>
        <w:t xml:space="preserve">关注智能电视、运营商终端、广电网络、音视频芯片、遥控交互及内容平台。</w:t>
      </w:r>
    </w:p>
    <w:p>
      <w:pPr>
        <w:pStyle w:val="Compact"/>
        <w:numPr>
          <w:ilvl w:val="0"/>
          <w:numId w:val="1007"/>
        </w:numPr>
      </w:pPr>
      <w:r>
        <w:t xml:space="preserve">⚠️ </w:t>
      </w:r>
      <w:r>
        <w:rPr>
          <w:rFonts w:hint="eastAsia"/>
        </w:rPr>
        <w:t xml:space="preserve">采集源未提供对应板块资金与重点标的技术验证，不估算订单弹性，不作为盘前直接交易依据。</w:t>
      </w:r>
    </w:p>
    <w:bookmarkEnd w:id="15"/>
    <w:bookmarkEnd w:id="16"/>
    <w:bookmarkStart w:id="17" w:name="今日公告"/>
    <w:p>
      <w:pPr>
        <w:pStyle w:val="Heading2"/>
      </w:pPr>
      <w:r>
        <w:t xml:space="preserve">📢 </w:t>
      </w:r>
      <w:r>
        <w:rPr>
          <w:rFonts w:hint="eastAsia"/>
        </w:rPr>
        <w:t xml:space="preserve">今日公告</w:t>
      </w:r>
    </w:p>
    <w:p>
      <w:pPr>
        <w:pStyle w:val="FirstParagraph"/>
      </w:pPr>
      <w:r>
        <w:rPr>
          <w:rFonts w:hint="eastAsia"/>
        </w:rPr>
        <w:t xml:space="preserve">公告来源为巨潮资讯官方历史公告接口，覆盖沪深两市2026年11月4日公告。</w:t>
      </w:r>
    </w:p>
    <w:p>
      <w:pPr>
        <w:pStyle w:val="Compact"/>
        <w:numPr>
          <w:ilvl w:val="0"/>
          <w:numId w:val="1008"/>
        </w:numPr>
      </w:pPr>
      <w:r>
        <w:t xml:space="preserve">🟢</w:t>
      </w:r>
      <w:r>
        <w:t xml:space="preserve"> </w:t>
      </w:r>
      <w:r>
        <w:rPr>
          <w:rFonts w:hint="eastAsia"/>
          <w:b/>
          <w:bCs/>
        </w:rPr>
        <w:t xml:space="preserve">长鑫科技（688825）</w:t>
      </w:r>
      <w:r>
        <w:rPr>
          <w:rFonts w:hint="eastAsia"/>
        </w:rPr>
        <w:t xml:space="preserve">：董事长提议将股份回购金额由10亿元—20亿元提高至25亿元—50亿元。核心催化：官方公告确认回购金额上调，三季报营业收入和净利润同比增长形成基本面支持；主要风险：11月3日主力净流出29.39亿元，TickFlow日K评级为D，股价仍处于MA20和MA60下方。</w:t>
      </w:r>
    </w:p>
    <w:p>
      <w:pPr>
        <w:pStyle w:val="Compact"/>
        <w:numPr>
          <w:ilvl w:val="0"/>
          <w:numId w:val="1008"/>
        </w:numPr>
      </w:pPr>
      <w:r>
        <w:t xml:space="preserve">🟢</w:t>
      </w:r>
      <w:r>
        <w:t xml:space="preserve"> </w:t>
      </w:r>
      <w:r>
        <w:rPr>
          <w:rFonts w:hint="eastAsia"/>
          <w:b/>
          <w:bCs/>
        </w:rPr>
        <w:t xml:space="preserve">永鼎股份（600105）</w:t>
      </w:r>
      <w:r>
        <w:rPr>
          <w:rFonts w:hint="eastAsia"/>
        </w:rPr>
        <w:t xml:space="preserve">：董事长提议公司回购股份。核心催化：官方回购提议有助于强化市值管理预期；主要风险：采集数据未提供回购金额、资金流和右侧技术评级，不估算回购支撑力度。</w:t>
      </w:r>
    </w:p>
    <w:p>
      <w:pPr>
        <w:pStyle w:val="Compact"/>
        <w:numPr>
          <w:ilvl w:val="0"/>
          <w:numId w:val="1008"/>
        </w:numPr>
      </w:pPr>
      <w:r>
        <w:t xml:space="preserve">🟢</w:t>
      </w:r>
      <w:r>
        <w:t xml:space="preserve"> </w:t>
      </w:r>
      <w:r>
        <w:rPr>
          <w:rFonts w:hint="eastAsia"/>
          <w:b/>
          <w:bCs/>
        </w:rPr>
        <w:t xml:space="preserve">均胜电子（600699）</w:t>
      </w:r>
      <w:r>
        <w:rPr>
          <w:rFonts w:hint="eastAsia"/>
        </w:rPr>
        <w:t xml:space="preserve">：披露集中竞价回购股份方案。核心催化：正式回购方案对股价预期形成支撑；主要风险：采集数据未提供方案金额、执行进度及当日资金承接，不据此直接追涨。</w:t>
      </w:r>
    </w:p>
    <w:p>
      <w:pPr>
        <w:pStyle w:val="Compact"/>
        <w:numPr>
          <w:ilvl w:val="0"/>
          <w:numId w:val="1008"/>
        </w:numPr>
      </w:pPr>
      <w:r>
        <w:t xml:space="preserve">🟢</w:t>
      </w:r>
      <w:r>
        <w:t xml:space="preserve"> </w:t>
      </w:r>
      <w:r>
        <w:rPr>
          <w:rFonts w:hint="eastAsia"/>
          <w:b/>
          <w:bCs/>
        </w:rPr>
        <w:t xml:space="preserve">华海清科（688120）</w:t>
      </w:r>
      <w:r>
        <w:rPr>
          <w:rFonts w:hint="eastAsia"/>
        </w:rPr>
        <w:t xml:space="preserve">：披露集中竞价回购股份预案。核心催化：回购预案叠加半导体设备国产化方向；主要风险：半导体行业上一交易日主力净流出131.43亿元，板块资金压力仍大。</w:t>
      </w:r>
    </w:p>
    <w:p>
      <w:pPr>
        <w:pStyle w:val="Compact"/>
        <w:numPr>
          <w:ilvl w:val="0"/>
          <w:numId w:val="1008"/>
        </w:numPr>
      </w:pPr>
      <w:r>
        <w:t xml:space="preserve">🔴</w:t>
      </w:r>
      <w:r>
        <w:t xml:space="preserve"> </w:t>
      </w:r>
      <w:r>
        <w:rPr>
          <w:rFonts w:hint="eastAsia"/>
          <w:b/>
          <w:bCs/>
        </w:rPr>
        <w:t xml:space="preserve">山鹰国际（600567）</w:t>
      </w:r>
      <w:r>
        <w:rPr>
          <w:rFonts w:hint="eastAsia"/>
        </w:rPr>
        <w:t xml:space="preserve">：实际控制人、董事长收到中国证监会立案告知书。核心催化：不存在可确认的正向公告催化；主要风险：监管立案可能导致风险偏好快速下降，应列入回避清单。</w:t>
      </w:r>
    </w:p>
    <w:p>
      <w:pPr>
        <w:pStyle w:val="Compact"/>
        <w:numPr>
          <w:ilvl w:val="0"/>
          <w:numId w:val="1008"/>
        </w:numPr>
      </w:pPr>
      <w:r>
        <w:t xml:space="preserve">🔴</w:t>
      </w:r>
      <w:r>
        <w:t xml:space="preserve"> </w:t>
      </w:r>
      <w:r>
        <w:rPr>
          <w:rFonts w:hint="eastAsia"/>
          <w:b/>
          <w:bCs/>
        </w:rPr>
        <w:t xml:space="preserve">国晟科技（603778）</w:t>
      </w:r>
      <w:r>
        <w:rPr>
          <w:rFonts w:hint="eastAsia"/>
        </w:rPr>
        <w:t xml:space="preserve">：重要控股子公司业务临时停产。核心催化：不存在可确认的正向经营催化；主要风险：停产可能影响收入、利润及订单交付，应等待公司后续影响评估。</w:t>
      </w:r>
    </w:p>
    <w:p>
      <w:pPr>
        <w:pStyle w:val="Compact"/>
        <w:numPr>
          <w:ilvl w:val="0"/>
          <w:numId w:val="1008"/>
        </w:numPr>
      </w:pPr>
      <w:r>
        <w:t xml:space="preserve">🟠</w:t>
      </w:r>
      <w:r>
        <w:t xml:space="preserve"> </w:t>
      </w:r>
      <w:r>
        <w:rPr>
          <w:rFonts w:hint="eastAsia"/>
          <w:b/>
          <w:bCs/>
        </w:rPr>
        <w:t xml:space="preserve">秦港股份（601326）</w:t>
      </w:r>
      <w:r>
        <w:rPr>
          <w:rFonts w:hint="eastAsia"/>
        </w:rPr>
        <w:t xml:space="preserve">：披露发行股份及支付现金购买资产暨关联交易预案并复牌。核心催化：资产收购预案带来业务整合预期；主要风险：交易不构成确定完成，仍存在审批、估值、整合及复牌波动风险。</w:t>
      </w:r>
    </w:p>
    <w:p>
      <w:pPr>
        <w:pStyle w:val="Compact"/>
        <w:numPr>
          <w:ilvl w:val="0"/>
          <w:numId w:val="1008"/>
        </w:numPr>
      </w:pPr>
      <w:r>
        <w:t xml:space="preserve">🟠</w:t>
      </w:r>
      <w:r>
        <w:t xml:space="preserve"> </w:t>
      </w:r>
      <w:r>
        <w:rPr>
          <w:rFonts w:hint="eastAsia"/>
          <w:b/>
          <w:bCs/>
        </w:rPr>
        <w:t xml:space="preserve">龙蟠科技（603906）</w:t>
      </w:r>
      <w:r>
        <w:rPr>
          <w:rFonts w:hint="eastAsia"/>
        </w:rPr>
        <w:t xml:space="preserve">：披露定增限售股上市流通及重大合同监管工作函回复。核心催化：电池板块前一交易日资金净流入25.32亿元；主要风险：限售股流通形成潜在供给压力，监管回复内容需由市场重新定价。</w:t>
      </w:r>
    </w:p>
    <w:bookmarkEnd w:id="17"/>
    <w:bookmarkStart w:id="18" w:name="经济数据与重要事件"/>
    <w:p>
      <w:pPr>
        <w:pStyle w:val="Heading2"/>
      </w:pPr>
      <w:r>
        <w:t xml:space="preserve">🗓️ </w:t>
      </w:r>
      <w:r>
        <w:rPr>
          <w:rFonts w:hint="eastAsia"/>
        </w:rPr>
        <w:t xml:space="preserve">经济数据与重要事件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央行披露10月中期借贷便利净投放为-2000亿元，其他结构性货币政策工具净投放1716亿元。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10月公开市场国债买卖净投放1500亿元，其他期限逆回购净投放4680亿元。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11月3日证监会提出加强监测监控和稳市机制建设，健全“长钱长投”制度生态，推动中长期资金入市。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2026年世界互联网大会乌镇峰会正在举行，数字经济、人工智能、网络安全和互联网治理相关消息可能持续发酵。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采集源未提供11月4日国内外宏观数据公布时点及央行操作日历，相关时间与预测值不估算、不纳入盘前确认。</w:t>
      </w:r>
    </w:p>
    <w:bookmarkEnd w:id="18"/>
    <w:bookmarkStart w:id="19" w:name="全球事件"/>
    <w:p>
      <w:pPr>
        <w:pStyle w:val="Heading2"/>
      </w:pPr>
      <w:r>
        <w:t xml:space="preserve">🌐 </w:t>
      </w:r>
      <w:r>
        <w:rPr>
          <w:rFonts w:hint="eastAsia"/>
        </w:rPr>
        <w:t xml:space="preserve">全球事件</w:t>
      </w:r>
    </w:p>
    <w:p>
      <w:pPr>
        <w:pStyle w:val="Compact"/>
        <w:numPr>
          <w:ilvl w:val="0"/>
          <w:numId w:val="1010"/>
        </w:numPr>
      </w:pPr>
      <w:r>
        <w:t xml:space="preserve">🔴 </w:t>
      </w:r>
      <w:r>
        <w:rPr>
          <w:rFonts w:hint="eastAsia"/>
        </w:rPr>
        <w:t xml:space="preserve">美国媒体称美国对伊朗格什姆岛发动有限打击，伊朗方面在新闻联播播出时尚未回应。</w:t>
      </w:r>
    </w:p>
    <w:p>
      <w:pPr>
        <w:pStyle w:val="Compact"/>
        <w:numPr>
          <w:ilvl w:val="0"/>
          <w:numId w:val="1010"/>
        </w:numPr>
      </w:pPr>
      <w:r>
        <w:t xml:space="preserve">🔴 </w:t>
      </w:r>
      <w:r>
        <w:rPr>
          <w:rFonts w:hint="eastAsia"/>
        </w:rPr>
        <w:t xml:space="preserve">伊朗革命卫队此前宣布在霍尔木兹海峡东部摧毁一架美军MQ-9无人机，并俘获两架侦察无人机。</w:t>
      </w:r>
    </w:p>
    <w:p>
      <w:pPr>
        <w:pStyle w:val="Compact"/>
        <w:numPr>
          <w:ilvl w:val="0"/>
          <w:numId w:val="1010"/>
        </w:numPr>
      </w:pPr>
      <w:r>
        <w:t xml:space="preserve">🔴 </w:t>
      </w:r>
      <w:r>
        <w:rPr>
          <w:rFonts w:hint="eastAsia"/>
        </w:rPr>
        <w:t xml:space="preserve">也门胡塞武装称遭沙特主导的多国联军109次空袭，中东航运与能源供应风险升温。</w:t>
      </w:r>
    </w:p>
    <w:p>
      <w:pPr>
        <w:pStyle w:val="Compact"/>
        <w:numPr>
          <w:ilvl w:val="0"/>
          <w:numId w:val="1010"/>
        </w:numPr>
      </w:pPr>
      <w:r>
        <w:t xml:space="preserve">🟠 </w:t>
      </w:r>
      <w:r>
        <w:rPr>
          <w:rFonts w:hint="eastAsia"/>
        </w:rPr>
        <w:t xml:space="preserve">俄美乌三方谈判计划于11月10日至11日在阿联酋阿布扎比举行，涉及安全安排、局势降级与人道主义行动。</w:t>
      </w:r>
    </w:p>
    <w:p>
      <w:pPr>
        <w:pStyle w:val="Compact"/>
        <w:numPr>
          <w:ilvl w:val="0"/>
          <w:numId w:val="1010"/>
        </w:numPr>
      </w:pPr>
      <w:r>
        <w:t xml:space="preserve">⚠️ </w:t>
      </w:r>
      <w:r>
        <w:rPr>
          <w:rFonts w:hint="eastAsia"/>
        </w:rPr>
        <w:t xml:space="preserve">中东冲突若升级，首先影响原油、黄金、航运和航空成本；当前WTI上涨0.40%，尚未出现价格失控，但需防范盘中突发消息。</w:t>
      </w:r>
    </w:p>
    <w:bookmarkEnd w:id="19"/>
    <w:bookmarkStart w:id="23" w:name="昨日市场复盘"/>
    <w:p>
      <w:pPr>
        <w:pStyle w:val="Heading2"/>
      </w:pPr>
      <w:r>
        <w:t xml:space="preserve">📉 </w:t>
      </w:r>
      <w:r>
        <w:rPr>
          <w:rFonts w:hint="eastAsia"/>
        </w:rPr>
        <w:t xml:space="preserve">昨日市场复盘</w:t>
      </w:r>
    </w:p>
    <w:bookmarkStart w:id="20" w:name="指数与市场宽度"/>
    <w:p>
      <w:pPr>
        <w:pStyle w:val="Heading3"/>
      </w:pPr>
      <w:r>
        <w:t xml:space="preserve">📊 </w:t>
      </w:r>
      <w:r>
        <w:rPr>
          <w:rFonts w:hint="eastAsia"/>
        </w:rPr>
        <w:t xml:space="preserve">指数与市场宽度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指数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收盘点位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涨跌幅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上证指数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3608.10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📉 -0.82%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深证成指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10876.99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📉 -1.21%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创业板指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2391.65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📉 -2.73%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科创50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1151.28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📉 -3.81%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沪深300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4008.87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📉 -0.20%</w:t>
            </w:r>
          </w:p>
        </w:tc>
      </w:tr>
    </w:tbl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全市场上涨2108家、下跌3309家、平盘153家，涨跌比为0.637。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沪深300仅下跌0.20%，显著强于创业板指和科创50，资金风格偏向权重与价值。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上证、深证市场成交额分别为8108.29亿元和8926.05亿元。</w:t>
      </w:r>
    </w:p>
    <w:bookmarkEnd w:id="20"/>
    <w:bookmarkStart w:id="21" w:name="成交额与结构"/>
    <w:p>
      <w:pPr>
        <w:pStyle w:val="Heading3"/>
      </w:pPr>
      <w:r>
        <w:t xml:space="preserve">🔄 </w:t>
      </w:r>
      <w:r>
        <w:rPr>
          <w:rFonts w:hint="eastAsia"/>
        </w:rPr>
        <w:t xml:space="preserve">成交额与结构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全市场成交额为17150.87亿元，前一交易日为17951.83亿元。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成交额减少800.96亿元，降幅4.46%，量能未配合指数修复。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成交额前十中，中际旭创成交293.19亿元、新易盛174.13亿元、长鑫科技155.20亿元，均伴随明显下跌，科技高位筹码集中释放。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宁德时代成交155.12亿元并上涨3.80%，是成交额核心股中少数获得价格与资金共同支持的标的。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贵州茅台成交108.26亿元并上涨2.84%，技术评级为A，显示低波动权重资产获得资金承接。</w:t>
      </w:r>
    </w:p>
    <w:bookmarkEnd w:id="21"/>
    <w:bookmarkStart w:id="22" w:name="行为金融信号"/>
    <w:p>
      <w:pPr>
        <w:pStyle w:val="Heading3"/>
      </w:pPr>
      <w:r>
        <w:t xml:space="preserve">🧠 </w:t>
      </w:r>
      <w:r>
        <w:rPr>
          <w:rFonts w:hint="eastAsia"/>
        </w:rPr>
        <w:t xml:space="preserve">行为金融信号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行为金融风险评分为1，未触发明显FOMO追涨、估值换手拥挤或亏损厌恶扩散阈值。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但科技核心股集中大跌且成交额巨大，说明局部持仓者风险偏好快速下降。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操作上按原仓位模型执行，不因海外科技股上涨无依据扩大仓位。</w:t>
      </w:r>
    </w:p>
    <w:bookmarkEnd w:id="22"/>
    <w:bookmarkEnd w:id="23"/>
    <w:bookmarkStart w:id="28" w:name="上一交易日资金四榜"/>
    <w:p>
      <w:pPr>
        <w:pStyle w:val="Heading2"/>
      </w:pPr>
      <w:r>
        <w:t xml:space="preserve">💰 </w:t>
      </w:r>
      <w:r>
        <w:rPr>
          <w:rFonts w:hint="eastAsia"/>
        </w:rPr>
        <w:t xml:space="preserve">上一交易日资金四榜</w:t>
      </w:r>
    </w:p>
    <w:p>
      <w:pPr>
        <w:pStyle w:val="FirstParagraph"/>
      </w:pPr>
      <w:r>
        <w:rPr>
          <w:rFonts w:hint="eastAsia"/>
        </w:rPr>
        <w:t xml:space="preserve">资金口径：</w:t>
      </w:r>
      <w:r>
        <w:rPr>
          <w:rFonts w:hint="eastAsia"/>
          <w:b/>
          <w:bCs/>
        </w:rPr>
        <w:t xml:space="preserve">2026年11月3日15:00，previous_close，申万二级行业，来源：华泰skill。</w:t>
      </w:r>
    </w:p>
    <w:bookmarkStart w:id="24" w:name="流出top10板块"/>
    <w:p>
      <w:pPr>
        <w:pStyle w:val="Heading3"/>
      </w:pPr>
      <w:r>
        <w:t xml:space="preserve">💰 </w:t>
      </w:r>
      <w:r>
        <w:rPr>
          <w:rFonts w:hint="eastAsia"/>
        </w:rPr>
        <w:t xml:space="preserve">流出TOP10板块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板块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半导体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-131.43亿元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通信设备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-100.91亿元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元件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-64.64亿元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银行Ⅱ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-26.27亿元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消费电子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-24.65亿元</w:t>
            </w:r>
          </w:p>
        </w:tc>
      </w:tr>
    </w:tbl>
    <w:p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板块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自动化设备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-21.22亿元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通用设备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-18.18亿元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汽车零部件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-15.65亿元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化学制药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-13.67亿元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专用设备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-12.17亿元</w:t>
            </w:r>
          </w:p>
        </w:tc>
      </w:tr>
    </w:tbl>
    <w:bookmarkEnd w:id="24"/>
    <w:bookmarkStart w:id="25" w:name="流出top10个股"/>
    <w:p>
      <w:pPr>
        <w:pStyle w:val="Heading3"/>
      </w:pPr>
      <w:r>
        <w:t xml:space="preserve">💰 </w:t>
      </w:r>
      <w:r>
        <w:rPr>
          <w:rFonts w:hint="eastAsia"/>
        </w:rPr>
        <w:t xml:space="preserve">流出TOP10个股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股票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代码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长鑫科技</w:t>
            </w:r>
          </w:p>
        </w:tc>
        <w:tc>
          <w:tcPr/>
          <w:p>
            <w:pPr>
              <w:pStyle w:val="Compact"/>
            </w:pPr>
            <w:r>
              <w:t xml:space="preserve">688825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-29.39亿元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中际旭创</w:t>
            </w:r>
          </w:p>
        </w:tc>
        <w:tc>
          <w:tcPr/>
          <w:p>
            <w:pPr>
              <w:pStyle w:val="Compact"/>
            </w:pPr>
            <w:r>
              <w:t xml:space="preserve">300308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-27.19亿元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寒武纪</w:t>
            </w:r>
          </w:p>
        </w:tc>
        <w:tc>
          <w:tcPr/>
          <w:p>
            <w:pPr>
              <w:pStyle w:val="Compact"/>
            </w:pPr>
            <w:r>
              <w:t xml:space="preserve">688256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-12.91亿元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天孚通信</w:t>
            </w:r>
          </w:p>
        </w:tc>
        <w:tc>
          <w:tcPr/>
          <w:p>
            <w:pPr>
              <w:pStyle w:val="Compact"/>
            </w:pPr>
            <w:r>
              <w:t xml:space="preserve">300394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-10.89亿元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兆易创新</w:t>
            </w:r>
          </w:p>
        </w:tc>
        <w:tc>
          <w:tcPr/>
          <w:p>
            <w:pPr>
              <w:pStyle w:val="Compact"/>
            </w:pPr>
            <w:r>
              <w:t xml:space="preserve">603986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-10.14亿元</w:t>
            </w:r>
          </w:p>
        </w:tc>
      </w:tr>
    </w:tbl>
    <w:p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股票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代码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胜宏科技</w:t>
            </w:r>
          </w:p>
        </w:tc>
        <w:tc>
          <w:tcPr/>
          <w:p>
            <w:pPr>
              <w:pStyle w:val="Compact"/>
            </w:pPr>
            <w:r>
              <w:t xml:space="preserve">300476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-10.09亿元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新易盛</w:t>
            </w:r>
          </w:p>
        </w:tc>
        <w:tc>
          <w:tcPr/>
          <w:p>
            <w:pPr>
              <w:pStyle w:val="Compact"/>
            </w:pPr>
            <w:r>
              <w:t xml:space="preserve">300502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-9.99亿元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工业富联</w:t>
            </w:r>
          </w:p>
        </w:tc>
        <w:tc>
          <w:tcPr/>
          <w:p>
            <w:pPr>
              <w:pStyle w:val="Compact"/>
            </w:pPr>
            <w:r>
              <w:t xml:space="preserve">601138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-7.96亿元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三环集团</w:t>
            </w:r>
          </w:p>
        </w:tc>
        <w:tc>
          <w:tcPr/>
          <w:p>
            <w:pPr>
              <w:pStyle w:val="Compact"/>
            </w:pPr>
            <w:r>
              <w:t xml:space="preserve">300408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-6.46亿元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生益科技</w:t>
            </w:r>
          </w:p>
        </w:tc>
        <w:tc>
          <w:tcPr/>
          <w:p>
            <w:pPr>
              <w:pStyle w:val="Compact"/>
            </w:pPr>
            <w:r>
              <w:t xml:space="preserve">600183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-6.45亿元</w:t>
            </w:r>
          </w:p>
        </w:tc>
      </w:tr>
    </w:tbl>
    <w:bookmarkEnd w:id="25"/>
    <w:bookmarkStart w:id="26" w:name="流入top10板块"/>
    <w:p>
      <w:pPr>
        <w:pStyle w:val="Heading3"/>
      </w:pPr>
      <w:r>
        <w:t xml:space="preserve">💰 </w:t>
      </w:r>
      <w:r>
        <w:rPr>
          <w:rFonts w:hint="eastAsia"/>
        </w:rPr>
        <w:t xml:space="preserve">流入TOP10板块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板块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主力净流入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电池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+25.32亿元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光伏设备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+8.50亿元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保险Ⅱ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+7.60亿元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电网设备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+4.80亿元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游戏Ⅱ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+4.25亿元</w:t>
            </w:r>
          </w:p>
        </w:tc>
      </w:tr>
    </w:tbl>
    <w:p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板块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主力净流入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化学制品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+4.05亿元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个护用品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+3.44亿元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白酒Ⅱ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+2.99亿元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能源金属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+1.85亿元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饲料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+1.65亿元</w:t>
            </w:r>
          </w:p>
        </w:tc>
      </w:tr>
    </w:tbl>
    <w:bookmarkEnd w:id="26"/>
    <w:bookmarkStart w:id="27" w:name="流入top10个股"/>
    <w:p>
      <w:pPr>
        <w:pStyle w:val="Heading3"/>
      </w:pPr>
      <w:r>
        <w:t xml:space="preserve">💰 </w:t>
      </w:r>
      <w:r>
        <w:rPr>
          <w:rFonts w:hint="eastAsia"/>
        </w:rPr>
        <w:t xml:space="preserve">流入TOP10个股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股票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代码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主力净流入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宁德时代</w:t>
            </w:r>
          </w:p>
        </w:tc>
        <w:tc>
          <w:tcPr/>
          <w:p>
            <w:pPr>
              <w:pStyle w:val="Compact"/>
            </w:pPr>
            <w:r>
              <w:t xml:space="preserve">300750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+12.60亿元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N皇冠</w:t>
            </w:r>
          </w:p>
        </w:tc>
        <w:tc>
          <w:tcPr/>
          <w:p>
            <w:pPr>
              <w:pStyle w:val="Compact"/>
            </w:pPr>
            <w:r>
              <w:t xml:space="preserve">001381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+5.17亿元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阳光电源</w:t>
            </w:r>
          </w:p>
        </w:tc>
        <w:tc>
          <w:tcPr/>
          <w:p>
            <w:pPr>
              <w:pStyle w:val="Compact"/>
            </w:pPr>
            <w:r>
              <w:t xml:space="preserve">300274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+4.99亿元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中国平安</w:t>
            </w:r>
          </w:p>
        </w:tc>
        <w:tc>
          <w:tcPr/>
          <w:p>
            <w:pPr>
              <w:pStyle w:val="Compact"/>
            </w:pPr>
            <w:r>
              <w:t xml:space="preserve">601318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+4.33亿元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圣阳股份</w:t>
            </w:r>
          </w:p>
        </w:tc>
        <w:tc>
          <w:tcPr/>
          <w:p>
            <w:pPr>
              <w:pStyle w:val="Compact"/>
            </w:pPr>
            <w:r>
              <w:t xml:space="preserve">002580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+4.00亿元</w:t>
            </w:r>
          </w:p>
        </w:tc>
      </w:tr>
    </w:tbl>
    <w:p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股票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代码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主力净流入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中芯国际</w:t>
            </w:r>
          </w:p>
        </w:tc>
        <w:tc>
          <w:tcPr/>
          <w:p>
            <w:pPr>
              <w:pStyle w:val="Compact"/>
            </w:pPr>
            <w:r>
              <w:t xml:space="preserve">688981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+3.71亿元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TCL科技</w:t>
            </w:r>
          </w:p>
        </w:tc>
        <w:tc>
          <w:tcPr/>
          <w:p>
            <w:pPr>
              <w:pStyle w:val="Compact"/>
            </w:pPr>
            <w:r>
              <w:t xml:space="preserve">000100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+3.53亿元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慈文传媒</w:t>
            </w:r>
          </w:p>
        </w:tc>
        <w:tc>
          <w:tcPr/>
          <w:p>
            <w:pPr>
              <w:pStyle w:val="Compact"/>
            </w:pPr>
            <w:r>
              <w:t xml:space="preserve">002343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+3.40亿元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太阳电缆</w:t>
            </w:r>
          </w:p>
        </w:tc>
        <w:tc>
          <w:tcPr/>
          <w:p>
            <w:pPr>
              <w:pStyle w:val="Compact"/>
            </w:pPr>
            <w:r>
              <w:t xml:space="preserve">002300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+3.21亿元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太阳能</w:t>
            </w:r>
          </w:p>
        </w:tc>
        <w:tc>
          <w:tcPr/>
          <w:p>
            <w:pPr>
              <w:pStyle w:val="Compact"/>
            </w:pPr>
            <w:r>
              <w:t xml:space="preserve">000591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+3.11亿元</w:t>
            </w:r>
          </w:p>
        </w:tc>
      </w:tr>
    </w:tbl>
    <w:bookmarkEnd w:id="27"/>
    <w:bookmarkEnd w:id="28"/>
    <w:bookmarkStart w:id="34" w:name="两融宽基etf成交额恐慌联合信号"/>
    <w:p>
      <w:pPr>
        <w:pStyle w:val="Heading2"/>
      </w:pPr>
      <w:r>
        <w:t xml:space="preserve">💧 </w:t>
      </w:r>
      <w:r>
        <w:rPr>
          <w:rFonts w:hint="eastAsia"/>
        </w:rPr>
        <w:t xml:space="preserve">两融·宽基ETF·成交额·恐慌联合信号</w:t>
      </w:r>
    </w:p>
    <w:bookmarkStart w:id="29" w:name="两融余额"/>
    <w:p>
      <w:pPr>
        <w:pStyle w:val="Heading3"/>
      </w:pPr>
      <w:r>
        <w:t xml:space="preserve">💳 </w:t>
      </w:r>
      <w:r>
        <w:rPr>
          <w:rFonts w:hint="eastAsia"/>
        </w:rPr>
        <w:t xml:space="preserve">两融余额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实际结算日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两融余额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融资余额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融券余额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2026-11-02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23308.45亿元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23026.56亿元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281.88亿元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2026-10-30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23431.32亿元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23152.93亿元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278.38亿元</w:t>
            </w:r>
          </w:p>
        </w:tc>
      </w:tr>
    </w:tbl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两融余额减少122.87亿元，其中融资余额减少126.37亿元，融券余额增加3.50亿元。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本轮两融下降主要由融资余额收缩驱动，反映杠杆资金主动降低风险暴露；融券余额上升对总量下降形成小幅对冲。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  <w:b/>
          <w:bCs/>
        </w:rPr>
        <w:t xml:space="preserve">T+1滞后，报告日当日两融尚未发布。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实际最新结算日为2026年11月2日，不得表述为11月4日两融增加或减少。</w:t>
      </w:r>
    </w:p>
    <w:bookmarkEnd w:id="29"/>
    <w:bookmarkStart w:id="30" w:name="宽基etf"/>
    <w:p>
      <w:pPr>
        <w:pStyle w:val="Heading3"/>
      </w:pPr>
      <w:r>
        <w:t xml:space="preserve">💹 </w:t>
      </w:r>
      <w:r>
        <w:rPr>
          <w:rFonts w:hint="eastAsia"/>
        </w:rPr>
        <w:t xml:space="preserve">宽基ETF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华泰数据指向11月3日宽基指数ETF净流入508.21亿元。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沪深300ETF华泰柏瑞单日成交190亿元，近5日净流入244.31亿元。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科创50ETF华夏单日成交225亿元，近5日净流入131.29亿元。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创业板ETF易方达单日成交195亿元，近5日净流入111.97亿元。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东财宽基ETF份额主源采集超时，未取得最新份额变化及可复核的估算净申购序列；相关数据不估算、不纳入连续流入确认。</w:t>
      </w:r>
    </w:p>
    <w:bookmarkEnd w:id="30"/>
    <w:bookmarkStart w:id="31" w:name="成交额"/>
    <w:p>
      <w:pPr>
        <w:pStyle w:val="Heading3"/>
      </w:pPr>
      <w:r>
        <w:t xml:space="preserve">🔄 </w:t>
      </w:r>
      <w:r>
        <w:rPr>
          <w:rFonts w:hint="eastAsia"/>
        </w:rPr>
        <w:t xml:space="preserve">成交额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上一交易日全市场成交额17150.87亿元，减少800.96亿元，降幅4.46%。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缩量环境下，权重指数相对抗跌，但科技板块的大额资金流出尚未得到新增成交量承接。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若今日指数反弹但成交额继续下降，应按弱修复处理；只有成交额恢复并伴随科技资金回流，才可提高进攻仓位。</w:t>
      </w:r>
    </w:p>
    <w:bookmarkEnd w:id="31"/>
    <w:bookmarkStart w:id="32" w:name="恐慌代理"/>
    <w:p>
      <w:pPr>
        <w:pStyle w:val="Heading3"/>
      </w:pPr>
      <w:r>
        <w:t xml:space="preserve">😨 </w:t>
      </w:r>
      <w:r>
        <w:rPr>
          <w:rFonts w:hint="eastAsia"/>
        </w:rPr>
        <w:t xml:space="preserve">恐慌代理</w:t>
      </w:r>
    </w:p>
    <w:p>
      <w:pPr>
        <w:pStyle w:val="Compact"/>
        <w:numPr>
          <w:ilvl w:val="0"/>
          <w:numId w:val="1017"/>
        </w:numPr>
      </w:pPr>
      <w:r>
        <w:t xml:space="preserve">300ETF </w:t>
      </w:r>
      <w:r>
        <w:rPr>
          <w:rFonts w:hint="eastAsia"/>
        </w:rPr>
        <w:t xml:space="preserve">QVIX最新结算值为17.82，结算日为2026年11月2日。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前收盘为20.96，下降3.14，降幅14.98%。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20日峰值为22.60，当前较峰值回落21.15%，恐慌指标已出现高位降温。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最新日内非空值21.03仅为盘中记录，不替代结算日口径。</w:t>
      </w:r>
    </w:p>
    <w:bookmarkEnd w:id="32"/>
    <w:bookmarkStart w:id="33" w:name="联合判断"/>
    <w:p>
      <w:pPr>
        <w:pStyle w:val="Heading3"/>
      </w:pPr>
      <w:r>
        <w:t xml:space="preserve">🔗 </w:t>
      </w:r>
      <w:r>
        <w:rPr>
          <w:rFonts w:hint="eastAsia"/>
        </w:rPr>
        <w:t xml:space="preserve">联合判断</w:t>
      </w:r>
    </w:p>
    <w:p>
      <w:pPr>
        <w:pStyle w:val="FirstParagraph"/>
      </w:pPr>
      <w:r>
        <w:rPr>
          <w:rFonts w:hint="eastAsia"/>
          <w:b/>
          <w:bCs/>
        </w:rPr>
        <w:t xml:space="preserve">联合信号状态：数据不足，不可判定。</w:t>
      </w:r>
    </w:p>
    <w:p>
      <w:pPr>
        <w:pStyle w:val="BodyText"/>
      </w:pPr>
      <w:r>
        <w:rPr>
          <w:rFonts w:hint="eastAsia"/>
        </w:rPr>
        <w:t xml:space="preserve">恐慌指标降温已经满足，但宽基ETF最新份额连续增加条件因主源超时无法确认。不得写成“恐慌高位降温且宽基ETF持续流入已确认”，也不以华泰文字性资金结论替代份额序列验证。</w:t>
      </w:r>
    </w:p>
    <w:bookmarkEnd w:id="33"/>
    <w:bookmarkEnd w:id="34"/>
    <w:bookmarkStart w:id="38" w:name="今日操作策略"/>
    <w:p>
      <w:pPr>
        <w:pStyle w:val="Heading2"/>
      </w:pPr>
      <w:r>
        <w:t xml:space="preserve">💡 </w:t>
      </w:r>
      <w:r>
        <w:rPr>
          <w:rFonts w:hint="eastAsia"/>
        </w:rPr>
        <w:t xml:space="preserve">今日操作策略</w:t>
      </w:r>
    </w:p>
    <w:bookmarkStart w:id="35" w:name="进取型最高50仓位"/>
    <w:p>
      <w:pPr>
        <w:pStyle w:val="Heading3"/>
      </w:pPr>
      <w:r>
        <w:t xml:space="preserve">🚀 </w:t>
      </w:r>
      <w:r>
        <w:rPr>
          <w:rFonts w:hint="eastAsia"/>
        </w:rPr>
        <w:t xml:space="preserve">进取型：最高50%仓位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适用条件：主要指数开盘后企稳，成交额恢复，涨跌比回到1以上，且电池、保险、白酒继续获得资金净流入。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仓位结构：20%权重趋势资产、15%电池与光伏观察仓、15%盘中确认方向。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科技超跌反弹只允许日内观察，不因美股半导体上涨追高。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若上证指数跌破前一交易日低点3580.38点，或资金继续大额流出科技板块，将仓位降至40%以下。</w:t>
      </w:r>
    </w:p>
    <w:bookmarkEnd w:id="35"/>
    <w:bookmarkStart w:id="36" w:name="均衡型40仓位"/>
    <w:p>
      <w:pPr>
        <w:pStyle w:val="Heading3"/>
      </w:pPr>
      <w:r>
        <w:t xml:space="preserve">⚖️ </w:t>
      </w:r>
      <w:r>
        <w:rPr>
          <w:rFonts w:hint="eastAsia"/>
        </w:rPr>
        <w:t xml:space="preserve">均衡型：40%仓位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</w:rPr>
        <w:t xml:space="preserve">以沪深300权重、白酒、保险及资金净流入方向为主。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</w:rPr>
        <w:t xml:space="preserve">电池方向等待宁德时代确认承接，不使用开盘冲高作为买入信号。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</w:rPr>
        <w:t xml:space="preserve">保留60%现金，应对中东冲突、汇率政策和科技筹码继续释放。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</w:rPr>
        <w:t xml:space="preserve">这是当前数据下的基准方案。</w:t>
      </w:r>
    </w:p>
    <w:bookmarkEnd w:id="36"/>
    <w:bookmarkStart w:id="37" w:name="保守型25仓位"/>
    <w:p>
      <w:pPr>
        <w:pStyle w:val="Heading3"/>
      </w:pPr>
      <w:r>
        <w:t xml:space="preserve">🛡️ </w:t>
      </w:r>
      <w:r>
        <w:rPr>
          <w:rFonts w:hint="eastAsia"/>
        </w:rPr>
        <w:t xml:space="preserve">保守型：25%仓位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仅保留右侧趋势明确、资金承接稳定的权重资产。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不参与半导体、CPO、PCB及高波动反抽。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若市场成交额继续缩量、下跌家数明显多于上涨家数，维持25%仓位，不做主动扩张。</w:t>
      </w:r>
    </w:p>
    <w:bookmarkEnd w:id="37"/>
    <w:bookmarkEnd w:id="38"/>
    <w:bookmarkStart w:id="39" w:name="市场风格预判"/>
    <w:p>
      <w:pPr>
        <w:pStyle w:val="Heading2"/>
      </w:pPr>
      <w:r>
        <w:t xml:space="preserve">🎯 </w:t>
      </w:r>
      <w:r>
        <w:rPr>
          <w:rFonts w:hint="eastAsia"/>
        </w:rPr>
        <w:t xml:space="preserve">市场风格预判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  <w:b/>
          <w:bCs/>
        </w:rPr>
        <w:t xml:space="preserve">大小盘：</w:t>
      </w:r>
      <w:r>
        <w:rPr>
          <w:rFonts w:hint="eastAsia"/>
        </w:rPr>
        <w:t xml:space="preserve">偏权重。沪深300下跌0.20%，明显强于创业板指和科创50。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  <w:b/>
          <w:bCs/>
        </w:rPr>
        <w:t xml:space="preserve">成长与价值：</w:t>
      </w:r>
      <w:r>
        <w:rPr>
          <w:rFonts w:hint="eastAsia"/>
        </w:rPr>
        <w:t xml:space="preserve">偏价值与低波动权重，科技成长仍处于资金集中流出后的修复观察期。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  <w:b/>
          <w:bCs/>
        </w:rPr>
        <w:t xml:space="preserve">机构与题材：</w:t>
      </w:r>
      <w:r>
        <w:rPr>
          <w:rFonts w:hint="eastAsia"/>
        </w:rPr>
        <w:t xml:space="preserve">机构成交额核心主导，ETF及大市值资产承接强于高波动科技股。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  <w:b/>
          <w:bCs/>
        </w:rPr>
        <w:t xml:space="preserve">进攻与防守：</w:t>
      </w:r>
      <w:r>
        <w:rPr>
          <w:rFonts w:hint="eastAsia"/>
        </w:rPr>
        <w:t xml:space="preserve">总体震荡均衡，结构上防守优先，电池提供局部进攻线索。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  <w:b/>
          <w:bCs/>
        </w:rPr>
        <w:t xml:space="preserve">重点股样本趋势：</w:t>
      </w:r>
      <w:r>
        <w:rPr>
          <w:rFonts w:hint="eastAsia"/>
        </w:rPr>
        <w:t xml:space="preserve">10只重点股中仅贵州茅台评级为A，其余9只评级为D；该数据仅代表重点股样本，不代表全A股趋势宽度。</w:t>
      </w:r>
    </w:p>
    <w:bookmarkEnd w:id="39"/>
    <w:bookmarkStart w:id="43" w:name="投资方向分层"/>
    <w:p>
      <w:pPr>
        <w:pStyle w:val="Heading2"/>
      </w:pPr>
      <w:r>
        <w:t xml:space="preserve">🧭 </w:t>
      </w:r>
      <w:r>
        <w:rPr>
          <w:rFonts w:hint="eastAsia"/>
        </w:rPr>
        <w:t xml:space="preserve">投资方向分层</w:t>
      </w:r>
    </w:p>
    <w:bookmarkStart w:id="40" w:name="可参与白酒与低波动权重"/>
    <w:p>
      <w:pPr>
        <w:pStyle w:val="Heading3"/>
      </w:pPr>
      <w:r>
        <w:t xml:space="preserve">✅ </w:t>
      </w:r>
      <w:r>
        <w:rPr>
          <w:rFonts w:hint="eastAsia"/>
        </w:rPr>
        <w:t xml:space="preserve">可参与：白酒与低波动权重</w:t>
      </w:r>
    </w:p>
    <w:p>
      <w:pPr>
        <w:pStyle w:val="FirstParagraph"/>
      </w:pPr>
      <w:r>
        <w:rPr>
          <w:rFonts w:hint="eastAsia"/>
          <w:b/>
          <w:bCs/>
        </w:rPr>
        <w:t xml:space="preserve">证据链：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白酒Ⅱ上一交易日主力净流入2.99亿元。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贵州茅台上涨2.84%，成交108.26亿元。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TickFlow日K显示贵州茅台评级为A，收盘位于MA20和MA60之上，MA20向上，接近60日高点，量比1.86。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沪深300表现明显强于创业板指和科创50，风格有利于权重资产。</w:t>
      </w:r>
    </w:p>
    <w:p>
      <w:pPr>
        <w:pStyle w:val="FirstParagraph"/>
      </w:pPr>
      <w:r>
        <w:rPr>
          <w:rFonts w:hint="eastAsia"/>
          <w:b/>
          <w:bCs/>
        </w:rPr>
        <w:t xml:space="preserve">核心标的：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  <w:b/>
          <w:bCs/>
        </w:rPr>
        <w:t xml:space="preserve">贵州茅台（600519）</w:t>
      </w:r>
      <w:r>
        <w:rPr>
          <w:rFonts w:hint="eastAsia"/>
        </w:rPr>
        <w:t xml:space="preserve">：核心催化：白酒板块资金净流入、权重风格占优且日K右侧趋势确认；主要风险：RSI为75.43，短线处于偏热区域，技术规则明确要求不追高。</w:t>
      </w:r>
    </w:p>
    <w:p>
      <w:pPr>
        <w:pStyle w:val="FirstParagraph"/>
      </w:pPr>
      <w:r>
        <w:rPr>
          <w:rFonts w:hint="eastAsia"/>
          <w:b/>
          <w:bCs/>
        </w:rPr>
        <w:t xml:space="preserve">触发条件：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收盘站稳1439.10元前高且量比不低于1.2；或缩量回踩MA20后重新放量。</w:t>
      </w:r>
    </w:p>
    <w:p>
      <w:pPr>
        <w:pStyle w:val="FirstParagraph"/>
      </w:pPr>
      <w:r>
        <w:rPr>
          <w:rFonts w:hint="eastAsia"/>
          <w:b/>
          <w:bCs/>
        </w:rPr>
        <w:t xml:space="preserve">失效条件：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</w:rPr>
        <w:t xml:space="preserve">收盘跌破1303.445元ATR证伪参考线，或白酒板块由净流入转为持续净流出。</w:t>
      </w:r>
    </w:p>
    <w:bookmarkEnd w:id="40"/>
    <w:bookmarkStart w:id="41" w:name="只观察电池光伏与电网设备"/>
    <w:p>
      <w:pPr>
        <w:pStyle w:val="Heading3"/>
      </w:pPr>
      <w:r>
        <w:t xml:space="preserve">👀 </w:t>
      </w:r>
      <w:r>
        <w:rPr>
          <w:rFonts w:hint="eastAsia"/>
        </w:rPr>
        <w:t xml:space="preserve">只观察：电池、光伏与电网设备</w:t>
      </w:r>
    </w:p>
    <w:p>
      <w:pPr>
        <w:pStyle w:val="FirstParagraph"/>
      </w:pPr>
      <w:r>
        <w:rPr>
          <w:rFonts w:hint="eastAsia"/>
          <w:b/>
          <w:bCs/>
        </w:rPr>
        <w:t xml:space="preserve">证据链：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</w:rPr>
        <w:t xml:space="preserve">电池、光伏设备、电网设备分别净流入25.32亿元、8.50亿元、4.80亿元。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</w:rPr>
        <w:t xml:space="preserve">宁德时代、阳光电源分别净流入12.60亿元、4.99亿元。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</w:rPr>
        <w:t xml:space="preserve">宁德时代三季报营收同比增长56.19%，净利润同比增长32.89%，PE为13.16倍。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</w:rPr>
        <w:t xml:space="preserve">但宁德时代基于截至11月2日完成日K的技术评级为D，仍低于MA20和MA60。</w:t>
      </w:r>
    </w:p>
    <w:p>
      <w:pPr>
        <w:pStyle w:val="FirstParagraph"/>
      </w:pPr>
      <w:r>
        <w:rPr>
          <w:rFonts w:hint="eastAsia"/>
          <w:b/>
          <w:bCs/>
        </w:rPr>
        <w:t xml:space="preserve">核心标的：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  <w:b/>
          <w:bCs/>
        </w:rPr>
        <w:t xml:space="preserve">宁德时代（300750）</w:t>
      </w:r>
      <w:r>
        <w:rPr>
          <w:rFonts w:hint="eastAsia"/>
        </w:rPr>
        <w:t xml:space="preserve">：核心催化：电池板块资金流入居首，公司净利润同比增长32.89%，个股主力净流入12.60亿元；主要风险：技术评级为D，MA20为259.992元、MA60为324.975元，右侧趋势尚未恢复。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  <w:b/>
          <w:bCs/>
        </w:rPr>
        <w:t xml:space="preserve">阳光电源（300274）</w:t>
      </w:r>
      <w:r>
        <w:rPr>
          <w:rFonts w:hint="eastAsia"/>
        </w:rPr>
        <w:t xml:space="preserve">：核心催化：个股主力净流入4.99亿元，光伏设备板块净流入8.50亿元；主要风险：采集数据未提供其估值和TickFlow日K评级，不估算技术状态。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  <w:b/>
          <w:bCs/>
        </w:rPr>
        <w:t xml:space="preserve">太阳能（000591）</w:t>
      </w:r>
      <w:r>
        <w:rPr>
          <w:rFonts w:hint="eastAsia"/>
        </w:rPr>
        <w:t xml:space="preserve">：核心催化：个股主力净流入3.11亿元并获得光伏设备资金支持；主要风险：缺少重点股估值、业绩和右侧评级交叉验证，不纳入确认买点。</w:t>
      </w:r>
    </w:p>
    <w:p>
      <w:pPr>
        <w:pStyle w:val="FirstParagraph"/>
      </w:pPr>
      <w:r>
        <w:rPr>
          <w:rFonts w:hint="eastAsia"/>
          <w:b/>
          <w:bCs/>
        </w:rPr>
        <w:t xml:space="preserve">触发条件：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</w:rPr>
        <w:t xml:space="preserve">板块连续获得资金流入，宁德时代重新站上MA20并出现缩量回踩不破后的放量确认。</w:t>
      </w:r>
    </w:p>
    <w:p>
      <w:pPr>
        <w:pStyle w:val="FirstParagraph"/>
      </w:pPr>
      <w:r>
        <w:rPr>
          <w:rFonts w:hint="eastAsia"/>
          <w:b/>
          <w:bCs/>
        </w:rPr>
        <w:t xml:space="preserve">失效条件：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</w:rPr>
        <w:t xml:space="preserve">电池板块资金转为净流出，或宁德时代无法收复MA20并重新跌破前一交易日低点。</w:t>
      </w:r>
    </w:p>
    <w:bookmarkEnd w:id="41"/>
    <w:bookmarkStart w:id="42" w:name="应回避半导体cpopcb高波动反抽"/>
    <w:p>
      <w:pPr>
        <w:pStyle w:val="Heading3"/>
      </w:pPr>
      <w:r>
        <w:t xml:space="preserve">⛔ </w:t>
      </w:r>
      <w:r>
        <w:rPr>
          <w:rFonts w:hint="eastAsia"/>
        </w:rPr>
        <w:t xml:space="preserve">应回避：半导体、CPO、PCB高波动反抽</w:t>
      </w:r>
    </w:p>
    <w:p>
      <w:pPr>
        <w:pStyle w:val="FirstParagraph"/>
      </w:pPr>
      <w:r>
        <w:rPr>
          <w:rFonts w:hint="eastAsia"/>
          <w:b/>
          <w:bCs/>
        </w:rPr>
        <w:t xml:space="preserve">证据链：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</w:rPr>
        <w:t xml:space="preserve">半导体、通信设备、元件分别净流出131.43亿元、100.91亿元、64.64亿元。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</w:rPr>
        <w:t xml:space="preserve">长鑫科技、中际旭创、寒武纪、天孚通信、兆易创新等同时进入个股资金流出前列。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</w:rPr>
        <w:t xml:space="preserve">TickFlow技术评级中，中际旭创、新易盛、长鑫科技、寒武纪、东山精密、兆易创新、天孚通信、生益科技均为D。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</w:rPr>
        <w:t xml:space="preserve">海外半导体上涨可能引发反抽，但国内资金与趋势条件尚不支持右侧参与。</w:t>
      </w:r>
    </w:p>
    <w:p>
      <w:pPr>
        <w:pStyle w:val="FirstParagraph"/>
      </w:pPr>
      <w:r>
        <w:rPr>
          <w:rFonts w:hint="eastAsia"/>
          <w:b/>
          <w:bCs/>
        </w:rPr>
        <w:t xml:space="preserve">核心标的风险：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  <w:b/>
          <w:bCs/>
        </w:rPr>
        <w:t xml:space="preserve">中际旭创（300308）</w:t>
      </w:r>
      <w:r>
        <w:rPr>
          <w:rFonts w:hint="eastAsia"/>
        </w:rPr>
        <w:t xml:space="preserve">：核心催化：美股半导体普涨，2026年三季报营收同比增长178.10%、净利润同比增长218.30%；主要风险：主力净流出27.19亿元，11月3日下跌12.69%，技术评级为D。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  <w:b/>
          <w:bCs/>
        </w:rPr>
        <w:t xml:space="preserve">新易盛（300502）</w:t>
      </w:r>
      <w:r>
        <w:rPr>
          <w:rFonts w:hint="eastAsia"/>
        </w:rPr>
        <w:t xml:space="preserve">：核心催化：公司11月2日至3日实施股份回购，三季报净利润同比增长81.24%；主要风险：11月3日下跌9.46%，主力净流出9.99亿元，技术评级为D。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  <w:b/>
          <w:bCs/>
        </w:rPr>
        <w:t xml:space="preserve">长鑫科技（688825）</w:t>
      </w:r>
      <w:r>
        <w:rPr>
          <w:rFonts w:hint="eastAsia"/>
        </w:rPr>
        <w:t xml:space="preserve">：核心催化：董事长提议将回购金额提高至25亿元—50亿元，三季报净利润同比增长3386%；主要风险：主力净流出29.39亿元，技术评级为D，公告利好可能被高换手抛压消化。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  <w:b/>
          <w:bCs/>
        </w:rPr>
        <w:t xml:space="preserve">寒武纪（688256）</w:t>
      </w:r>
      <w:r>
        <w:rPr>
          <w:rFonts w:hint="eastAsia"/>
        </w:rPr>
        <w:t xml:space="preserve">：核心催化：三季报营收同比增长106.80%、净利润同比增长131.60%，公司表示人工智能算力需求旺盛；主要风险：PE为115.80倍、PB为31.93倍，主力净流出12.91亿元，技术评级为D。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  <w:b/>
          <w:bCs/>
        </w:rPr>
        <w:t xml:space="preserve">天孚通信（300394）</w:t>
      </w:r>
      <w:r>
        <w:rPr>
          <w:rFonts w:hint="eastAsia"/>
        </w:rPr>
        <w:t xml:space="preserve">：核心催化：海外算力硬件上涨提供情绪映射；主要风险：主力净流出10.89亿元，上一交易日下跌12.80%，技术评级为D且距离MA20为-32.29%。</w:t>
      </w:r>
    </w:p>
    <w:p>
      <w:pPr>
        <w:pStyle w:val="FirstParagraph"/>
      </w:pPr>
      <w:r>
        <w:rPr>
          <w:rFonts w:hint="eastAsia"/>
          <w:b/>
          <w:bCs/>
        </w:rPr>
        <w:t xml:space="preserve">重新观察条件：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</w:rPr>
        <w:t xml:space="preserve">板块资金由大额净流出转为净流入，核心股重新站回MA20和MA60，并完成缩量回踩后的放量确认。</w:t>
      </w:r>
    </w:p>
    <w:p>
      <w:pPr>
        <w:pStyle w:val="FirstParagraph"/>
      </w:pPr>
      <w:r>
        <w:rPr>
          <w:rFonts w:hint="eastAsia"/>
          <w:b/>
          <w:bCs/>
        </w:rPr>
        <w:t xml:space="preserve">失效条件：</w:t>
      </w:r>
    </w:p>
    <w:p>
      <w:pPr>
        <w:pStyle w:val="Compact"/>
        <w:numPr>
          <w:ilvl w:val="0"/>
          <w:numId w:val="1033"/>
        </w:numPr>
      </w:pPr>
      <w:r>
        <w:rPr>
          <w:rFonts w:hint="eastAsia"/>
        </w:rPr>
        <w:t xml:space="preserve">反弹无量、冲高回落或继续创出阶段低点，维持回避。</w:t>
      </w:r>
    </w:p>
    <w:bookmarkEnd w:id="42"/>
    <w:bookmarkEnd w:id="43"/>
    <w:bookmarkStart w:id="44" w:name="仓位模型量化推导"/>
    <w:p>
      <w:pPr>
        <w:pStyle w:val="Heading2"/>
      </w:pPr>
      <w:r>
        <w:t xml:space="preserve">🧮 </w:t>
      </w:r>
      <w:r>
        <w:rPr>
          <w:rFonts w:hint="eastAsia"/>
        </w:rPr>
        <w:t xml:space="preserve">仓位模型量化推导</w:t>
      </w:r>
    </w:p>
    <w:p>
      <w:pPr>
        <w:pStyle w:val="FirstParagraph"/>
      </w:pPr>
      <w:r>
        <w:rPr>
          <w:rFonts w:hint="eastAsia"/>
        </w:rPr>
        <w:t xml:space="preserve">基础最高仓位为50%。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指标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当前值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仓位含义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涨跌比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0.637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下跌家数占优，不增加仓位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全市场成交额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17150.87亿元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具备交易活跃度，但未形成增量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成交额变化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-4.46%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缩量，不支持全面进攻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两融余额变化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-122.87亿元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杠杆资金收缩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联合信号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数据不足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不增加确认分</w:t>
            </w:r>
          </w:p>
        </w:tc>
      </w:tr>
    </w:tbl>
    <w:p>
      <w:pPr>
        <w:pStyle w:val="Compact"/>
        <w:numPr>
          <w:ilvl w:val="0"/>
          <w:numId w:val="1034"/>
        </w:numPr>
      </w:pPr>
      <w:r>
        <w:rPr>
          <w:rFonts w:hint="eastAsia"/>
          <w:b/>
          <w:bCs/>
        </w:rPr>
        <w:t xml:space="preserve">进取型50%：</w:t>
      </w:r>
      <w:r>
        <w:rPr>
          <w:rFonts w:hint="eastAsia"/>
        </w:rPr>
        <w:t xml:space="preserve">仅在盘中成交额恢复、涨跌比改善且资金回流时启用。</w:t>
      </w:r>
    </w:p>
    <w:p>
      <w:pPr>
        <w:pStyle w:val="Compact"/>
        <w:numPr>
          <w:ilvl w:val="0"/>
          <w:numId w:val="1034"/>
        </w:numPr>
      </w:pPr>
      <w:r>
        <w:rPr>
          <w:rFonts w:hint="eastAsia"/>
          <w:b/>
          <w:bCs/>
        </w:rPr>
        <w:t xml:space="preserve">均衡型40%：</w:t>
      </w:r>
      <w:r>
        <w:rPr>
          <w:rFonts w:hint="eastAsia"/>
        </w:rPr>
        <w:t xml:space="preserve">当前基准仓位，兼顾权重承接与缩量风险。</w:t>
      </w:r>
    </w:p>
    <w:p>
      <w:pPr>
        <w:pStyle w:val="Compact"/>
        <w:numPr>
          <w:ilvl w:val="0"/>
          <w:numId w:val="1034"/>
        </w:numPr>
      </w:pPr>
      <w:r>
        <w:rPr>
          <w:rFonts w:hint="eastAsia"/>
          <w:b/>
          <w:bCs/>
        </w:rPr>
        <w:t xml:space="preserve">保守型25%：</w:t>
      </w:r>
      <w:r>
        <w:rPr>
          <w:rFonts w:hint="eastAsia"/>
        </w:rPr>
        <w:t xml:space="preserve">适用于指数再度走弱、科技抛压延续或突发外部事件升级。</w:t>
      </w:r>
    </w:p>
    <w:p>
      <w:pPr>
        <w:pStyle w:val="Compact"/>
        <w:numPr>
          <w:ilvl w:val="0"/>
          <w:numId w:val="1034"/>
        </w:numPr>
      </w:pPr>
      <w:r>
        <w:rPr>
          <w:rFonts w:hint="eastAsia"/>
        </w:rPr>
        <w:t xml:space="preserve">行为金融信号风险评分为1，不额外降低仓位，但也不构成提高仓位的依据。</w:t>
      </w:r>
    </w:p>
    <w:bookmarkEnd w:id="44"/>
    <w:bookmarkStart w:id="45" w:name="回避清单"/>
    <w:p>
      <w:pPr>
        <w:pStyle w:val="Heading2"/>
      </w:pPr>
      <w:r>
        <w:t xml:space="preserve">🚫 </w:t>
      </w:r>
      <w:r>
        <w:rPr>
          <w:rFonts w:hint="eastAsia"/>
        </w:rPr>
        <w:t xml:space="preserve">回避清单</w:t>
      </w:r>
    </w:p>
    <w:p>
      <w:pPr>
        <w:pStyle w:val="Compact"/>
        <w:numPr>
          <w:ilvl w:val="0"/>
          <w:numId w:val="1035"/>
        </w:numPr>
      </w:pPr>
      <w:r>
        <w:t xml:space="preserve">🔴</w:t>
      </w:r>
      <w:r>
        <w:t xml:space="preserve"> </w:t>
      </w:r>
      <w:r>
        <w:rPr>
          <w:rFonts w:hint="eastAsia"/>
          <w:b/>
          <w:bCs/>
        </w:rPr>
        <w:t xml:space="preserve">监管立案：</w:t>
      </w:r>
      <w:r>
        <w:rPr>
          <w:rFonts w:hint="eastAsia"/>
        </w:rPr>
        <w:t xml:space="preserve">山鹰国际、三星新材、品茗科技。</w:t>
      </w:r>
    </w:p>
    <w:p>
      <w:pPr>
        <w:pStyle w:val="Compact"/>
        <w:numPr>
          <w:ilvl w:val="0"/>
          <w:numId w:val="1035"/>
        </w:numPr>
      </w:pPr>
      <w:r>
        <w:t xml:space="preserve">🔴</w:t>
      </w:r>
      <w:r>
        <w:t xml:space="preserve"> </w:t>
      </w:r>
      <w:r>
        <w:rPr>
          <w:rFonts w:hint="eastAsia"/>
          <w:b/>
          <w:bCs/>
        </w:rPr>
        <w:t xml:space="preserve">停产风险：</w:t>
      </w:r>
      <w:r>
        <w:rPr>
          <w:rFonts w:hint="eastAsia"/>
        </w:rPr>
        <w:t xml:space="preserve">国晟科技。</w:t>
      </w:r>
    </w:p>
    <w:p>
      <w:pPr>
        <w:pStyle w:val="Compact"/>
        <w:numPr>
          <w:ilvl w:val="0"/>
          <w:numId w:val="1035"/>
        </w:numPr>
      </w:pPr>
      <w:r>
        <w:t xml:space="preserve">🔴</w:t>
      </w:r>
      <w:r>
        <w:t xml:space="preserve"> </w:t>
      </w:r>
      <w:r>
        <w:rPr>
          <w:rFonts w:hint="eastAsia"/>
          <w:b/>
          <w:bCs/>
        </w:rPr>
        <w:t xml:space="preserve">趋势破位重点股：</w:t>
      </w:r>
      <w:r>
        <w:rPr>
          <w:rFonts w:hint="eastAsia"/>
        </w:rPr>
        <w:t xml:space="preserve">中际旭创、新易盛、长鑫科技、宁德时代、寒武纪、东山精密、兆易创新、天孚通信、生益科技。</w:t>
      </w:r>
    </w:p>
    <w:p>
      <w:pPr>
        <w:pStyle w:val="Compact"/>
        <w:numPr>
          <w:ilvl w:val="0"/>
          <w:numId w:val="1035"/>
        </w:numPr>
      </w:pPr>
      <w:r>
        <w:t xml:space="preserve">🔴</w:t>
      </w:r>
      <w:r>
        <w:t xml:space="preserve"> </w:t>
      </w:r>
      <w:r>
        <w:rPr>
          <w:rFonts w:hint="eastAsia"/>
          <w:b/>
          <w:bCs/>
        </w:rPr>
        <w:t xml:space="preserve">高估值叠加资金流出：</w:t>
      </w:r>
      <w:r>
        <w:rPr>
          <w:rFonts w:hint="eastAsia"/>
        </w:rPr>
        <w:t xml:space="preserve">寒武纪，PE</w:t>
      </w:r>
      <w:r>
        <w:t xml:space="preserve"> </w:t>
      </w:r>
      <w:r>
        <w:rPr>
          <w:rFonts w:hint="eastAsia"/>
        </w:rPr>
        <w:t xml:space="preserve">115.80倍、PB</w:t>
      </w:r>
      <w:r>
        <w:t xml:space="preserve"> </w:t>
      </w:r>
      <w:r>
        <w:rPr>
          <w:rFonts w:hint="eastAsia"/>
        </w:rPr>
        <w:t xml:space="preserve">31.93倍，主力净流出12.91亿元。</w:t>
      </w:r>
    </w:p>
    <w:p>
      <w:pPr>
        <w:pStyle w:val="Compact"/>
        <w:numPr>
          <w:ilvl w:val="0"/>
          <w:numId w:val="1035"/>
        </w:numPr>
      </w:pPr>
      <w:r>
        <w:t xml:space="preserve">🟠</w:t>
      </w:r>
      <w:r>
        <w:t xml:space="preserve"> </w:t>
      </w:r>
      <w:r>
        <w:rPr>
          <w:rFonts w:hint="eastAsia"/>
          <w:b/>
          <w:bCs/>
        </w:rPr>
        <w:t xml:space="preserve">限售流通压力：</w:t>
      </w:r>
      <w:r>
        <w:rPr>
          <w:rFonts w:hint="eastAsia"/>
        </w:rPr>
        <w:t xml:space="preserve">龙蟠科技、长裕集团等披露限售股份上市流通事项。</w:t>
      </w:r>
    </w:p>
    <w:p>
      <w:pPr>
        <w:pStyle w:val="Compact"/>
        <w:numPr>
          <w:ilvl w:val="0"/>
          <w:numId w:val="1035"/>
        </w:numPr>
      </w:pPr>
      <w:r>
        <w:t xml:space="preserve">🟠</w:t>
      </w:r>
      <w:r>
        <w:t xml:space="preserve"> </w:t>
      </w:r>
      <w:r>
        <w:rPr>
          <w:rFonts w:hint="eastAsia"/>
          <w:b/>
          <w:bCs/>
        </w:rPr>
        <w:t xml:space="preserve">异常波动：</w:t>
      </w:r>
      <w:r>
        <w:rPr>
          <w:rFonts w:hint="eastAsia"/>
        </w:rPr>
        <w:t xml:space="preserve">奥精医疗、*ST闻泰、大晟文化，等待公告风险充分定价。</w:t>
      </w:r>
    </w:p>
    <w:bookmarkEnd w:id="45"/>
    <w:bookmarkStart w:id="46" w:name="风险日历"/>
    <w:p>
      <w:pPr>
        <w:pStyle w:val="Heading2"/>
      </w:pPr>
      <w:r>
        <w:t xml:space="preserve">⚠️ </w:t>
      </w:r>
      <w:r>
        <w:rPr>
          <w:rFonts w:hint="eastAsia"/>
        </w:rPr>
        <w:t xml:space="preserve">风险日历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日期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事件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主要影响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11月4日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秦港股份复牌及资产收购预案定价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港口、并购重组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11月4日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世界互联网大会相关议程延续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AI、网络安全、数字经济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11月4日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中东冲突动态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原油、黄金、航运、航空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11月10日至11日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俄美乌三方谈判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全球风险偏好、能源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11月15日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外汇存款准备金率由4%升至6%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人民币、出口、航空、外资</w:t>
            </w:r>
          </w:p>
        </w:tc>
      </w:tr>
    </w:tbl>
    <w:p>
      <w:pPr>
        <w:pStyle w:val="Compact"/>
        <w:numPr>
          <w:ilvl w:val="0"/>
          <w:numId w:val="1036"/>
        </w:numPr>
      </w:pPr>
      <w:r>
        <w:rPr>
          <w:rFonts w:hint="eastAsia"/>
        </w:rPr>
        <w:t xml:space="preserve">采集源未提供其他国内外宏观数据的正式公布时间，不推测具体时点。</w:t>
      </w:r>
    </w:p>
    <w:p>
      <w:pPr>
        <w:pStyle w:val="Compact"/>
        <w:numPr>
          <w:ilvl w:val="0"/>
          <w:numId w:val="1036"/>
        </w:numPr>
      </w:pPr>
      <w:r>
        <w:rPr>
          <w:rFonts w:hint="eastAsia"/>
        </w:rPr>
        <w:t xml:space="preserve">中东事件处于动态发展阶段，盘中若出现原油快速上涨或离岸人民币异常波动，应优先降低高波动仓位。</w:t>
      </w:r>
    </w:p>
    <w:bookmarkEnd w:id="46"/>
    <w:bookmarkStart w:id="47" w:name="外资与离岸风险偏好"/>
    <w:p>
      <w:pPr>
        <w:pStyle w:val="Heading2"/>
      </w:pPr>
      <w:r>
        <w:t xml:space="preserve">🌏 </w:t>
      </w:r>
      <w:r>
        <w:rPr>
          <w:rFonts w:hint="eastAsia"/>
        </w:rPr>
        <w:t xml:space="preserve">外资与离岸风险偏好</w:t>
      </w:r>
    </w:p>
    <w:p>
      <w:pPr>
        <w:pStyle w:val="Compact"/>
        <w:numPr>
          <w:ilvl w:val="0"/>
          <w:numId w:val="1037"/>
        </w:numPr>
      </w:pPr>
      <w:r>
        <w:rPr>
          <w:rFonts w:hint="eastAsia"/>
        </w:rPr>
        <w:t xml:space="preserve">美元兑离岸人民币报6.6656，下降0.0043，人民币升值0.06%。</w:t>
      </w:r>
    </w:p>
    <w:p>
      <w:pPr>
        <w:pStyle w:val="Compact"/>
        <w:numPr>
          <w:ilvl w:val="0"/>
          <w:numId w:val="1037"/>
        </w:numPr>
      </w:pPr>
      <w:r>
        <w:rPr>
          <w:rFonts w:hint="eastAsia"/>
        </w:rPr>
        <w:t xml:space="preserve">富时中国A50期指上涨0.28%，恒生指数上一交易日上涨0.57%，离岸风险偏好偏正面。</w:t>
      </w:r>
    </w:p>
    <w:p>
      <w:pPr>
        <w:pStyle w:val="Compact"/>
        <w:numPr>
          <w:ilvl w:val="0"/>
          <w:numId w:val="1037"/>
        </w:numPr>
      </w:pPr>
      <w:r>
        <w:rPr>
          <w:rFonts w:hint="eastAsia"/>
        </w:rPr>
        <w:t xml:space="preserve">外汇存款准备金率上调强化防范汇率超调的政策信号，有利于降低人民币单边贬值预期。</w:t>
      </w:r>
    </w:p>
    <w:p>
      <w:pPr>
        <w:pStyle w:val="Compact"/>
        <w:numPr>
          <w:ilvl w:val="0"/>
          <w:numId w:val="1037"/>
        </w:numPr>
      </w:pPr>
      <w:r>
        <w:rPr>
          <w:rFonts w:hint="eastAsia"/>
        </w:rPr>
        <w:t xml:space="preserve">但外资净流入、北向资金及实时外资成交数据未在采集JSON中提供，不估算外资净买入规模。</w:t>
      </w:r>
    </w:p>
    <w:p>
      <w:pPr>
        <w:pStyle w:val="Compact"/>
        <w:numPr>
          <w:ilvl w:val="0"/>
          <w:numId w:val="1037"/>
        </w:numPr>
      </w:pPr>
      <w:r>
        <w:rPr>
          <w:rFonts w:hint="eastAsia"/>
        </w:rPr>
        <w:t xml:space="preserve">今日若人民币继续升值且A50期指保持上涨，对沪深300、保险、白酒等权重方向更有利；若油价与地缘风险同步上升，则需防范风险偏好反复。</w:t>
      </w:r>
    </w:p>
    <w:bookmarkEnd w:id="47"/>
    <w:bookmarkStart w:id="48" w:name="策略验证安排"/>
    <w:p>
      <w:pPr>
        <w:pStyle w:val="Heading2"/>
      </w:pPr>
      <w:r>
        <w:t xml:space="preserve">🧾 </w:t>
      </w:r>
      <w:r>
        <w:rPr>
          <w:rFonts w:hint="eastAsia"/>
        </w:rPr>
        <w:t xml:space="preserve">策略验证安排</w:t>
      </w:r>
    </w:p>
    <w:p>
      <w:pPr>
        <w:pStyle w:val="Compact"/>
        <w:numPr>
          <w:ilvl w:val="0"/>
          <w:numId w:val="1038"/>
        </w:numPr>
      </w:pPr>
      <w:r>
        <w:rPr>
          <w:rFonts w:hint="eastAsia"/>
        </w:rPr>
        <w:t xml:space="preserve">当前没有2026年11月4日盘前或午盘正式报告作为可对照基准，因此不生成策略评分、命中率或综合分。</w:t>
      </w:r>
    </w:p>
    <w:p>
      <w:pPr>
        <w:pStyle w:val="Compact"/>
        <w:numPr>
          <w:ilvl w:val="0"/>
          <w:numId w:val="1038"/>
        </w:numPr>
      </w:pPr>
      <w:r>
        <w:rPr>
          <w:rFonts w:hint="eastAsia"/>
        </w:rPr>
        <w:t xml:space="preserve">收盘后仅依据实际指数表现、资金流向、成交额、触发条件与失效条件逐项进行证据核对。</w:t>
      </w:r>
    </w:p>
    <w:p>
      <w:pPr>
        <w:pStyle w:val="Compact"/>
        <w:numPr>
          <w:ilvl w:val="0"/>
          <w:numId w:val="1038"/>
        </w:numPr>
      </w:pPr>
      <w:r>
        <w:rPr>
          <w:rFonts w:hint="eastAsia"/>
        </w:rPr>
        <w:t xml:space="preserve">重点核对：权重风格能否延续、电池资金能否持续、科技反抽是否获得真实资金回流、成交额能否结束缩量。</w:t>
      </w:r>
    </w:p>
    <w:bookmarkEnd w:id="48"/>
    <w:bookmarkStart w:id="49" w:name="风险提示"/>
    <w:p>
      <w:pPr>
        <w:pStyle w:val="Heading2"/>
      </w:pPr>
      <w:r>
        <w:t xml:space="preserve">⚠️ </w:t>
      </w:r>
      <w:r>
        <w:rPr>
          <w:rFonts w:hint="eastAsia"/>
        </w:rPr>
        <w:t xml:space="preserve">风险提示</w:t>
      </w:r>
    </w:p>
    <w:p>
      <w:pPr>
        <w:pStyle w:val="Compact"/>
        <w:numPr>
          <w:ilvl w:val="0"/>
          <w:numId w:val="1039"/>
        </w:numPr>
      </w:pPr>
      <w:r>
        <w:rPr>
          <w:rFonts w:hint="eastAsia"/>
        </w:rPr>
        <w:t xml:space="preserve">海外半导体上涨与A股科技趋势破位并存，严禁将外盘映射直接视为趋势反转。</w:t>
      </w:r>
    </w:p>
    <w:p>
      <w:pPr>
        <w:pStyle w:val="Compact"/>
        <w:numPr>
          <w:ilvl w:val="0"/>
          <w:numId w:val="1039"/>
        </w:numPr>
      </w:pPr>
      <w:r>
        <w:rPr>
          <w:rFonts w:hint="eastAsia"/>
        </w:rPr>
        <w:t xml:space="preserve">宽基ETF资金文字性数据偏积极，但最新份额连续变化因主源超时无法确认，联合信号仍为数据不足。</w:t>
      </w:r>
    </w:p>
    <w:p>
      <w:pPr>
        <w:pStyle w:val="Compact"/>
        <w:numPr>
          <w:ilvl w:val="0"/>
          <w:numId w:val="1039"/>
        </w:numPr>
      </w:pPr>
      <w:r>
        <w:rPr>
          <w:rFonts w:hint="eastAsia"/>
        </w:rPr>
        <w:t xml:space="preserve">两融最新数据实际结算日为11月2日，存在T+1滞后。</w:t>
      </w:r>
    </w:p>
    <w:p>
      <w:pPr>
        <w:pStyle w:val="Compact"/>
        <w:numPr>
          <w:ilvl w:val="0"/>
          <w:numId w:val="1039"/>
        </w:numPr>
      </w:pPr>
      <w:r>
        <w:rPr>
          <w:rFonts w:hint="eastAsia"/>
        </w:rPr>
        <w:t xml:space="preserve">TickFlow重点股技术数据为完成交易日的日K校验，不是11月4日实时分时信号。</w:t>
      </w:r>
    </w:p>
    <w:p>
      <w:pPr>
        <w:pStyle w:val="Compact"/>
        <w:numPr>
          <w:ilvl w:val="0"/>
          <w:numId w:val="1039"/>
        </w:numPr>
      </w:pPr>
      <w:r>
        <w:rPr>
          <w:rFonts w:hint="eastAsia"/>
        </w:rPr>
        <w:t xml:space="preserve">所有方向均须等待触发条件，不追涨、不接趋势破位后的首次高波动反抽。</w:t>
      </w:r>
    </w:p>
    <w:p>
      <w:pPr>
        <w:pStyle w:val="BlockText"/>
      </w:pPr>
      <w:r>
        <w:t xml:space="preserve">📊 </w:t>
      </w:r>
      <w:r>
        <w:rPr>
          <w:rFonts w:hint="eastAsia"/>
        </w:rPr>
        <w:t xml:space="preserve">生成时间：2026-11-04</w:t>
      </w:r>
      <w:r>
        <w:t xml:space="preserve"> 08:35:33</w:t>
      </w:r>
      <w:r>
        <w:br/>
      </w:r>
      <w:r>
        <w:t xml:space="preserve">🦞 </w:t>
      </w:r>
      <w:r>
        <w:rPr>
          <w:rFonts w:hint="eastAsia"/>
        </w:rPr>
        <w:t xml:space="preserve">by：奇迹早知道</w:t>
      </w:r>
      <w:r>
        <w:t xml:space="preserve"> v4.1</w:t>
      </w:r>
      <w:r>
        <w:br/>
      </w:r>
      <w:r>
        <w:t xml:space="preserve">🔵 </w:t>
      </w:r>
      <w:r>
        <w:rPr>
          <w:rFonts w:hint="eastAsia"/>
        </w:rPr>
        <w:t xml:space="preserve">数据采集：Python</w:t>
      </w:r>
      <w:r>
        <w:t xml:space="preserve"> </w:t>
      </w:r>
      <w:r>
        <w:rPr>
          <w:rFonts w:hint="eastAsia"/>
        </w:rPr>
        <w:t xml:space="preserve">标准库</w:t>
      </w:r>
      <w:r>
        <w:t xml:space="preserve"> + </w:t>
      </w:r>
      <w:r>
        <w:rPr>
          <w:rFonts w:hint="eastAsia"/>
        </w:rPr>
        <w:t xml:space="preserve">华泰skill</w:t>
      </w:r>
      <w:r>
        <w:t xml:space="preserve"> + </w:t>
      </w:r>
      <w:r>
        <w:rPr>
          <w:rFonts w:hint="eastAsia"/>
        </w:rPr>
        <w:t xml:space="preserve">东财push2ex/datacenter/F10</w:t>
      </w:r>
      <w:r>
        <w:t xml:space="preserve"> + </w:t>
      </w:r>
      <w:r>
        <w:rPr>
          <w:rFonts w:hint="eastAsia"/>
        </w:rPr>
        <w:t xml:space="preserve">东方财富妙想mx-data/mx-search/mx-xuangu（只读增强）+</w:t>
      </w:r>
      <w:r>
        <w:t xml:space="preserve"> </w:t>
      </w:r>
      <w:r>
        <w:rPr>
          <w:rFonts w:hint="eastAsia"/>
        </w:rPr>
        <w:t xml:space="preserve">TickFlow重点股日K（只读技术校验）+</w:t>
      </w:r>
      <w:r>
        <w:t xml:space="preserve"> </w:t>
      </w:r>
      <w:r>
        <w:rPr>
          <w:rFonts w:hint="eastAsia"/>
        </w:rPr>
        <w:t xml:space="preserve">同花顺dq</w:t>
      </w:r>
      <w:r>
        <w:t xml:space="preserve"> + </w:t>
      </w:r>
      <w:r>
        <w:rPr>
          <w:rFonts w:hint="eastAsia"/>
        </w:rPr>
        <w:t xml:space="preserve">新浪/腾讯行情</w:t>
      </w:r>
      <w:r>
        <w:t xml:space="preserve"> + </w:t>
      </w:r>
      <w:r>
        <w:rPr>
          <w:rFonts w:hint="eastAsia"/>
        </w:rPr>
        <w:t xml:space="preserve">financial_rigor验算</w:t>
      </w:r>
      <w:r>
        <w:br/>
      </w:r>
      <w:r>
        <w:t xml:space="preserve">🔴 </w:t>
      </w:r>
      <w:r>
        <w:rPr>
          <w:rFonts w:hint="eastAsia"/>
        </w:rPr>
        <w:t xml:space="preserve">分析+写稿模型：GPT-5.6</w:t>
      </w:r>
      <w:r>
        <w:t xml:space="preserve"> Sol (openai-codex)</w:t>
      </w:r>
      <w:r>
        <w:br/>
      </w:r>
      <w:r>
        <w:t xml:space="preserve">📄 </w:t>
      </w:r>
      <w:r>
        <w:rPr>
          <w:rFonts w:hint="eastAsia"/>
        </w:rPr>
        <w:t xml:space="preserve">文档生成：pandoc</w:t>
      </w:r>
      <w:r>
        <w:t xml:space="preserve"> (markdown → docx)</w:t>
      </w:r>
    </w:p>
    <w:bookmarkEnd w:id="49"/>
    <w:bookmarkEnd w:id="5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2026-11-04T00:38:27Z</dcterms:created>
  <dcterms:modified xsi:type="dcterms:W3CDTF">2026-11-04T00:38:27Z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