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3" w:name="奇迹早知道盘前简报2026年11月3日"/>
    <w:p>
      <w:pPr>
        <w:pStyle w:val="Heading1"/>
      </w:pPr>
      <w:r>
        <w:rPr>
          <w:rFonts w:hint="eastAsia"/>
        </w:rPr>
        <w:t xml:space="preserve">奇迹早知道｜盘前简报（2026年11月3日）</w:t>
      </w:r>
    </w:p>
    <w:bookmarkStart w:id="12" w:name="隔夜全球市场"/>
    <w:p>
      <w:pPr>
        <w:pStyle w:val="Heading2"/>
      </w:pPr>
      <w:r>
        <w:t xml:space="preserve">🌍 </w:t>
      </w:r>
      <w:r>
        <w:rPr>
          <w:rFonts w:hint="eastAsia"/>
        </w:rPr>
        <w:t xml:space="preserve">隔夜全球市场</w:t>
      </w:r>
    </w:p>
    <w:bookmarkStart w:id="9" w:name="美股三大指数"/>
    <w:p>
      <w:pPr>
        <w:pStyle w:val="Heading3"/>
      </w:pPr>
      <w:r>
        <w:t xml:space="preserve">📉 </w:t>
      </w:r>
      <w:r>
        <w:rPr>
          <w:rFonts w:hint="eastAsia"/>
        </w:rPr>
        <w:t xml:space="preserve">美股三大指数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道琼斯</w:t>
            </w:r>
          </w:p>
        </w:tc>
        <w:tc>
          <w:tcPr/>
          <w:p>
            <w:pPr>
              <w:pStyle w:val="Compact"/>
              <w:jc w:val="right"/>
            </w:pPr>
            <w:r>
              <w:t xml:space="preserve">51983.9805</w:t>
            </w:r>
          </w:p>
        </w:tc>
        <w:tc>
          <w:tcPr/>
          <w:p>
            <w:pPr>
              <w:pStyle w:val="Compact"/>
              <w:jc w:val="right"/>
            </w:pPr>
            <w:r>
              <w:t xml:space="preserve">📈 +0.41%</w:t>
            </w:r>
          </w:p>
        </w:tc>
      </w:tr>
      <w:tr>
        <w:tc>
          <w:tcPr/>
          <w:p>
            <w:pPr>
              <w:pStyle w:val="Compact"/>
            </w:pPr>
            <w:r>
              <w:rPr>
                <w:rFonts w:hint="eastAsia"/>
              </w:rPr>
              <w:t xml:space="preserve">标普500</w:t>
            </w:r>
          </w:p>
        </w:tc>
        <w:tc>
          <w:tcPr/>
          <w:p>
            <w:pPr>
              <w:pStyle w:val="Compact"/>
              <w:jc w:val="right"/>
            </w:pPr>
            <w:r>
              <w:t xml:space="preserve">7541.3999</w:t>
            </w:r>
          </w:p>
        </w:tc>
        <w:tc>
          <w:tcPr/>
          <w:p>
            <w:pPr>
              <w:pStyle w:val="Compact"/>
              <w:jc w:val="right"/>
            </w:pPr>
            <w:r>
              <w:t xml:space="preserve">📉 -0.51%</w:t>
            </w:r>
          </w:p>
        </w:tc>
      </w:tr>
      <w:tr>
        <w:tc>
          <w:tcPr/>
          <w:p>
            <w:pPr>
              <w:pStyle w:val="Compact"/>
            </w:pPr>
            <w:r>
              <w:rPr>
                <w:rFonts w:hint="eastAsia"/>
              </w:rPr>
              <w:t xml:space="preserve">纳斯达克</w:t>
            </w:r>
          </w:p>
        </w:tc>
        <w:tc>
          <w:tcPr/>
          <w:p>
            <w:pPr>
              <w:pStyle w:val="Compact"/>
              <w:jc w:val="right"/>
            </w:pPr>
            <w:r>
              <w:t xml:space="preserve">25164.3631</w:t>
            </w:r>
          </w:p>
        </w:tc>
        <w:tc>
          <w:tcPr/>
          <w:p>
            <w:pPr>
              <w:pStyle w:val="Compact"/>
              <w:jc w:val="right"/>
            </w:pPr>
            <w:r>
              <w:t xml:space="preserve">📉 -1.07%</w:t>
            </w:r>
          </w:p>
        </w:tc>
      </w:tr>
    </w:tbl>
    <w:p>
      <w:pPr>
        <w:pStyle w:val="Compact"/>
        <w:numPr>
          <w:ilvl w:val="0"/>
          <w:numId w:val="1001"/>
        </w:numPr>
      </w:pPr>
      <w:r>
        <w:t xml:space="preserve">🔴 </w:t>
      </w:r>
      <w:r>
        <w:rPr>
          <w:rFonts w:hint="eastAsia"/>
        </w:rPr>
        <w:t xml:space="preserve">美股内部明显分化：道指上涨，纳指与标普500回落，科技成长资产承压。</w:t>
      </w:r>
    </w:p>
    <w:p>
      <w:pPr>
        <w:pStyle w:val="Compact"/>
        <w:numPr>
          <w:ilvl w:val="0"/>
          <w:numId w:val="1001"/>
        </w:numPr>
      </w:pPr>
      <w:r>
        <w:t xml:space="preserve">⚠️ </w:t>
      </w:r>
      <w:r>
        <w:rPr>
          <w:rFonts w:hint="eastAsia"/>
        </w:rPr>
        <w:t xml:space="preserve">A股昨日领涨方向集中在半导体、软件、传媒等高弹性板块，隔夜纳指下跌可能提高今日科技股高开兑现和冲高回落风险。</w:t>
      </w:r>
    </w:p>
    <w:bookmarkEnd w:id="9"/>
    <w:bookmarkStart w:id="10" w:name="核心半导体个股"/>
    <w:p>
      <w:pPr>
        <w:pStyle w:val="Heading3"/>
      </w:pPr>
      <w:r>
        <w:t xml:space="preserve">📉 </w:t>
      </w:r>
      <w:r>
        <w:rPr>
          <w:rFonts w:hint="eastAsia"/>
        </w:rPr>
        <w:t xml:space="preserve">核心半导体个股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个股</w:t>
            </w:r>
          </w:p>
        </w:tc>
        <w:tc>
          <w:tcPr/>
          <w:p>
            <w:pPr>
              <w:pStyle w:val="Compact"/>
              <w:jc w:val="right"/>
            </w:pPr>
            <w:r>
              <w:rPr>
                <w:rFonts w:hint="eastAsia"/>
              </w:rPr>
              <w:t xml:space="preserve">收盘价</w:t>
            </w:r>
          </w:p>
        </w:tc>
        <w:tc>
          <w:tcPr/>
          <w:p>
            <w:pPr>
              <w:pStyle w:val="Compact"/>
              <w:jc w:val="right"/>
            </w:pPr>
            <w:r>
              <w:rPr>
                <w:rFonts w:hint="eastAsia"/>
              </w:rPr>
              <w:t xml:space="preserve">涨跌幅</w:t>
            </w:r>
          </w:p>
        </w:tc>
      </w:tr>
      <w:tr>
        <w:tc>
          <w:tcPr/>
          <w:p>
            <w:pPr>
              <w:pStyle w:val="Compact"/>
            </w:pPr>
            <w:r>
              <w:rPr>
                <w:rFonts w:hint="eastAsia"/>
              </w:rPr>
              <w:t xml:space="preserve">英伟达</w:t>
            </w:r>
          </w:p>
        </w:tc>
        <w:tc>
          <w:tcPr/>
          <w:p>
            <w:pPr>
              <w:pStyle w:val="Compact"/>
              <w:jc w:val="right"/>
            </w:pPr>
            <w:r>
              <w:rPr>
                <w:rFonts w:hint="eastAsia"/>
              </w:rPr>
              <w:t xml:space="preserve">202.06美元</w:t>
            </w:r>
          </w:p>
        </w:tc>
        <w:tc>
          <w:tcPr/>
          <w:p>
            <w:pPr>
              <w:pStyle w:val="Compact"/>
              <w:jc w:val="right"/>
            </w:pPr>
            <w:r>
              <w:t xml:space="preserve">📉 -1.26%</w:t>
            </w:r>
          </w:p>
        </w:tc>
      </w:tr>
      <w:tr>
        <w:tc>
          <w:tcPr/>
          <w:p>
            <w:pPr>
              <w:pStyle w:val="Compact"/>
            </w:pPr>
            <w:r>
              <w:t xml:space="preserve">AMD</w:t>
            </w:r>
          </w:p>
        </w:tc>
        <w:tc>
          <w:tcPr/>
          <w:p>
            <w:pPr>
              <w:pStyle w:val="Compact"/>
              <w:jc w:val="right"/>
            </w:pPr>
            <w:r>
              <w:rPr>
                <w:rFonts w:hint="eastAsia"/>
              </w:rPr>
              <w:t xml:space="preserve">466.84美元</w:t>
            </w:r>
          </w:p>
        </w:tc>
        <w:tc>
          <w:tcPr/>
          <w:p>
            <w:pPr>
              <w:pStyle w:val="Compact"/>
              <w:jc w:val="right"/>
            </w:pPr>
            <w:r>
              <w:t xml:space="preserve">📉 -7.52%</w:t>
            </w:r>
          </w:p>
        </w:tc>
      </w:tr>
      <w:tr>
        <w:tc>
          <w:tcPr/>
          <w:p>
            <w:pPr>
              <w:pStyle w:val="Compact"/>
            </w:pPr>
            <w:r>
              <w:rPr>
                <w:rFonts w:hint="eastAsia"/>
              </w:rPr>
              <w:t xml:space="preserve">台积电</w:t>
            </w:r>
          </w:p>
        </w:tc>
        <w:tc>
          <w:tcPr/>
          <w:p>
            <w:pPr>
              <w:pStyle w:val="Compact"/>
              <w:jc w:val="right"/>
            </w:pPr>
            <w:r>
              <w:rPr>
                <w:rFonts w:hint="eastAsia"/>
              </w:rPr>
              <w:t xml:space="preserve">398.63美元</w:t>
            </w:r>
          </w:p>
        </w:tc>
        <w:tc>
          <w:tcPr/>
          <w:p>
            <w:pPr>
              <w:pStyle w:val="Compact"/>
              <w:jc w:val="right"/>
            </w:pPr>
            <w:r>
              <w:t xml:space="preserve">📉 -1.85%</w:t>
            </w:r>
          </w:p>
        </w:tc>
      </w:tr>
      <w:tr>
        <w:tc>
          <w:tcPr/>
          <w:p>
            <w:pPr>
              <w:pStyle w:val="Compact"/>
            </w:pPr>
            <w:r>
              <w:rPr>
                <w:rFonts w:hint="eastAsia"/>
              </w:rPr>
              <w:t xml:space="preserve">博通</w:t>
            </w:r>
          </w:p>
        </w:tc>
        <w:tc>
          <w:tcPr/>
          <w:p>
            <w:pPr>
              <w:pStyle w:val="Compact"/>
              <w:jc w:val="right"/>
            </w:pPr>
            <w:r>
              <w:rPr>
                <w:rFonts w:hint="eastAsia"/>
              </w:rPr>
              <w:t xml:space="preserve">322.23美元</w:t>
            </w:r>
          </w:p>
        </w:tc>
        <w:tc>
          <w:tcPr/>
          <w:p>
            <w:pPr>
              <w:pStyle w:val="Compact"/>
              <w:jc w:val="right"/>
            </w:pPr>
            <w:r>
              <w:t xml:space="preserve">📉 -1.18%</w:t>
            </w:r>
          </w:p>
        </w:tc>
      </w:tr>
      <w:tr>
        <w:tc>
          <w:tcPr/>
          <w:p>
            <w:pPr>
              <w:pStyle w:val="Compact"/>
            </w:pPr>
            <w:r>
              <w:rPr>
                <w:rFonts w:hint="eastAsia"/>
              </w:rPr>
              <w:t xml:space="preserve">美光</w:t>
            </w:r>
          </w:p>
        </w:tc>
        <w:tc>
          <w:tcPr/>
          <w:p>
            <w:pPr>
              <w:pStyle w:val="Compact"/>
              <w:jc w:val="right"/>
            </w:pPr>
            <w:r>
              <w:rPr>
                <w:rFonts w:hint="eastAsia"/>
              </w:rPr>
              <w:t xml:space="preserve">833.59美元</w:t>
            </w:r>
          </w:p>
        </w:tc>
        <w:tc>
          <w:tcPr/>
          <w:p>
            <w:pPr>
              <w:pStyle w:val="Compact"/>
              <w:jc w:val="right"/>
            </w:pPr>
            <w:r>
              <w:t xml:space="preserve">📉 -5.78%</w:t>
            </w:r>
          </w:p>
        </w:tc>
      </w:tr>
    </w:tbl>
    <w:p>
      <w:pPr>
        <w:pStyle w:val="Compact"/>
        <w:numPr>
          <w:ilvl w:val="0"/>
          <w:numId w:val="1002"/>
        </w:numPr>
      </w:pPr>
      <w:r>
        <w:t xml:space="preserve">🔴 </w:t>
      </w:r>
      <w:r>
        <w:rPr>
          <w:rFonts w:hint="eastAsia"/>
        </w:rPr>
        <w:t xml:space="preserve">五只核心半导体个股全部下跌，AMD和美光跌幅居前。</w:t>
      </w:r>
    </w:p>
    <w:p>
      <w:pPr>
        <w:pStyle w:val="Compact"/>
        <w:numPr>
          <w:ilvl w:val="0"/>
          <w:numId w:val="1002"/>
        </w:numPr>
      </w:pPr>
      <w:r>
        <w:t xml:space="preserve">⚠️ </w:t>
      </w:r>
      <w:r>
        <w:rPr>
          <w:rFonts w:hint="eastAsia"/>
        </w:rPr>
        <w:t xml:space="preserve">对A股半导体、存储、光模块方向构成情绪压力，但不能据此否定国内三季报高增长和上一交易日资金流入事实。</w:t>
      </w:r>
    </w:p>
    <w:p>
      <w:pPr>
        <w:pStyle w:val="Compact"/>
        <w:numPr>
          <w:ilvl w:val="0"/>
          <w:numId w:val="1002"/>
        </w:numPr>
      </w:pPr>
      <w:r>
        <w:t xml:space="preserve">💡 </w:t>
      </w:r>
      <w:r>
        <w:rPr>
          <w:rFonts w:hint="eastAsia"/>
        </w:rPr>
        <w:t xml:space="preserve">今日重点观察半导体能否在低开后获得资金承接，而不是追逐集合竞价阶段的脉冲反弹。</w:t>
      </w:r>
    </w:p>
    <w:bookmarkEnd w:id="10"/>
    <w:bookmarkStart w:id="11" w:name="其他资产"/>
    <w:p>
      <w:pPr>
        <w:pStyle w:val="Heading3"/>
      </w:pPr>
      <w:r>
        <w:t xml:space="preserve">🌐 </w:t>
      </w:r>
      <w:r>
        <w:rPr>
          <w:rFonts w:hint="eastAsia"/>
        </w:rPr>
        <w:t xml:space="preserve">其他资产</w:t>
      </w:r>
    </w:p>
    <w:p>
      <w:pPr>
        <w:pStyle w:val="Compact"/>
        <w:numPr>
          <w:ilvl w:val="0"/>
          <w:numId w:val="1003"/>
        </w:numPr>
      </w:pPr>
      <w:r>
        <w:rPr>
          <w:rFonts w:hint="eastAsia"/>
        </w:rPr>
        <w:t xml:space="preserve">富时中国A50期指报12811.0点，📉</w:t>
      </w:r>
      <w:r>
        <w:t xml:space="preserve"> -0.40%。</w:t>
      </w:r>
    </w:p>
    <w:p>
      <w:pPr>
        <w:pStyle w:val="Compact"/>
        <w:numPr>
          <w:ilvl w:val="0"/>
          <w:numId w:val="1003"/>
        </w:numPr>
      </w:pPr>
      <w:r>
        <w:rPr>
          <w:rFonts w:hint="eastAsia"/>
        </w:rPr>
        <w:t xml:space="preserve">恒生指数最新报23294.42点，📈</w:t>
      </w:r>
      <w:r>
        <w:t xml:space="preserve"> +0.42%。</w:t>
      </w:r>
    </w:p>
    <w:p>
      <w:pPr>
        <w:pStyle w:val="Compact"/>
        <w:numPr>
          <w:ilvl w:val="0"/>
          <w:numId w:val="1003"/>
        </w:numPr>
      </w:pPr>
      <w:r>
        <w:rPr>
          <w:rFonts w:hint="eastAsia"/>
        </w:rPr>
        <w:t xml:space="preserve">美元兑离岸人民币报6.6456，变动-0.01%，汇率波动暂时有限。</w:t>
      </w:r>
    </w:p>
    <w:p>
      <w:pPr>
        <w:pStyle w:val="Compact"/>
        <w:numPr>
          <w:ilvl w:val="0"/>
          <w:numId w:val="1003"/>
        </w:numPr>
      </w:pPr>
      <w:r>
        <w:rPr>
          <w:rFonts w:hint="eastAsia"/>
        </w:rPr>
        <w:t xml:space="preserve">COMEX黄金报3968.708，📉</w:t>
      </w:r>
      <w:r>
        <w:t xml:space="preserve"> </w:t>
      </w:r>
      <w:r>
        <w:rPr>
          <w:rFonts w:hint="eastAsia"/>
        </w:rPr>
        <w:t xml:space="preserve">-0.02%；WTI原油报96.256，📉</w:t>
      </w:r>
      <w:r>
        <w:t xml:space="preserve"> </w:t>
      </w:r>
      <w:r>
        <w:rPr>
          <w:rFonts w:hint="eastAsia"/>
        </w:rPr>
        <w:t xml:space="preserve">-0.21%；伦铜报14331.165，📉</w:t>
      </w:r>
      <w:r>
        <w:t xml:space="preserve"> -0.10%。</w:t>
      </w:r>
    </w:p>
    <w:bookmarkEnd w:id="11"/>
    <w:bookmarkEnd w:id="12"/>
    <w:bookmarkStart w:id="17" w:name="新闻联播政策面深度解读"/>
    <w:p>
      <w:pPr>
        <w:pStyle w:val="Heading2"/>
      </w:pPr>
      <w:r>
        <w:t xml:space="preserve">📰 </w:t>
      </w:r>
      <w:r>
        <w:rPr>
          <w:rFonts w:hint="eastAsia"/>
        </w:rPr>
        <w:t xml:space="preserve">新闻联播政策面深度解读</w:t>
      </w:r>
    </w:p>
    <w:bookmarkStart w:id="13" w:name="资本市场稳定工具加码"/>
    <w:p>
      <w:pPr>
        <w:pStyle w:val="Heading3"/>
      </w:pPr>
      <w:r>
        <w:t xml:space="preserve">💰 </w:t>
      </w:r>
      <w:r>
        <w:rPr>
          <w:rFonts w:hint="eastAsia"/>
        </w:rPr>
        <w:t xml:space="preserve">资本市场稳定工具加码</w:t>
      </w:r>
    </w:p>
    <w:p>
      <w:pPr>
        <w:pStyle w:val="Compact"/>
        <w:numPr>
          <w:ilvl w:val="0"/>
          <w:numId w:val="1004"/>
        </w:numPr>
      </w:pPr>
      <w:r>
        <w:rPr>
          <w:rFonts w:hint="eastAsia"/>
        </w:rPr>
        <w:t xml:space="preserve">央行将于11月3日开展证券、基金、保险公司互换便利操作，期限1年，可视情展期。</w:t>
      </w:r>
    </w:p>
    <w:p>
      <w:pPr>
        <w:pStyle w:val="Compact"/>
        <w:numPr>
          <w:ilvl w:val="0"/>
          <w:numId w:val="1004"/>
        </w:numPr>
      </w:pPr>
      <w:r>
        <w:rPr>
          <w:rFonts w:hint="eastAsia"/>
        </w:rPr>
        <w:t xml:space="preserve">已有31家证券、基金公司申报需求，申请额度超过1000亿元。</w:t>
      </w:r>
    </w:p>
    <w:p>
      <w:pPr>
        <w:pStyle w:val="Compact"/>
        <w:numPr>
          <w:ilvl w:val="0"/>
          <w:numId w:val="1004"/>
        </w:numPr>
      </w:pPr>
      <w:r>
        <w:t xml:space="preserve">📈 </w:t>
      </w:r>
      <w:r>
        <w:rPr>
          <w:rFonts w:hint="eastAsia"/>
        </w:rPr>
        <w:t xml:space="preserve">A股映射：证券Ⅱ、多元金融、大型宽基ETF及高股息蓝筹有望获得风险偏好支撑。</w:t>
      </w:r>
    </w:p>
    <w:p>
      <w:pPr>
        <w:pStyle w:val="Compact"/>
        <w:numPr>
          <w:ilvl w:val="0"/>
          <w:numId w:val="1004"/>
        </w:numPr>
      </w:pPr>
      <w:r>
        <w:t xml:space="preserve">⚠️ </w:t>
      </w:r>
      <w:r>
        <w:rPr>
          <w:rFonts w:hint="eastAsia"/>
        </w:rPr>
        <w:t xml:space="preserve">昨日证券Ⅱ主力净流入28.38亿元，板块已有明显预期交易，今日需观察成交额能否继续放大，避免追逐高开。</w:t>
      </w:r>
    </w:p>
    <w:bookmarkEnd w:id="13"/>
    <w:bookmarkStart w:id="14" w:name="黄河流域生态保护和治理"/>
    <w:p>
      <w:pPr>
        <w:pStyle w:val="Heading3"/>
      </w:pPr>
      <w:r>
        <w:t xml:space="preserve">🌊 </w:t>
      </w:r>
      <w:r>
        <w:rPr>
          <w:rFonts w:hint="eastAsia"/>
        </w:rPr>
        <w:t xml:space="preserve">黄河流域生态保护和治理</w:t>
      </w:r>
    </w:p>
    <w:p>
      <w:pPr>
        <w:pStyle w:val="Compact"/>
        <w:numPr>
          <w:ilvl w:val="0"/>
          <w:numId w:val="1005"/>
        </w:numPr>
      </w:pPr>
      <w:r>
        <w:rPr>
          <w:rFonts w:hint="eastAsia"/>
        </w:rPr>
        <w:t xml:space="preserve">政策要求持续完善“大保护、大协同”格局，强化水资源节约集约利用、水网工程统筹调配及水生态保护。</w:t>
      </w:r>
    </w:p>
    <w:p>
      <w:pPr>
        <w:pStyle w:val="Compact"/>
        <w:numPr>
          <w:ilvl w:val="0"/>
          <w:numId w:val="1005"/>
        </w:numPr>
      </w:pPr>
      <w:r>
        <w:t xml:space="preserve">📈 </w:t>
      </w:r>
      <w:r>
        <w:rPr>
          <w:rFonts w:hint="eastAsia"/>
        </w:rPr>
        <w:t xml:space="preserve">A股映射：水利工程、水务环保、节水设备、生态修复、工程咨询及黄河流域基础设施。</w:t>
      </w:r>
    </w:p>
    <w:p>
      <w:pPr>
        <w:pStyle w:val="Compact"/>
        <w:numPr>
          <w:ilvl w:val="0"/>
          <w:numId w:val="1005"/>
        </w:numPr>
      </w:pPr>
      <w:r>
        <w:t xml:space="preserve">💡 </w:t>
      </w:r>
      <w:r>
        <w:rPr>
          <w:rFonts w:hint="eastAsia"/>
        </w:rPr>
        <w:t xml:space="preserve">该方向属于政策驱动型机会，只有出现成交额持续增长和板块内部扩散后，才具备交易确认条件。</w:t>
      </w:r>
    </w:p>
    <w:bookmarkEnd w:id="14"/>
    <w:bookmarkStart w:id="15" w:name="法律与制度建设"/>
    <w:p>
      <w:pPr>
        <w:pStyle w:val="Heading3"/>
      </w:pPr>
      <w:r>
        <w:t xml:space="preserve">⚡ </w:t>
      </w:r>
      <w:r>
        <w:rPr>
          <w:rFonts w:hint="eastAsia"/>
        </w:rPr>
        <w:t xml:space="preserve">法律与制度建设</w:t>
      </w:r>
    </w:p>
    <w:p>
      <w:pPr>
        <w:pStyle w:val="Compact"/>
        <w:numPr>
          <w:ilvl w:val="0"/>
          <w:numId w:val="1006"/>
        </w:numPr>
      </w:pPr>
      <w:r>
        <w:rPr>
          <w:rFonts w:hint="eastAsia"/>
        </w:rPr>
        <w:t xml:space="preserve">全国人大常委会审议水法修订草案、可再生能源法修订草案和金融法草案修改情况。</w:t>
      </w:r>
    </w:p>
    <w:p>
      <w:pPr>
        <w:pStyle w:val="Compact"/>
        <w:numPr>
          <w:ilvl w:val="0"/>
          <w:numId w:val="1006"/>
        </w:numPr>
      </w:pPr>
      <w:r>
        <w:t xml:space="preserve">📈 </w:t>
      </w:r>
      <w:r>
        <w:rPr>
          <w:rFonts w:hint="eastAsia"/>
        </w:rPr>
        <w:t xml:space="preserve">A股映射：水资源管理、风电、光伏、电网储能、绿色金融及金融科技。</w:t>
      </w:r>
    </w:p>
    <w:p>
      <w:pPr>
        <w:pStyle w:val="Compact"/>
        <w:numPr>
          <w:ilvl w:val="0"/>
          <w:numId w:val="1006"/>
        </w:numPr>
      </w:pPr>
      <w:r>
        <w:t xml:space="preserve">⚠️ </w:t>
      </w:r>
      <w:r>
        <w:rPr>
          <w:rFonts w:hint="eastAsia"/>
        </w:rPr>
        <w:t xml:space="preserve">法律审议属于中长期制度信号，不等同于上市公司短期订单或利润立即增长。</w:t>
      </w:r>
    </w:p>
    <w:bookmarkEnd w:id="15"/>
    <w:bookmarkStart w:id="16" w:name="国际合作信号"/>
    <w:p>
      <w:pPr>
        <w:pStyle w:val="Heading3"/>
      </w:pPr>
      <w:r>
        <w:t xml:space="preserve">🤝 </w:t>
      </w:r>
      <w:r>
        <w:rPr>
          <w:rFonts w:hint="eastAsia"/>
        </w:rPr>
        <w:t xml:space="preserve">国际合作信号</w:t>
      </w:r>
    </w:p>
    <w:p>
      <w:pPr>
        <w:pStyle w:val="Compact"/>
        <w:numPr>
          <w:ilvl w:val="0"/>
          <w:numId w:val="1007"/>
        </w:numPr>
      </w:pPr>
      <w:r>
        <w:rPr>
          <w:rFonts w:hint="eastAsia"/>
        </w:rPr>
        <w:t xml:space="preserve">中国与阿曼提出深化能源、产业、投资、人工智能、科技、产供链、绿色发展及数字金融合作。</w:t>
      </w:r>
    </w:p>
    <w:p>
      <w:pPr>
        <w:pStyle w:val="Compact"/>
        <w:numPr>
          <w:ilvl w:val="0"/>
          <w:numId w:val="1007"/>
        </w:numPr>
      </w:pPr>
      <w:r>
        <w:rPr>
          <w:rFonts w:hint="eastAsia"/>
        </w:rPr>
        <w:t xml:space="preserve">中国与秘鲁自贸协定升级议定书于11月1日生效。</w:t>
      </w:r>
    </w:p>
    <w:p>
      <w:pPr>
        <w:pStyle w:val="Compact"/>
        <w:numPr>
          <w:ilvl w:val="0"/>
          <w:numId w:val="1007"/>
        </w:numPr>
      </w:pPr>
      <w:r>
        <w:t xml:space="preserve">📈 </w:t>
      </w:r>
      <w:r>
        <w:rPr>
          <w:rFonts w:hint="eastAsia"/>
        </w:rPr>
        <w:t xml:space="preserve">A股映射：油气能源服务、跨境物流、港口、数字金融、人工智能、工程承包及对拉美贸易企业。</w:t>
      </w:r>
    </w:p>
    <w:p>
      <w:pPr>
        <w:pStyle w:val="Compact"/>
        <w:numPr>
          <w:ilvl w:val="0"/>
          <w:numId w:val="1007"/>
        </w:numPr>
      </w:pPr>
      <w:r>
        <w:t xml:space="preserve">⚠️ </w:t>
      </w:r>
      <w:r>
        <w:rPr>
          <w:rFonts w:hint="eastAsia"/>
        </w:rPr>
        <w:t xml:space="preserve">相关公司仍需以正式订单和业绩兑现为依据，不能仅凭外交新闻追涨。</w:t>
      </w:r>
    </w:p>
    <w:bookmarkEnd w:id="16"/>
    <w:bookmarkEnd w:id="17"/>
    <w:bookmarkStart w:id="20" w:name="今日公告"/>
    <w:p>
      <w:pPr>
        <w:pStyle w:val="Heading2"/>
      </w:pPr>
      <w:r>
        <w:t xml:space="preserve">📢 </w:t>
      </w:r>
      <w:r>
        <w:rPr>
          <w:rFonts w:hint="eastAsia"/>
        </w:rPr>
        <w:t xml:space="preserve">今日公告</w:t>
      </w:r>
    </w:p>
    <w:p>
      <w:pPr>
        <w:pStyle w:val="FirstParagraph"/>
      </w:pPr>
      <w:r>
        <w:rPr>
          <w:rFonts w:hint="eastAsia"/>
        </w:rPr>
        <w:t xml:space="preserve">公告来源为巨潮资讯官方历史公告接口，覆盖沪深两市2026年11月3日公告；公告主接口出现HTTP</w:t>
      </w:r>
      <w:r>
        <w:t xml:space="preserve"> </w:t>
      </w:r>
      <w:r>
        <w:rPr>
          <w:rFonts w:hint="eastAsia"/>
        </w:rPr>
        <w:t xml:space="preserve">567错误后，由官方历史公告接口完成38页采集，共取得1111条公告，不估算未披露内容。</w:t>
      </w:r>
    </w:p>
    <w:bookmarkStart w:id="18" w:name="重大风险公告"/>
    <w:p>
      <w:pPr>
        <w:pStyle w:val="Heading3"/>
      </w:pPr>
      <w:r>
        <w:t xml:space="preserve">⚠️ </w:t>
      </w:r>
      <w:r>
        <w:rPr>
          <w:rFonts w:hint="eastAsia"/>
        </w:rPr>
        <w:t xml:space="preserve">重大风险公告</w:t>
      </w:r>
    </w:p>
    <w:p>
      <w:pPr>
        <w:pStyle w:val="Compact"/>
        <w:numPr>
          <w:ilvl w:val="0"/>
          <w:numId w:val="1008"/>
        </w:numPr>
      </w:pPr>
      <w:r>
        <w:rPr>
          <w:rFonts w:hint="eastAsia"/>
          <w:b/>
          <w:bCs/>
        </w:rPr>
        <w:t xml:space="preserve">晶华微（688130）</w:t>
      </w:r>
      <w:r>
        <w:rPr>
          <w:rFonts w:hint="eastAsia"/>
        </w:rPr>
        <w:t xml:space="preserve">：公司及控股股东收到中国证监会立案告知书；公司另公告部分证券账户、银行账户被冻结。监管与资产冻结风险叠加，列入回避清单。</w:t>
      </w:r>
    </w:p>
    <w:p>
      <w:pPr>
        <w:pStyle w:val="Compact"/>
        <w:numPr>
          <w:ilvl w:val="0"/>
          <w:numId w:val="1008"/>
        </w:numPr>
      </w:pPr>
      <w:r>
        <w:rPr>
          <w:rFonts w:hint="eastAsia"/>
          <w:b/>
          <w:bCs/>
        </w:rPr>
        <w:t xml:space="preserve">科力远（600478）</w:t>
      </w:r>
      <w:r>
        <w:rPr>
          <w:rFonts w:hint="eastAsia"/>
        </w:rPr>
        <w:t xml:space="preserve">：公司及控股股东收到中国证监会立案告知书，需防范监管调查带来的估值折价。</w:t>
      </w:r>
    </w:p>
    <w:p>
      <w:pPr>
        <w:pStyle w:val="Compact"/>
        <w:numPr>
          <w:ilvl w:val="0"/>
          <w:numId w:val="1008"/>
        </w:numPr>
      </w:pPr>
      <w:r>
        <w:rPr>
          <w:rFonts w:hint="eastAsia"/>
          <w:b/>
          <w:bCs/>
        </w:rPr>
        <w:t xml:space="preserve">通灵股份（301168）</w:t>
      </w:r>
      <w:r>
        <w:rPr>
          <w:rFonts w:hint="eastAsia"/>
        </w:rPr>
        <w:t xml:space="preserve">：公司及相关人员收到警示函，关注后续整改及信息披露风险。</w:t>
      </w:r>
    </w:p>
    <w:p>
      <w:pPr>
        <w:pStyle w:val="Compact"/>
        <w:numPr>
          <w:ilvl w:val="0"/>
          <w:numId w:val="1008"/>
        </w:numPr>
      </w:pPr>
      <w:r>
        <w:rPr>
          <w:rFonts w:hint="eastAsia"/>
          <w:b/>
          <w:bCs/>
        </w:rPr>
        <w:t xml:space="preserve">亚玛顿（002623）</w:t>
      </w:r>
      <w:r>
        <w:rPr>
          <w:rFonts w:hint="eastAsia"/>
        </w:rPr>
        <w:t xml:space="preserve">：筹划控制权变更事项，股票停牌，复牌时间和交易安排以正式公告为准。</w:t>
      </w:r>
    </w:p>
    <w:p>
      <w:pPr>
        <w:pStyle w:val="Compact"/>
        <w:numPr>
          <w:ilvl w:val="0"/>
          <w:numId w:val="1008"/>
        </w:numPr>
      </w:pPr>
      <w:r>
        <w:rPr>
          <w:rFonts w:hint="eastAsia"/>
          <w:b/>
          <w:bCs/>
        </w:rPr>
        <w:t xml:space="preserve">中基健康（000972）</w:t>
      </w:r>
      <w:r>
        <w:rPr>
          <w:rFonts w:hint="eastAsia"/>
        </w:rPr>
        <w:t xml:space="preserve">：法院裁定受理公司及子公司重整，公司股票停牌一天并将被实施退市风险警示。</w:t>
      </w:r>
    </w:p>
    <w:bookmarkEnd w:id="18"/>
    <w:bookmarkStart w:id="19" w:name="重要资本运作与股东回报"/>
    <w:p>
      <w:pPr>
        <w:pStyle w:val="Heading3"/>
      </w:pPr>
      <w:r>
        <w:t xml:space="preserve">📈 </w:t>
      </w:r>
      <w:r>
        <w:rPr>
          <w:rFonts w:hint="eastAsia"/>
        </w:rPr>
        <w:t xml:space="preserve">重要资本运作与股东回报</w:t>
      </w:r>
    </w:p>
    <w:p>
      <w:pPr>
        <w:pStyle w:val="Compact"/>
        <w:numPr>
          <w:ilvl w:val="0"/>
          <w:numId w:val="1009"/>
        </w:numPr>
      </w:pPr>
      <w:r>
        <w:rPr>
          <w:rFonts w:hint="eastAsia"/>
          <w:b/>
          <w:bCs/>
        </w:rPr>
        <w:t xml:space="preserve">广汇能源（600256）</w:t>
      </w:r>
      <w:r>
        <w:rPr>
          <w:rFonts w:hint="eastAsia"/>
        </w:rPr>
        <w:t xml:space="preserve">：披露2026年前三季度利润分配预案，同时存在关联担保及控股股东部分股权质押事项，利好与风险需同时评估。</w:t>
      </w:r>
    </w:p>
    <w:p>
      <w:pPr>
        <w:pStyle w:val="Compact"/>
        <w:numPr>
          <w:ilvl w:val="0"/>
          <w:numId w:val="1009"/>
        </w:numPr>
      </w:pPr>
      <w:r>
        <w:rPr>
          <w:rFonts w:hint="eastAsia"/>
          <w:b/>
          <w:bCs/>
        </w:rPr>
        <w:t xml:space="preserve">中化国际（600500）</w:t>
      </w:r>
      <w:r>
        <w:rPr>
          <w:rFonts w:hint="eastAsia"/>
        </w:rPr>
        <w:t xml:space="preserve">：并购重组事项进入上交所并购重组审核委员会会议安排阶段。</w:t>
      </w:r>
    </w:p>
    <w:p>
      <w:pPr>
        <w:pStyle w:val="Compact"/>
        <w:numPr>
          <w:ilvl w:val="0"/>
          <w:numId w:val="1009"/>
        </w:numPr>
      </w:pPr>
      <w:r>
        <w:rPr>
          <w:rFonts w:hint="eastAsia"/>
          <w:b/>
          <w:bCs/>
        </w:rPr>
        <w:t xml:space="preserve">观想科技（301213）</w:t>
      </w:r>
      <w:r>
        <w:rPr>
          <w:rFonts w:hint="eastAsia"/>
        </w:rPr>
        <w:t xml:space="preserve">：重大资产购买暨关联交易报告书更新，并回复深交所重组问询函。</w:t>
      </w:r>
    </w:p>
    <w:p>
      <w:pPr>
        <w:pStyle w:val="Compact"/>
        <w:numPr>
          <w:ilvl w:val="0"/>
          <w:numId w:val="1009"/>
        </w:numPr>
      </w:pPr>
      <w:r>
        <w:rPr>
          <w:rFonts w:hint="eastAsia"/>
          <w:b/>
          <w:bCs/>
        </w:rPr>
        <w:t xml:space="preserve">荣盛发展（002146）</w:t>
      </w:r>
      <w:r>
        <w:rPr>
          <w:rFonts w:hint="eastAsia"/>
        </w:rPr>
        <w:t xml:space="preserve">：披露债务重组公告，需关注重组具体条件及对现金流、损益的影响。</w:t>
      </w:r>
    </w:p>
    <w:p>
      <w:pPr>
        <w:pStyle w:val="Compact"/>
        <w:numPr>
          <w:ilvl w:val="0"/>
          <w:numId w:val="1009"/>
        </w:numPr>
      </w:pPr>
      <w:r>
        <w:rPr>
          <w:rFonts w:hint="eastAsia"/>
          <w:b/>
          <w:bCs/>
        </w:rPr>
        <w:t xml:space="preserve">拓荆科技（688072）</w:t>
      </w:r>
      <w:r>
        <w:rPr>
          <w:rFonts w:hint="eastAsia"/>
        </w:rPr>
        <w:t xml:space="preserve">：披露集中竞价回购股份进展，回购只能作为信心辅助证据，不能替代技术趋势确认。</w:t>
      </w:r>
    </w:p>
    <w:bookmarkEnd w:id="19"/>
    <w:bookmarkEnd w:id="20"/>
    <w:bookmarkStart w:id="21" w:name="经济数据与今日事件"/>
    <w:p>
      <w:pPr>
        <w:pStyle w:val="Heading2"/>
      </w:pPr>
      <w:r>
        <w:t xml:space="preserve">📅 </w:t>
      </w:r>
      <w:r>
        <w:rPr>
          <w:rFonts w:hint="eastAsia"/>
        </w:rPr>
        <w:t xml:space="preserve">经济数据与今日事件</w:t>
      </w:r>
    </w:p>
    <w:p>
      <w:pPr>
        <w:pStyle w:val="Compact"/>
        <w:numPr>
          <w:ilvl w:val="0"/>
          <w:numId w:val="1010"/>
        </w:numPr>
      </w:pPr>
      <w:r>
        <w:t xml:space="preserve">💰 </w:t>
      </w:r>
      <w:r>
        <w:rPr>
          <w:rFonts w:hint="eastAsia"/>
        </w:rPr>
        <w:t xml:space="preserve">央行今日开展证券、基金、保险公司互换便利操作，是盘前最重要的国内流动性事件。</w:t>
      </w:r>
    </w:p>
    <w:p>
      <w:pPr>
        <w:pStyle w:val="Compact"/>
        <w:numPr>
          <w:ilvl w:val="0"/>
          <w:numId w:val="1010"/>
        </w:numPr>
      </w:pPr>
      <w:r>
        <w:t xml:space="preserve">🏛️ </w:t>
      </w:r>
      <w:r>
        <w:rPr>
          <w:rFonts w:hint="eastAsia"/>
        </w:rPr>
        <w:t xml:space="preserve">全国人大常委会继续审议金融法、水法及可再生能源法等草案，关注金融、环保、水利和新能源方向的政策预期。</w:t>
      </w:r>
    </w:p>
    <w:p>
      <w:pPr>
        <w:pStyle w:val="Compact"/>
        <w:numPr>
          <w:ilvl w:val="0"/>
          <w:numId w:val="1010"/>
        </w:numPr>
      </w:pPr>
      <w:r>
        <w:t xml:space="preserve">🌐 </w:t>
      </w:r>
      <w:r>
        <w:rPr>
          <w:rFonts w:hint="eastAsia"/>
        </w:rPr>
        <w:t xml:space="preserve">2026年世界互联网大会“互联网之光”博览会已有54个国家和地区、670余家机构参展，展示1000余项新技术和新产品，关注软件、互联网服务、人工智能及数字基础设施。</w:t>
      </w:r>
    </w:p>
    <w:p>
      <w:pPr>
        <w:pStyle w:val="Compact"/>
        <w:numPr>
          <w:ilvl w:val="0"/>
          <w:numId w:val="1010"/>
        </w:numPr>
      </w:pPr>
      <w:r>
        <w:t xml:space="preserve">⚠️ </w:t>
      </w:r>
      <w:r>
        <w:rPr>
          <w:rFonts w:hint="eastAsia"/>
        </w:rPr>
        <w:t xml:space="preserve">采集JSON未提供11月3日国内外正式宏观数据发布时间表及一致预期，原因是本轮采集链未包含经济日历主源；不估算具体数据，不纳入盘前确认结论。</w:t>
      </w:r>
    </w:p>
    <w:bookmarkEnd w:id="21"/>
    <w:bookmarkStart w:id="22" w:name="全球事件"/>
    <w:p>
      <w:pPr>
        <w:pStyle w:val="Heading2"/>
      </w:pPr>
      <w:r>
        <w:t xml:space="preserve">🌏 </w:t>
      </w:r>
      <w:r>
        <w:rPr>
          <w:rFonts w:hint="eastAsia"/>
        </w:rPr>
        <w:t xml:space="preserve">全球事件</w:t>
      </w:r>
    </w:p>
    <w:p>
      <w:pPr>
        <w:pStyle w:val="Compact"/>
        <w:numPr>
          <w:ilvl w:val="0"/>
          <w:numId w:val="1011"/>
        </w:numPr>
      </w:pPr>
      <w:r>
        <w:rPr>
          <w:rFonts w:hint="eastAsia"/>
        </w:rPr>
        <w:t xml:space="preserve">伊朗称正讨论重新开放霍尔木兹海峡的“两日计划”，但美方尚未回应，能源运输风险仍未解除。</w:t>
      </w:r>
    </w:p>
    <w:p>
      <w:pPr>
        <w:pStyle w:val="Compact"/>
        <w:numPr>
          <w:ilvl w:val="0"/>
          <w:numId w:val="1011"/>
        </w:numPr>
      </w:pPr>
      <w:r>
        <w:rPr>
          <w:rFonts w:hint="eastAsia"/>
        </w:rPr>
        <w:t xml:space="preserve">也门多地遭多国联军袭击，地缘冲突可能继续影响原油、航运及风险资产波动。</w:t>
      </w:r>
    </w:p>
    <w:p>
      <w:pPr>
        <w:pStyle w:val="Compact"/>
        <w:numPr>
          <w:ilvl w:val="0"/>
          <w:numId w:val="1011"/>
        </w:numPr>
      </w:pPr>
      <w:r>
        <w:rPr>
          <w:rFonts w:hint="eastAsia"/>
        </w:rPr>
        <w:t xml:space="preserve">中国与阿曼签署产供链、绿色发展和数字金融等合作文件，对能源合作和“一带一路”相关方向构成中期政策支持。</w:t>
      </w:r>
    </w:p>
    <w:p>
      <w:pPr>
        <w:pStyle w:val="Compact"/>
        <w:numPr>
          <w:ilvl w:val="0"/>
          <w:numId w:val="1011"/>
        </w:numPr>
      </w:pPr>
      <w:r>
        <w:t xml:space="preserve">⚠️ </w:t>
      </w:r>
      <w:r>
        <w:rPr>
          <w:rFonts w:hint="eastAsia"/>
        </w:rPr>
        <w:t xml:space="preserve">WTI原油盘前下跌0.21%，当前价格未体现剧烈避险升温，但地缘事件仍可能导致日内快速变化。</w:t>
      </w:r>
    </w:p>
    <w:bookmarkEnd w:id="22"/>
    <w:bookmarkStart w:id="33" w:name="昨日a股复盘"/>
    <w:p>
      <w:pPr>
        <w:pStyle w:val="Heading2"/>
      </w:pPr>
      <w:r>
        <w:t xml:space="preserve">📈 </w:t>
      </w:r>
      <w:r>
        <w:rPr>
          <w:rFonts w:hint="eastAsia"/>
        </w:rPr>
        <w:t xml:space="preserve">昨日A股复盘</w:t>
      </w:r>
    </w:p>
    <w:bookmarkStart w:id="23" w:name="主要指数表现"/>
    <w:p>
      <w:pPr>
        <w:pStyle w:val="Heading3"/>
      </w:pPr>
      <w:r>
        <w:t xml:space="preserve">📈 </w:t>
      </w:r>
      <w:r>
        <w:rPr>
          <w:rFonts w:hint="eastAsia"/>
        </w:rPr>
        <w:t xml:space="preserve">主要指数表现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上证指数</w:t>
            </w:r>
          </w:p>
        </w:tc>
        <w:tc>
          <w:tcPr/>
          <w:p>
            <w:pPr>
              <w:pStyle w:val="Compact"/>
              <w:jc w:val="right"/>
            </w:pPr>
            <w:r>
              <w:t xml:space="preserve">3638.0310</w:t>
            </w:r>
          </w:p>
        </w:tc>
        <w:tc>
          <w:tcPr/>
          <w:p>
            <w:pPr>
              <w:pStyle w:val="Compact"/>
              <w:jc w:val="right"/>
            </w:pPr>
            <w:r>
              <w:t xml:space="preserve">🔴 +1.0840%</w:t>
            </w:r>
          </w:p>
        </w:tc>
      </w:tr>
      <w:tr>
        <w:tc>
          <w:tcPr/>
          <w:p>
            <w:pPr>
              <w:pStyle w:val="Compact"/>
            </w:pPr>
            <w:r>
              <w:rPr>
                <w:rFonts w:hint="eastAsia"/>
              </w:rPr>
              <w:t xml:space="preserve">深证成指</w:t>
            </w:r>
          </w:p>
        </w:tc>
        <w:tc>
          <w:tcPr/>
          <w:p>
            <w:pPr>
              <w:pStyle w:val="Compact"/>
              <w:jc w:val="right"/>
            </w:pPr>
            <w:r>
              <w:t xml:space="preserve">11010.6780</w:t>
            </w:r>
          </w:p>
        </w:tc>
        <w:tc>
          <w:tcPr/>
          <w:p>
            <w:pPr>
              <w:pStyle w:val="Compact"/>
              <w:jc w:val="right"/>
            </w:pPr>
            <w:r>
              <w:t xml:space="preserve">🔴 +1.6328%</w:t>
            </w:r>
          </w:p>
        </w:tc>
      </w:tr>
      <w:tr>
        <w:tc>
          <w:tcPr/>
          <w:p>
            <w:pPr>
              <w:pStyle w:val="Compact"/>
            </w:pPr>
            <w:r>
              <w:rPr>
                <w:rFonts w:hint="eastAsia"/>
              </w:rPr>
              <w:t xml:space="preserve">创业板指</w:t>
            </w:r>
          </w:p>
        </w:tc>
        <w:tc>
          <w:tcPr/>
          <w:p>
            <w:pPr>
              <w:pStyle w:val="Compact"/>
              <w:jc w:val="right"/>
            </w:pPr>
            <w:r>
              <w:t xml:space="preserve">2458.6980</w:t>
            </w:r>
          </w:p>
        </w:tc>
        <w:tc>
          <w:tcPr/>
          <w:p>
            <w:pPr>
              <w:pStyle w:val="Compact"/>
              <w:jc w:val="right"/>
            </w:pPr>
            <w:r>
              <w:t xml:space="preserve">🔴 +1.8673%</w:t>
            </w:r>
          </w:p>
        </w:tc>
      </w:tr>
      <w:tr>
        <w:tc>
          <w:tcPr/>
          <w:p>
            <w:pPr>
              <w:pStyle w:val="Compact"/>
            </w:pPr>
            <w:r>
              <w:rPr>
                <w:rFonts w:hint="eastAsia"/>
              </w:rPr>
              <w:t xml:space="preserve">科创50</w:t>
            </w:r>
          </w:p>
        </w:tc>
        <w:tc>
          <w:tcPr/>
          <w:p>
            <w:pPr>
              <w:pStyle w:val="Compact"/>
              <w:jc w:val="right"/>
            </w:pPr>
            <w:r>
              <w:t xml:space="preserve">1196.9363</w:t>
            </w:r>
          </w:p>
        </w:tc>
        <w:tc>
          <w:tcPr/>
          <w:p>
            <w:pPr>
              <w:pStyle w:val="Compact"/>
              <w:jc w:val="right"/>
            </w:pPr>
            <w:r>
              <w:t xml:space="preserve">🔴 +3.1096%</w:t>
            </w:r>
          </w:p>
        </w:tc>
      </w:tr>
      <w:tr>
        <w:tc>
          <w:tcPr/>
          <w:p>
            <w:pPr>
              <w:pStyle w:val="Compact"/>
            </w:pPr>
            <w:r>
              <w:rPr>
                <w:rFonts w:hint="eastAsia"/>
              </w:rPr>
              <w:t xml:space="preserve">沪深300</w:t>
            </w:r>
          </w:p>
        </w:tc>
        <w:tc>
          <w:tcPr/>
          <w:p>
            <w:pPr>
              <w:pStyle w:val="Compact"/>
              <w:jc w:val="right"/>
            </w:pPr>
            <w:r>
              <w:t xml:space="preserve">4016.9179</w:t>
            </w:r>
          </w:p>
        </w:tc>
        <w:tc>
          <w:tcPr/>
          <w:p>
            <w:pPr>
              <w:pStyle w:val="Compact"/>
              <w:jc w:val="right"/>
            </w:pPr>
            <w:r>
              <w:t xml:space="preserve">🔴 +0.7883%</w:t>
            </w:r>
          </w:p>
        </w:tc>
      </w:tr>
    </w:tbl>
    <w:p>
      <w:pPr>
        <w:pStyle w:val="Compact"/>
        <w:numPr>
          <w:ilvl w:val="0"/>
          <w:numId w:val="1012"/>
        </w:numPr>
      </w:pPr>
      <w:r>
        <w:rPr>
          <w:rFonts w:hint="eastAsia"/>
        </w:rPr>
        <w:t xml:space="preserve">全市场上涨4681家、下跌818家、平盘72家，上涨与下跌家数比为5.722。</w:t>
      </w:r>
    </w:p>
    <w:p>
      <w:pPr>
        <w:pStyle w:val="Compact"/>
        <w:numPr>
          <w:ilvl w:val="0"/>
          <w:numId w:val="1012"/>
        </w:numPr>
      </w:pPr>
      <w:r>
        <w:rPr>
          <w:rFonts w:hint="eastAsia"/>
        </w:rPr>
        <w:t xml:space="preserve">科创50涨幅领先，昨日风格明显偏成长、偏进攻。</w:t>
      </w:r>
    </w:p>
    <w:p>
      <w:pPr>
        <w:pStyle w:val="Compact"/>
        <w:numPr>
          <w:ilvl w:val="0"/>
          <w:numId w:val="1012"/>
        </w:numPr>
      </w:pPr>
      <w:r>
        <w:rPr>
          <w:rFonts w:hint="eastAsia"/>
        </w:rPr>
        <w:t xml:space="preserve">全市场成交额17951.83亿元，较前一交易日16877.07亿元增加1074.76亿元，增幅6.37%，属于温和放量。</w:t>
      </w:r>
    </w:p>
    <w:p>
      <w:pPr>
        <w:pStyle w:val="Compact"/>
        <w:numPr>
          <w:ilvl w:val="0"/>
          <w:numId w:val="1012"/>
        </w:numPr>
      </w:pPr>
      <w:r>
        <w:rPr>
          <w:rFonts w:hint="eastAsia"/>
        </w:rPr>
        <w:t xml:space="preserve">行业涨幅前三为游戏9.06%、文化传媒8.08%、软件开发类6.09%，TMT方向出现集中修复。</w:t>
      </w:r>
    </w:p>
    <w:bookmarkEnd w:id="23"/>
    <w:bookmarkStart w:id="32" w:name="上一交易日资金四榜"/>
    <w:p>
      <w:pPr>
        <w:pStyle w:val="Heading3"/>
      </w:pPr>
      <w:r>
        <w:t xml:space="preserve">💰 </w:t>
      </w:r>
      <w:r>
        <w:rPr>
          <w:rFonts w:hint="eastAsia"/>
        </w:rPr>
        <w:t xml:space="preserve">上一交易日资金四榜</w:t>
      </w:r>
    </w:p>
    <w:p>
      <w:pPr>
        <w:pStyle w:val="FirstParagraph"/>
      </w:pPr>
      <w:r>
        <w:rPr>
          <w:rFonts w:hint="eastAsia"/>
          <w:b/>
          <w:bCs/>
        </w:rPr>
        <w:t xml:space="preserve">口径：交易日2026年11月2日，15:00，previous_close，申万二级行业；来源：华泰skill。</w:t>
      </w:r>
    </w:p>
    <w:bookmarkStart w:id="24" w:name="流出top10板块15"/>
    <w:p>
      <w:pPr>
        <w:pStyle w:val="Heading4"/>
      </w:pPr>
      <w:r>
        <w:t xml:space="preserve">💰 </w:t>
      </w:r>
      <w:r>
        <w:rPr>
          <w:rFonts w:hint="eastAsia"/>
        </w:rPr>
        <w:t xml:space="preserve">流出TOP10板块（1—5）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上一交易日主力净流出</w:t>
            </w:r>
          </w:p>
        </w:tc>
      </w:tr>
      <w:tr>
        <w:tc>
          <w:tcPr/>
          <w:p>
            <w:pPr>
              <w:pStyle w:val="Compact"/>
              <w:jc w:val="right"/>
            </w:pPr>
            <w:r>
              <w:t xml:space="preserve">1</w:t>
            </w:r>
          </w:p>
        </w:tc>
        <w:tc>
          <w:tcPr/>
          <w:p>
            <w:pPr>
              <w:pStyle w:val="Compact"/>
            </w:pPr>
            <w:r>
              <w:rPr>
                <w:rFonts w:hint="eastAsia"/>
              </w:rPr>
              <w:t xml:space="preserve">银行Ⅱ</w:t>
            </w:r>
          </w:p>
        </w:tc>
        <w:tc>
          <w:tcPr/>
          <w:p>
            <w:pPr>
              <w:pStyle w:val="Compact"/>
              <w:jc w:val="right"/>
            </w:pPr>
            <w:r>
              <w:rPr>
                <w:rFonts w:hint="eastAsia"/>
              </w:rPr>
              <w:t xml:space="preserve">-19.49亿元</w:t>
            </w:r>
          </w:p>
        </w:tc>
      </w:tr>
      <w:tr>
        <w:tc>
          <w:tcPr/>
          <w:p>
            <w:pPr>
              <w:pStyle w:val="Compact"/>
              <w:jc w:val="right"/>
            </w:pPr>
            <w:r>
              <w:t xml:space="preserve">2</w:t>
            </w:r>
          </w:p>
        </w:tc>
        <w:tc>
          <w:tcPr/>
          <w:p>
            <w:pPr>
              <w:pStyle w:val="Compact"/>
            </w:pPr>
            <w:r>
              <w:rPr>
                <w:rFonts w:hint="eastAsia"/>
              </w:rPr>
              <w:t xml:space="preserve">电力</w:t>
            </w:r>
          </w:p>
        </w:tc>
        <w:tc>
          <w:tcPr/>
          <w:p>
            <w:pPr>
              <w:pStyle w:val="Compact"/>
              <w:jc w:val="right"/>
            </w:pPr>
            <w:r>
              <w:rPr>
                <w:rFonts w:hint="eastAsia"/>
              </w:rPr>
              <w:t xml:space="preserve">-12.05亿元</w:t>
            </w:r>
          </w:p>
        </w:tc>
      </w:tr>
      <w:tr>
        <w:tc>
          <w:tcPr/>
          <w:p>
            <w:pPr>
              <w:pStyle w:val="Compact"/>
              <w:jc w:val="right"/>
            </w:pPr>
            <w:r>
              <w:t xml:space="preserve">3</w:t>
            </w:r>
          </w:p>
        </w:tc>
        <w:tc>
          <w:tcPr/>
          <w:p>
            <w:pPr>
              <w:pStyle w:val="Compact"/>
            </w:pPr>
            <w:r>
              <w:rPr>
                <w:rFonts w:hint="eastAsia"/>
              </w:rPr>
              <w:t xml:space="preserve">工业金属</w:t>
            </w:r>
          </w:p>
        </w:tc>
        <w:tc>
          <w:tcPr/>
          <w:p>
            <w:pPr>
              <w:pStyle w:val="Compact"/>
              <w:jc w:val="right"/>
            </w:pPr>
            <w:r>
              <w:rPr>
                <w:rFonts w:hint="eastAsia"/>
              </w:rPr>
              <w:t xml:space="preserve">-6.67亿元</w:t>
            </w:r>
          </w:p>
        </w:tc>
      </w:tr>
      <w:tr>
        <w:tc>
          <w:tcPr/>
          <w:p>
            <w:pPr>
              <w:pStyle w:val="Compact"/>
              <w:jc w:val="right"/>
            </w:pPr>
            <w:r>
              <w:t xml:space="preserve">4</w:t>
            </w:r>
          </w:p>
        </w:tc>
        <w:tc>
          <w:tcPr/>
          <w:p>
            <w:pPr>
              <w:pStyle w:val="Compact"/>
            </w:pPr>
            <w:r>
              <w:rPr>
                <w:rFonts w:hint="eastAsia"/>
              </w:rPr>
              <w:t xml:space="preserve">煤炭开采</w:t>
            </w:r>
          </w:p>
        </w:tc>
        <w:tc>
          <w:tcPr/>
          <w:p>
            <w:pPr>
              <w:pStyle w:val="Compact"/>
              <w:jc w:val="right"/>
            </w:pPr>
            <w:r>
              <w:rPr>
                <w:rFonts w:hint="eastAsia"/>
              </w:rPr>
              <w:t xml:space="preserve">-6.12亿元</w:t>
            </w:r>
          </w:p>
        </w:tc>
      </w:tr>
      <w:tr>
        <w:tc>
          <w:tcPr/>
          <w:p>
            <w:pPr>
              <w:pStyle w:val="Compact"/>
              <w:jc w:val="right"/>
            </w:pPr>
            <w:r>
              <w:t xml:space="preserve">5</w:t>
            </w:r>
          </w:p>
        </w:tc>
        <w:tc>
          <w:tcPr/>
          <w:p>
            <w:pPr>
              <w:pStyle w:val="Compact"/>
            </w:pPr>
            <w:r>
              <w:rPr>
                <w:rFonts w:hint="eastAsia"/>
              </w:rPr>
              <w:t xml:space="preserve">白色家电</w:t>
            </w:r>
          </w:p>
        </w:tc>
        <w:tc>
          <w:tcPr/>
          <w:p>
            <w:pPr>
              <w:pStyle w:val="Compact"/>
              <w:jc w:val="right"/>
            </w:pPr>
            <w:r>
              <w:rPr>
                <w:rFonts w:hint="eastAsia"/>
              </w:rPr>
              <w:t xml:space="preserve">-5.54亿元</w:t>
            </w:r>
          </w:p>
        </w:tc>
      </w:tr>
    </w:tbl>
    <w:bookmarkEnd w:id="24"/>
    <w:bookmarkStart w:id="25" w:name="流出top10板块610"/>
    <w:p>
      <w:pPr>
        <w:pStyle w:val="Heading4"/>
      </w:pPr>
      <w:r>
        <w:t xml:space="preserve">💰 </w:t>
      </w:r>
      <w:r>
        <w:rPr>
          <w:rFonts w:hint="eastAsia"/>
        </w:rPr>
        <w:t xml:space="preserve">流出TOP10板块（6—10）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上一交易日主力净流出</w:t>
            </w:r>
          </w:p>
        </w:tc>
      </w:tr>
      <w:tr>
        <w:tc>
          <w:tcPr/>
          <w:p>
            <w:pPr>
              <w:pStyle w:val="Compact"/>
              <w:jc w:val="right"/>
            </w:pPr>
            <w:r>
              <w:t xml:space="preserve">6</w:t>
            </w:r>
          </w:p>
        </w:tc>
        <w:tc>
          <w:tcPr/>
          <w:p>
            <w:pPr>
              <w:pStyle w:val="Compact"/>
            </w:pPr>
            <w:r>
              <w:rPr>
                <w:rFonts w:hint="eastAsia"/>
              </w:rPr>
              <w:t xml:space="preserve">航运港口</w:t>
            </w:r>
          </w:p>
        </w:tc>
        <w:tc>
          <w:tcPr/>
          <w:p>
            <w:pPr>
              <w:pStyle w:val="Compact"/>
              <w:jc w:val="right"/>
            </w:pPr>
            <w:r>
              <w:rPr>
                <w:rFonts w:hint="eastAsia"/>
              </w:rPr>
              <w:t xml:space="preserve">-5.01亿元</w:t>
            </w:r>
          </w:p>
        </w:tc>
      </w:tr>
      <w:tr>
        <w:tc>
          <w:tcPr/>
          <w:p>
            <w:pPr>
              <w:pStyle w:val="Compact"/>
              <w:jc w:val="right"/>
            </w:pPr>
            <w:r>
              <w:t xml:space="preserve">7</w:t>
            </w:r>
          </w:p>
        </w:tc>
        <w:tc>
          <w:tcPr/>
          <w:p>
            <w:pPr>
              <w:pStyle w:val="Compact"/>
            </w:pPr>
            <w:r>
              <w:rPr>
                <w:rFonts w:hint="eastAsia"/>
              </w:rPr>
              <w:t xml:space="preserve">光学光电子</w:t>
            </w:r>
          </w:p>
        </w:tc>
        <w:tc>
          <w:tcPr/>
          <w:p>
            <w:pPr>
              <w:pStyle w:val="Compact"/>
              <w:jc w:val="right"/>
            </w:pPr>
            <w:r>
              <w:rPr>
                <w:rFonts w:hint="eastAsia"/>
              </w:rPr>
              <w:t xml:space="preserve">-4.86亿元</w:t>
            </w:r>
          </w:p>
        </w:tc>
      </w:tr>
      <w:tr>
        <w:tc>
          <w:tcPr/>
          <w:p>
            <w:pPr>
              <w:pStyle w:val="Compact"/>
              <w:jc w:val="right"/>
            </w:pPr>
            <w:r>
              <w:t xml:space="preserve">8</w:t>
            </w:r>
          </w:p>
        </w:tc>
        <w:tc>
          <w:tcPr/>
          <w:p>
            <w:pPr>
              <w:pStyle w:val="Compact"/>
            </w:pPr>
            <w:r>
              <w:rPr>
                <w:rFonts w:hint="eastAsia"/>
              </w:rPr>
              <w:t xml:space="preserve">贵金属</w:t>
            </w:r>
          </w:p>
        </w:tc>
        <w:tc>
          <w:tcPr/>
          <w:p>
            <w:pPr>
              <w:pStyle w:val="Compact"/>
              <w:jc w:val="right"/>
            </w:pPr>
            <w:r>
              <w:rPr>
                <w:rFonts w:hint="eastAsia"/>
              </w:rPr>
              <w:t xml:space="preserve">-3.67亿元</w:t>
            </w:r>
          </w:p>
        </w:tc>
      </w:tr>
      <w:tr>
        <w:tc>
          <w:tcPr/>
          <w:p>
            <w:pPr>
              <w:pStyle w:val="Compact"/>
              <w:jc w:val="right"/>
            </w:pPr>
            <w:r>
              <w:t xml:space="preserve">9</w:t>
            </w:r>
          </w:p>
        </w:tc>
        <w:tc>
          <w:tcPr/>
          <w:p>
            <w:pPr>
              <w:pStyle w:val="Compact"/>
            </w:pPr>
            <w:r>
              <w:rPr>
                <w:rFonts w:hint="eastAsia"/>
              </w:rPr>
              <w:t xml:space="preserve">自动化设备</w:t>
            </w:r>
          </w:p>
        </w:tc>
        <w:tc>
          <w:tcPr/>
          <w:p>
            <w:pPr>
              <w:pStyle w:val="Compact"/>
              <w:jc w:val="right"/>
            </w:pPr>
            <w:r>
              <w:rPr>
                <w:rFonts w:hint="eastAsia"/>
              </w:rPr>
              <w:t xml:space="preserve">-3.35亿元</w:t>
            </w:r>
          </w:p>
        </w:tc>
      </w:tr>
      <w:tr>
        <w:tc>
          <w:tcPr/>
          <w:p>
            <w:pPr>
              <w:pStyle w:val="Compact"/>
              <w:jc w:val="right"/>
            </w:pPr>
            <w:r>
              <w:t xml:space="preserve">10</w:t>
            </w:r>
          </w:p>
        </w:tc>
        <w:tc>
          <w:tcPr/>
          <w:p>
            <w:pPr>
              <w:pStyle w:val="Compact"/>
            </w:pPr>
            <w:r>
              <w:rPr>
                <w:rFonts w:hint="eastAsia"/>
              </w:rPr>
              <w:t xml:space="preserve">基础建设</w:t>
            </w:r>
          </w:p>
        </w:tc>
        <w:tc>
          <w:tcPr/>
          <w:p>
            <w:pPr>
              <w:pStyle w:val="Compact"/>
              <w:jc w:val="right"/>
            </w:pPr>
            <w:r>
              <w:rPr>
                <w:rFonts w:hint="eastAsia"/>
              </w:rPr>
              <w:t xml:space="preserve">-3.30亿元</w:t>
            </w:r>
          </w:p>
        </w:tc>
      </w:tr>
    </w:tbl>
    <w:bookmarkEnd w:id="25"/>
    <w:bookmarkStart w:id="26" w:name="流出top10个股15"/>
    <w:p>
      <w:pPr>
        <w:pStyle w:val="Heading4"/>
      </w:pPr>
      <w:r>
        <w:t xml:space="preserve">💰 </w:t>
      </w:r>
      <w:r>
        <w:rPr>
          <w:rFonts w:hint="eastAsia"/>
        </w:rPr>
        <w:t xml:space="preserve">流出TOP10个股（1—5）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上一交易日主力净流出</w:t>
            </w:r>
          </w:p>
        </w:tc>
      </w:tr>
      <w:tr>
        <w:tc>
          <w:tcPr/>
          <w:p>
            <w:pPr>
              <w:pStyle w:val="Compact"/>
              <w:jc w:val="right"/>
            </w:pPr>
            <w:r>
              <w:t xml:space="preserve">1</w:t>
            </w:r>
          </w:p>
        </w:tc>
        <w:tc>
          <w:tcPr/>
          <w:p>
            <w:pPr>
              <w:pStyle w:val="Compact"/>
            </w:pPr>
            <w:r>
              <w:rPr>
                <w:rFonts w:hint="eastAsia"/>
              </w:rPr>
              <w:t xml:space="preserve">天孚通信</w:t>
            </w:r>
          </w:p>
        </w:tc>
        <w:tc>
          <w:tcPr/>
          <w:p>
            <w:pPr>
              <w:pStyle w:val="Compact"/>
              <w:jc w:val="right"/>
            </w:pPr>
            <w:r>
              <w:t xml:space="preserve">300394</w:t>
            </w:r>
          </w:p>
        </w:tc>
        <w:tc>
          <w:tcPr/>
          <w:p>
            <w:pPr>
              <w:pStyle w:val="Compact"/>
              <w:jc w:val="right"/>
            </w:pPr>
            <w:r>
              <w:rPr>
                <w:rFonts w:hint="eastAsia"/>
              </w:rPr>
              <w:t xml:space="preserve">-7.48亿</w:t>
            </w:r>
          </w:p>
        </w:tc>
      </w:tr>
      <w:tr>
        <w:tc>
          <w:tcPr/>
          <w:p>
            <w:pPr>
              <w:pStyle w:val="Compact"/>
              <w:jc w:val="right"/>
            </w:pPr>
            <w:r>
              <w:t xml:space="preserve">2</w:t>
            </w:r>
          </w:p>
        </w:tc>
        <w:tc>
          <w:tcPr/>
          <w:p>
            <w:pPr>
              <w:pStyle w:val="Compact"/>
            </w:pPr>
            <w:r>
              <w:rPr>
                <w:rFonts w:hint="eastAsia"/>
              </w:rPr>
              <w:t xml:space="preserve">长鑫科技</w:t>
            </w:r>
          </w:p>
        </w:tc>
        <w:tc>
          <w:tcPr/>
          <w:p>
            <w:pPr>
              <w:pStyle w:val="Compact"/>
              <w:jc w:val="right"/>
            </w:pPr>
            <w:r>
              <w:t xml:space="preserve">688825</w:t>
            </w:r>
          </w:p>
        </w:tc>
        <w:tc>
          <w:tcPr/>
          <w:p>
            <w:pPr>
              <w:pStyle w:val="Compact"/>
              <w:jc w:val="right"/>
            </w:pPr>
            <w:r>
              <w:rPr>
                <w:rFonts w:hint="eastAsia"/>
              </w:rPr>
              <w:t xml:space="preserve">-5.73亿</w:t>
            </w:r>
          </w:p>
        </w:tc>
      </w:tr>
      <w:tr>
        <w:tc>
          <w:tcPr/>
          <w:p>
            <w:pPr>
              <w:pStyle w:val="Compact"/>
              <w:jc w:val="right"/>
            </w:pPr>
            <w:r>
              <w:t xml:space="preserve">3</w:t>
            </w:r>
          </w:p>
        </w:tc>
        <w:tc>
          <w:tcPr/>
          <w:p>
            <w:pPr>
              <w:pStyle w:val="Compact"/>
            </w:pPr>
            <w:r>
              <w:rPr>
                <w:rFonts w:hint="eastAsia"/>
              </w:rPr>
              <w:t xml:space="preserve">胜宏科技</w:t>
            </w:r>
          </w:p>
        </w:tc>
        <w:tc>
          <w:tcPr/>
          <w:p>
            <w:pPr>
              <w:pStyle w:val="Compact"/>
              <w:jc w:val="right"/>
            </w:pPr>
            <w:r>
              <w:t xml:space="preserve">300476</w:t>
            </w:r>
          </w:p>
        </w:tc>
        <w:tc>
          <w:tcPr/>
          <w:p>
            <w:pPr>
              <w:pStyle w:val="Compact"/>
              <w:jc w:val="right"/>
            </w:pPr>
            <w:r>
              <w:rPr>
                <w:rFonts w:hint="eastAsia"/>
              </w:rPr>
              <w:t xml:space="preserve">-4.77亿</w:t>
            </w:r>
          </w:p>
        </w:tc>
      </w:tr>
      <w:tr>
        <w:tc>
          <w:tcPr/>
          <w:p>
            <w:pPr>
              <w:pStyle w:val="Compact"/>
              <w:jc w:val="right"/>
            </w:pPr>
            <w:r>
              <w:t xml:space="preserve">4</w:t>
            </w:r>
          </w:p>
        </w:tc>
        <w:tc>
          <w:tcPr/>
          <w:p>
            <w:pPr>
              <w:pStyle w:val="Compact"/>
            </w:pPr>
            <w:r>
              <w:rPr>
                <w:rFonts w:hint="eastAsia"/>
              </w:rPr>
              <w:t xml:space="preserve">金安国纪</w:t>
            </w:r>
          </w:p>
        </w:tc>
        <w:tc>
          <w:tcPr/>
          <w:p>
            <w:pPr>
              <w:pStyle w:val="Compact"/>
              <w:jc w:val="right"/>
            </w:pPr>
            <w:r>
              <w:t xml:space="preserve">002636</w:t>
            </w:r>
          </w:p>
        </w:tc>
        <w:tc>
          <w:tcPr/>
          <w:p>
            <w:pPr>
              <w:pStyle w:val="Compact"/>
              <w:jc w:val="right"/>
            </w:pPr>
            <w:r>
              <w:rPr>
                <w:rFonts w:hint="eastAsia"/>
              </w:rPr>
              <w:t xml:space="preserve">-4.34亿</w:t>
            </w:r>
          </w:p>
        </w:tc>
      </w:tr>
      <w:tr>
        <w:tc>
          <w:tcPr/>
          <w:p>
            <w:pPr>
              <w:pStyle w:val="Compact"/>
              <w:jc w:val="right"/>
            </w:pPr>
            <w:r>
              <w:t xml:space="preserve">5</w:t>
            </w:r>
          </w:p>
        </w:tc>
        <w:tc>
          <w:tcPr/>
          <w:p>
            <w:pPr>
              <w:pStyle w:val="Compact"/>
            </w:pPr>
            <w:r>
              <w:rPr>
                <w:rFonts w:hint="eastAsia"/>
              </w:rPr>
              <w:t xml:space="preserve">长江电力</w:t>
            </w:r>
          </w:p>
        </w:tc>
        <w:tc>
          <w:tcPr/>
          <w:p>
            <w:pPr>
              <w:pStyle w:val="Compact"/>
              <w:jc w:val="right"/>
            </w:pPr>
            <w:r>
              <w:t xml:space="preserve">600900</w:t>
            </w:r>
          </w:p>
        </w:tc>
        <w:tc>
          <w:tcPr/>
          <w:p>
            <w:pPr>
              <w:pStyle w:val="Compact"/>
              <w:jc w:val="right"/>
            </w:pPr>
            <w:r>
              <w:rPr>
                <w:rFonts w:hint="eastAsia"/>
              </w:rPr>
              <w:t xml:space="preserve">-4.21亿</w:t>
            </w:r>
          </w:p>
        </w:tc>
      </w:tr>
    </w:tbl>
    <w:bookmarkEnd w:id="26"/>
    <w:bookmarkStart w:id="27" w:name="流出top10个股610"/>
    <w:p>
      <w:pPr>
        <w:pStyle w:val="Heading4"/>
      </w:pPr>
      <w:r>
        <w:t xml:space="preserve">💰 </w:t>
      </w:r>
      <w:r>
        <w:rPr>
          <w:rFonts w:hint="eastAsia"/>
        </w:rPr>
        <w:t xml:space="preserve">流出TOP10个股（6—10）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上一交易日主力净流出</w:t>
            </w:r>
          </w:p>
        </w:tc>
      </w:tr>
      <w:tr>
        <w:tc>
          <w:tcPr/>
          <w:p>
            <w:pPr>
              <w:pStyle w:val="Compact"/>
              <w:jc w:val="right"/>
            </w:pPr>
            <w:r>
              <w:t xml:space="preserve">6</w:t>
            </w:r>
          </w:p>
        </w:tc>
        <w:tc>
          <w:tcPr/>
          <w:p>
            <w:pPr>
              <w:pStyle w:val="Compact"/>
            </w:pPr>
            <w:r>
              <w:rPr>
                <w:rFonts w:hint="eastAsia"/>
              </w:rPr>
              <w:t xml:space="preserve">中远海控</w:t>
            </w:r>
          </w:p>
        </w:tc>
        <w:tc>
          <w:tcPr/>
          <w:p>
            <w:pPr>
              <w:pStyle w:val="Compact"/>
              <w:jc w:val="right"/>
            </w:pPr>
            <w:r>
              <w:t xml:space="preserve">601919</w:t>
            </w:r>
          </w:p>
        </w:tc>
        <w:tc>
          <w:tcPr/>
          <w:p>
            <w:pPr>
              <w:pStyle w:val="Compact"/>
              <w:jc w:val="right"/>
            </w:pPr>
            <w:r>
              <w:rPr>
                <w:rFonts w:hint="eastAsia"/>
              </w:rPr>
              <w:t xml:space="preserve">-3.90亿</w:t>
            </w:r>
          </w:p>
        </w:tc>
      </w:tr>
      <w:tr>
        <w:tc>
          <w:tcPr/>
          <w:p>
            <w:pPr>
              <w:pStyle w:val="Compact"/>
              <w:jc w:val="right"/>
            </w:pPr>
            <w:r>
              <w:t xml:space="preserve">7</w:t>
            </w:r>
          </w:p>
        </w:tc>
        <w:tc>
          <w:tcPr/>
          <w:p>
            <w:pPr>
              <w:pStyle w:val="Compact"/>
            </w:pPr>
            <w:r>
              <w:rPr>
                <w:rFonts w:hint="eastAsia"/>
              </w:rPr>
              <w:t xml:space="preserve">招商银行</w:t>
            </w:r>
          </w:p>
        </w:tc>
        <w:tc>
          <w:tcPr/>
          <w:p>
            <w:pPr>
              <w:pStyle w:val="Compact"/>
              <w:jc w:val="right"/>
            </w:pPr>
            <w:r>
              <w:t xml:space="preserve">600036</w:t>
            </w:r>
          </w:p>
        </w:tc>
        <w:tc>
          <w:tcPr/>
          <w:p>
            <w:pPr>
              <w:pStyle w:val="Compact"/>
              <w:jc w:val="right"/>
            </w:pPr>
            <w:r>
              <w:rPr>
                <w:rFonts w:hint="eastAsia"/>
              </w:rPr>
              <w:t xml:space="preserve">-3.70亿</w:t>
            </w:r>
          </w:p>
        </w:tc>
      </w:tr>
      <w:tr>
        <w:tc>
          <w:tcPr/>
          <w:p>
            <w:pPr>
              <w:pStyle w:val="Compact"/>
              <w:jc w:val="right"/>
            </w:pPr>
            <w:r>
              <w:t xml:space="preserve">8</w:t>
            </w:r>
          </w:p>
        </w:tc>
        <w:tc>
          <w:tcPr/>
          <w:p>
            <w:pPr>
              <w:pStyle w:val="Compact"/>
            </w:pPr>
            <w:r>
              <w:rPr>
                <w:rFonts w:hint="eastAsia"/>
              </w:rPr>
              <w:t xml:space="preserve">天通股份</w:t>
            </w:r>
          </w:p>
        </w:tc>
        <w:tc>
          <w:tcPr/>
          <w:p>
            <w:pPr>
              <w:pStyle w:val="Compact"/>
              <w:jc w:val="right"/>
            </w:pPr>
            <w:r>
              <w:t xml:space="preserve">600330</w:t>
            </w:r>
          </w:p>
        </w:tc>
        <w:tc>
          <w:tcPr/>
          <w:p>
            <w:pPr>
              <w:pStyle w:val="Compact"/>
              <w:jc w:val="right"/>
            </w:pPr>
            <w:r>
              <w:rPr>
                <w:rFonts w:hint="eastAsia"/>
              </w:rPr>
              <w:t xml:space="preserve">-3.22亿</w:t>
            </w:r>
          </w:p>
        </w:tc>
      </w:tr>
      <w:tr>
        <w:tc>
          <w:tcPr/>
          <w:p>
            <w:pPr>
              <w:pStyle w:val="Compact"/>
              <w:jc w:val="right"/>
            </w:pPr>
            <w:r>
              <w:t xml:space="preserve">9</w:t>
            </w:r>
          </w:p>
        </w:tc>
        <w:tc>
          <w:tcPr/>
          <w:p>
            <w:pPr>
              <w:pStyle w:val="Compact"/>
            </w:pPr>
            <w:r>
              <w:rPr>
                <w:rFonts w:hint="eastAsia"/>
              </w:rPr>
              <w:t xml:space="preserve">五粮液</w:t>
            </w:r>
          </w:p>
        </w:tc>
        <w:tc>
          <w:tcPr/>
          <w:p>
            <w:pPr>
              <w:pStyle w:val="Compact"/>
              <w:jc w:val="right"/>
            </w:pPr>
            <w:r>
              <w:t xml:space="preserve">000858</w:t>
            </w:r>
          </w:p>
        </w:tc>
        <w:tc>
          <w:tcPr/>
          <w:p>
            <w:pPr>
              <w:pStyle w:val="Compact"/>
              <w:jc w:val="right"/>
            </w:pPr>
            <w:r>
              <w:rPr>
                <w:rFonts w:hint="eastAsia"/>
              </w:rPr>
              <w:t xml:space="preserve">-3.21亿</w:t>
            </w:r>
          </w:p>
        </w:tc>
      </w:tr>
      <w:tr>
        <w:tc>
          <w:tcPr/>
          <w:p>
            <w:pPr>
              <w:pStyle w:val="Compact"/>
              <w:jc w:val="right"/>
            </w:pPr>
            <w:r>
              <w:t xml:space="preserve">10</w:t>
            </w:r>
          </w:p>
        </w:tc>
        <w:tc>
          <w:tcPr/>
          <w:p>
            <w:pPr>
              <w:pStyle w:val="Compact"/>
            </w:pPr>
            <w:r>
              <w:rPr>
                <w:rFonts w:hint="eastAsia"/>
              </w:rPr>
              <w:t xml:space="preserve">农业银行</w:t>
            </w:r>
          </w:p>
        </w:tc>
        <w:tc>
          <w:tcPr/>
          <w:p>
            <w:pPr>
              <w:pStyle w:val="Compact"/>
              <w:jc w:val="right"/>
            </w:pPr>
            <w:r>
              <w:t xml:space="preserve">601288</w:t>
            </w:r>
          </w:p>
        </w:tc>
        <w:tc>
          <w:tcPr/>
          <w:p>
            <w:pPr>
              <w:pStyle w:val="Compact"/>
              <w:jc w:val="right"/>
            </w:pPr>
            <w:r>
              <w:rPr>
                <w:rFonts w:hint="eastAsia"/>
              </w:rPr>
              <w:t xml:space="preserve">-3.06亿</w:t>
            </w:r>
          </w:p>
        </w:tc>
      </w:tr>
    </w:tbl>
    <w:bookmarkEnd w:id="27"/>
    <w:bookmarkStart w:id="28" w:name="流入top10板块15"/>
    <w:p>
      <w:pPr>
        <w:pStyle w:val="Heading4"/>
      </w:pPr>
      <w:r>
        <w:t xml:space="preserve">💰 </w:t>
      </w:r>
      <w:r>
        <w:rPr>
          <w:rFonts w:hint="eastAsia"/>
        </w:rPr>
        <w:t xml:space="preserve">流入TOP10板块（1—5）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上一交易日主力净流入</w:t>
            </w:r>
          </w:p>
        </w:tc>
      </w:tr>
      <w:tr>
        <w:tc>
          <w:tcPr/>
          <w:p>
            <w:pPr>
              <w:pStyle w:val="Compact"/>
              <w:jc w:val="right"/>
            </w:pPr>
            <w:r>
              <w:t xml:space="preserve">1</w:t>
            </w:r>
          </w:p>
        </w:tc>
        <w:tc>
          <w:tcPr/>
          <w:p>
            <w:pPr>
              <w:pStyle w:val="Compact"/>
            </w:pPr>
            <w:r>
              <w:rPr>
                <w:rFonts w:hint="eastAsia"/>
              </w:rPr>
              <w:t xml:space="preserve">半导体</w:t>
            </w:r>
          </w:p>
        </w:tc>
        <w:tc>
          <w:tcPr/>
          <w:p>
            <w:pPr>
              <w:pStyle w:val="Compact"/>
              <w:jc w:val="right"/>
            </w:pPr>
            <w:r>
              <w:rPr>
                <w:rFonts w:hint="eastAsia"/>
              </w:rPr>
              <w:t xml:space="preserve">+46.08亿元</w:t>
            </w:r>
          </w:p>
        </w:tc>
      </w:tr>
      <w:tr>
        <w:tc>
          <w:tcPr/>
          <w:p>
            <w:pPr>
              <w:pStyle w:val="Compact"/>
              <w:jc w:val="right"/>
            </w:pPr>
            <w:r>
              <w:t xml:space="preserve">2</w:t>
            </w:r>
          </w:p>
        </w:tc>
        <w:tc>
          <w:tcPr/>
          <w:p>
            <w:pPr>
              <w:pStyle w:val="Compact"/>
            </w:pPr>
            <w:r>
              <w:rPr>
                <w:rFonts w:hint="eastAsia"/>
              </w:rPr>
              <w:t xml:space="preserve">证券Ⅱ</w:t>
            </w:r>
          </w:p>
        </w:tc>
        <w:tc>
          <w:tcPr/>
          <w:p>
            <w:pPr>
              <w:pStyle w:val="Compact"/>
              <w:jc w:val="right"/>
            </w:pPr>
            <w:r>
              <w:rPr>
                <w:rFonts w:hint="eastAsia"/>
              </w:rPr>
              <w:t xml:space="preserve">+28.38亿元</w:t>
            </w:r>
          </w:p>
        </w:tc>
      </w:tr>
      <w:tr>
        <w:tc>
          <w:tcPr/>
          <w:p>
            <w:pPr>
              <w:pStyle w:val="Compact"/>
              <w:jc w:val="right"/>
            </w:pPr>
            <w:r>
              <w:t xml:space="preserve">3</w:t>
            </w:r>
          </w:p>
        </w:tc>
        <w:tc>
          <w:tcPr/>
          <w:p>
            <w:pPr>
              <w:pStyle w:val="Compact"/>
            </w:pPr>
            <w:r>
              <w:rPr>
                <w:rFonts w:hint="eastAsia"/>
              </w:rPr>
              <w:t xml:space="preserve">软件开发</w:t>
            </w:r>
          </w:p>
        </w:tc>
        <w:tc>
          <w:tcPr/>
          <w:p>
            <w:pPr>
              <w:pStyle w:val="Compact"/>
              <w:jc w:val="right"/>
            </w:pPr>
            <w:r>
              <w:rPr>
                <w:rFonts w:hint="eastAsia"/>
              </w:rPr>
              <w:t xml:space="preserve">+14.78亿元</w:t>
            </w:r>
          </w:p>
        </w:tc>
      </w:tr>
      <w:tr>
        <w:tc>
          <w:tcPr/>
          <w:p>
            <w:pPr>
              <w:pStyle w:val="Compact"/>
              <w:jc w:val="right"/>
            </w:pPr>
            <w:r>
              <w:t xml:space="preserve">4</w:t>
            </w:r>
          </w:p>
        </w:tc>
        <w:tc>
          <w:tcPr/>
          <w:p>
            <w:pPr>
              <w:pStyle w:val="Compact"/>
            </w:pPr>
            <w:r>
              <w:rPr>
                <w:rFonts w:hint="eastAsia"/>
              </w:rPr>
              <w:t xml:space="preserve">数字媒体</w:t>
            </w:r>
          </w:p>
        </w:tc>
        <w:tc>
          <w:tcPr/>
          <w:p>
            <w:pPr>
              <w:pStyle w:val="Compact"/>
              <w:jc w:val="right"/>
            </w:pPr>
            <w:r>
              <w:rPr>
                <w:rFonts w:hint="eastAsia"/>
              </w:rPr>
              <w:t xml:space="preserve">+14.15亿元</w:t>
            </w:r>
          </w:p>
        </w:tc>
      </w:tr>
      <w:tr>
        <w:tc>
          <w:tcPr/>
          <w:p>
            <w:pPr>
              <w:pStyle w:val="Compact"/>
              <w:jc w:val="right"/>
            </w:pPr>
            <w:r>
              <w:t xml:space="preserve">5</w:t>
            </w:r>
          </w:p>
        </w:tc>
        <w:tc>
          <w:tcPr/>
          <w:p>
            <w:pPr>
              <w:pStyle w:val="Compact"/>
            </w:pPr>
            <w:r>
              <w:rPr>
                <w:rFonts w:hint="eastAsia"/>
              </w:rPr>
              <w:t xml:space="preserve">游戏Ⅱ</w:t>
            </w:r>
          </w:p>
        </w:tc>
        <w:tc>
          <w:tcPr/>
          <w:p>
            <w:pPr>
              <w:pStyle w:val="Compact"/>
              <w:jc w:val="right"/>
            </w:pPr>
            <w:r>
              <w:rPr>
                <w:rFonts w:hint="eastAsia"/>
              </w:rPr>
              <w:t xml:space="preserve">+12.38亿元</w:t>
            </w:r>
          </w:p>
        </w:tc>
      </w:tr>
    </w:tbl>
    <w:bookmarkEnd w:id="28"/>
    <w:bookmarkStart w:id="29" w:name="流入top10板块610"/>
    <w:p>
      <w:pPr>
        <w:pStyle w:val="Heading4"/>
      </w:pPr>
      <w:r>
        <w:t xml:space="preserve">💰 </w:t>
      </w:r>
      <w:r>
        <w:rPr>
          <w:rFonts w:hint="eastAsia"/>
        </w:rPr>
        <w:t xml:space="preserve">流入TOP10板块（6—10）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上一交易日主力净流入</w:t>
            </w:r>
          </w:p>
        </w:tc>
      </w:tr>
      <w:tr>
        <w:tc>
          <w:tcPr/>
          <w:p>
            <w:pPr>
              <w:pStyle w:val="Compact"/>
              <w:jc w:val="right"/>
            </w:pPr>
            <w:r>
              <w:t xml:space="preserve">6</w:t>
            </w:r>
          </w:p>
        </w:tc>
        <w:tc>
          <w:tcPr/>
          <w:p>
            <w:pPr>
              <w:pStyle w:val="Compact"/>
            </w:pPr>
            <w:r>
              <w:rPr>
                <w:rFonts w:hint="eastAsia"/>
              </w:rPr>
              <w:t xml:space="preserve">通信设备</w:t>
            </w:r>
          </w:p>
        </w:tc>
        <w:tc>
          <w:tcPr/>
          <w:p>
            <w:pPr>
              <w:pStyle w:val="Compact"/>
              <w:jc w:val="right"/>
            </w:pPr>
            <w:r>
              <w:rPr>
                <w:rFonts w:hint="eastAsia"/>
              </w:rPr>
              <w:t xml:space="preserve">+11.17亿元</w:t>
            </w:r>
          </w:p>
        </w:tc>
      </w:tr>
      <w:tr>
        <w:tc>
          <w:tcPr/>
          <w:p>
            <w:pPr>
              <w:pStyle w:val="Compact"/>
              <w:jc w:val="right"/>
            </w:pPr>
            <w:r>
              <w:t xml:space="preserve">7</w:t>
            </w:r>
          </w:p>
        </w:tc>
        <w:tc>
          <w:tcPr/>
          <w:p>
            <w:pPr>
              <w:pStyle w:val="Compact"/>
            </w:pPr>
            <w:r>
              <w:rPr>
                <w:rFonts w:hint="eastAsia"/>
              </w:rPr>
              <w:t xml:space="preserve">广告营销</w:t>
            </w:r>
          </w:p>
        </w:tc>
        <w:tc>
          <w:tcPr/>
          <w:p>
            <w:pPr>
              <w:pStyle w:val="Compact"/>
              <w:jc w:val="right"/>
            </w:pPr>
            <w:r>
              <w:rPr>
                <w:rFonts w:hint="eastAsia"/>
              </w:rPr>
              <w:t xml:space="preserve">+11.01亿元</w:t>
            </w:r>
          </w:p>
        </w:tc>
      </w:tr>
      <w:tr>
        <w:tc>
          <w:tcPr/>
          <w:p>
            <w:pPr>
              <w:pStyle w:val="Compact"/>
              <w:jc w:val="right"/>
            </w:pPr>
            <w:r>
              <w:t xml:space="preserve">8</w:t>
            </w:r>
          </w:p>
        </w:tc>
        <w:tc>
          <w:tcPr/>
          <w:p>
            <w:pPr>
              <w:pStyle w:val="Compact"/>
            </w:pPr>
            <w:r>
              <w:rPr>
                <w:rFonts w:hint="eastAsia"/>
              </w:rPr>
              <w:t xml:space="preserve">影视院线</w:t>
            </w:r>
          </w:p>
        </w:tc>
        <w:tc>
          <w:tcPr/>
          <w:p>
            <w:pPr>
              <w:pStyle w:val="Compact"/>
              <w:jc w:val="right"/>
            </w:pPr>
            <w:r>
              <w:rPr>
                <w:rFonts w:hint="eastAsia"/>
              </w:rPr>
              <w:t xml:space="preserve">+9.64亿元</w:t>
            </w:r>
          </w:p>
        </w:tc>
      </w:tr>
      <w:tr>
        <w:tc>
          <w:tcPr/>
          <w:p>
            <w:pPr>
              <w:pStyle w:val="Compact"/>
              <w:jc w:val="right"/>
            </w:pPr>
            <w:r>
              <w:t xml:space="preserve">9</w:t>
            </w:r>
          </w:p>
        </w:tc>
        <w:tc>
          <w:tcPr/>
          <w:p>
            <w:pPr>
              <w:pStyle w:val="Compact"/>
            </w:pPr>
            <w:r>
              <w:rPr>
                <w:rFonts w:hint="eastAsia"/>
              </w:rPr>
              <w:t xml:space="preserve">元件</w:t>
            </w:r>
          </w:p>
        </w:tc>
        <w:tc>
          <w:tcPr/>
          <w:p>
            <w:pPr>
              <w:pStyle w:val="Compact"/>
              <w:jc w:val="right"/>
            </w:pPr>
            <w:r>
              <w:rPr>
                <w:rFonts w:hint="eastAsia"/>
              </w:rPr>
              <w:t xml:space="preserve">+8.14亿元</w:t>
            </w:r>
          </w:p>
        </w:tc>
      </w:tr>
      <w:tr>
        <w:tc>
          <w:tcPr/>
          <w:p>
            <w:pPr>
              <w:pStyle w:val="Compact"/>
              <w:jc w:val="right"/>
            </w:pPr>
            <w:r>
              <w:t xml:space="preserve">10</w:t>
            </w:r>
          </w:p>
        </w:tc>
        <w:tc>
          <w:tcPr/>
          <w:p>
            <w:pPr>
              <w:pStyle w:val="Compact"/>
            </w:pPr>
            <w:r>
              <w:rPr>
                <w:rFonts w:hint="eastAsia"/>
              </w:rPr>
              <w:t xml:space="preserve">一般零售</w:t>
            </w:r>
          </w:p>
        </w:tc>
        <w:tc>
          <w:tcPr/>
          <w:p>
            <w:pPr>
              <w:pStyle w:val="Compact"/>
              <w:jc w:val="right"/>
            </w:pPr>
            <w:r>
              <w:rPr>
                <w:rFonts w:hint="eastAsia"/>
              </w:rPr>
              <w:t xml:space="preserve">+7.44亿元</w:t>
            </w:r>
          </w:p>
        </w:tc>
      </w:tr>
    </w:tbl>
    <w:bookmarkEnd w:id="29"/>
    <w:bookmarkStart w:id="30" w:name="流入top10个股15"/>
    <w:p>
      <w:pPr>
        <w:pStyle w:val="Heading4"/>
      </w:pPr>
      <w:r>
        <w:t xml:space="preserve">💰 </w:t>
      </w:r>
      <w:r>
        <w:rPr>
          <w:rFonts w:hint="eastAsia"/>
        </w:rPr>
        <w:t xml:space="preserve">流入TOP10个股（1—5）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上一交易日主力净流入</w:t>
            </w:r>
          </w:p>
        </w:tc>
      </w:tr>
      <w:tr>
        <w:tc>
          <w:tcPr/>
          <w:p>
            <w:pPr>
              <w:pStyle w:val="Compact"/>
              <w:jc w:val="right"/>
            </w:pPr>
            <w:r>
              <w:t xml:space="preserve">1</w:t>
            </w:r>
          </w:p>
        </w:tc>
        <w:tc>
          <w:tcPr/>
          <w:p>
            <w:pPr>
              <w:pStyle w:val="Compact"/>
            </w:pPr>
            <w:r>
              <w:rPr>
                <w:rFonts w:hint="eastAsia"/>
              </w:rPr>
              <w:t xml:space="preserve">东山精密</w:t>
            </w:r>
          </w:p>
        </w:tc>
        <w:tc>
          <w:tcPr/>
          <w:p>
            <w:pPr>
              <w:pStyle w:val="Compact"/>
              <w:jc w:val="right"/>
            </w:pPr>
            <w:r>
              <w:t xml:space="preserve">002384</w:t>
            </w:r>
          </w:p>
        </w:tc>
        <w:tc>
          <w:tcPr/>
          <w:p>
            <w:pPr>
              <w:pStyle w:val="Compact"/>
              <w:jc w:val="right"/>
            </w:pPr>
            <w:r>
              <w:rPr>
                <w:rFonts w:hint="eastAsia"/>
              </w:rPr>
              <w:t xml:space="preserve">+14.65亿</w:t>
            </w:r>
          </w:p>
        </w:tc>
      </w:tr>
      <w:tr>
        <w:tc>
          <w:tcPr/>
          <w:p>
            <w:pPr>
              <w:pStyle w:val="Compact"/>
              <w:jc w:val="right"/>
            </w:pPr>
            <w:r>
              <w:t xml:space="preserve">2</w:t>
            </w:r>
          </w:p>
        </w:tc>
        <w:tc>
          <w:tcPr/>
          <w:p>
            <w:pPr>
              <w:pStyle w:val="Compact"/>
            </w:pPr>
            <w:r>
              <w:rPr>
                <w:rFonts w:hint="eastAsia"/>
              </w:rPr>
              <w:t xml:space="preserve">东方财富</w:t>
            </w:r>
          </w:p>
        </w:tc>
        <w:tc>
          <w:tcPr/>
          <w:p>
            <w:pPr>
              <w:pStyle w:val="Compact"/>
              <w:jc w:val="right"/>
            </w:pPr>
            <w:r>
              <w:t xml:space="preserve">300059</w:t>
            </w:r>
          </w:p>
        </w:tc>
        <w:tc>
          <w:tcPr/>
          <w:p>
            <w:pPr>
              <w:pStyle w:val="Compact"/>
              <w:jc w:val="right"/>
            </w:pPr>
            <w:r>
              <w:rPr>
                <w:rFonts w:hint="eastAsia"/>
              </w:rPr>
              <w:t xml:space="preserve">+11.97亿</w:t>
            </w:r>
          </w:p>
        </w:tc>
      </w:tr>
      <w:tr>
        <w:tc>
          <w:tcPr/>
          <w:p>
            <w:pPr>
              <w:pStyle w:val="Compact"/>
              <w:jc w:val="right"/>
            </w:pPr>
            <w:r>
              <w:t xml:space="preserve">3</w:t>
            </w:r>
          </w:p>
        </w:tc>
        <w:tc>
          <w:tcPr/>
          <w:p>
            <w:pPr>
              <w:pStyle w:val="Compact"/>
            </w:pPr>
            <w:r>
              <w:rPr>
                <w:rFonts w:hint="eastAsia"/>
              </w:rPr>
              <w:t xml:space="preserve">兆易创新</w:t>
            </w:r>
          </w:p>
        </w:tc>
        <w:tc>
          <w:tcPr/>
          <w:p>
            <w:pPr>
              <w:pStyle w:val="Compact"/>
              <w:jc w:val="right"/>
            </w:pPr>
            <w:r>
              <w:t xml:space="preserve">603986</w:t>
            </w:r>
          </w:p>
        </w:tc>
        <w:tc>
          <w:tcPr/>
          <w:p>
            <w:pPr>
              <w:pStyle w:val="Compact"/>
              <w:jc w:val="right"/>
            </w:pPr>
            <w:r>
              <w:rPr>
                <w:rFonts w:hint="eastAsia"/>
              </w:rPr>
              <w:t xml:space="preserve">+8.98亿</w:t>
            </w:r>
          </w:p>
        </w:tc>
      </w:tr>
      <w:tr>
        <w:tc>
          <w:tcPr/>
          <w:p>
            <w:pPr>
              <w:pStyle w:val="Compact"/>
              <w:jc w:val="right"/>
            </w:pPr>
            <w:r>
              <w:t xml:space="preserve">4</w:t>
            </w:r>
          </w:p>
        </w:tc>
        <w:tc>
          <w:tcPr/>
          <w:p>
            <w:pPr>
              <w:pStyle w:val="Compact"/>
            </w:pPr>
            <w:r>
              <w:rPr>
                <w:rFonts w:hint="eastAsia"/>
              </w:rPr>
              <w:t xml:space="preserve">宁德时代</w:t>
            </w:r>
          </w:p>
        </w:tc>
        <w:tc>
          <w:tcPr/>
          <w:p>
            <w:pPr>
              <w:pStyle w:val="Compact"/>
              <w:jc w:val="right"/>
            </w:pPr>
            <w:r>
              <w:t xml:space="preserve">300750</w:t>
            </w:r>
          </w:p>
        </w:tc>
        <w:tc>
          <w:tcPr/>
          <w:p>
            <w:pPr>
              <w:pStyle w:val="Compact"/>
              <w:jc w:val="right"/>
            </w:pPr>
            <w:r>
              <w:rPr>
                <w:rFonts w:hint="eastAsia"/>
              </w:rPr>
              <w:t xml:space="preserve">+7.10亿</w:t>
            </w:r>
          </w:p>
        </w:tc>
      </w:tr>
      <w:tr>
        <w:tc>
          <w:tcPr/>
          <w:p>
            <w:pPr>
              <w:pStyle w:val="Compact"/>
              <w:jc w:val="right"/>
            </w:pPr>
            <w:r>
              <w:t xml:space="preserve">5</w:t>
            </w:r>
          </w:p>
        </w:tc>
        <w:tc>
          <w:tcPr/>
          <w:p>
            <w:pPr>
              <w:pStyle w:val="Compact"/>
            </w:pPr>
            <w:r>
              <w:rPr>
                <w:rFonts w:hint="eastAsia"/>
              </w:rPr>
              <w:t xml:space="preserve">北方华创</w:t>
            </w:r>
          </w:p>
        </w:tc>
        <w:tc>
          <w:tcPr/>
          <w:p>
            <w:pPr>
              <w:pStyle w:val="Compact"/>
              <w:jc w:val="right"/>
            </w:pPr>
            <w:r>
              <w:t xml:space="preserve">002371</w:t>
            </w:r>
          </w:p>
        </w:tc>
        <w:tc>
          <w:tcPr/>
          <w:p>
            <w:pPr>
              <w:pStyle w:val="Compact"/>
              <w:jc w:val="right"/>
            </w:pPr>
            <w:r>
              <w:rPr>
                <w:rFonts w:hint="eastAsia"/>
              </w:rPr>
              <w:t xml:space="preserve">+6.92亿</w:t>
            </w:r>
          </w:p>
        </w:tc>
      </w:tr>
    </w:tbl>
    <w:bookmarkEnd w:id="30"/>
    <w:bookmarkStart w:id="31" w:name="流入top10个股610"/>
    <w:p>
      <w:pPr>
        <w:pStyle w:val="Heading4"/>
      </w:pPr>
      <w:r>
        <w:t xml:space="preserve">💰 </w:t>
      </w:r>
      <w:r>
        <w:rPr>
          <w:rFonts w:hint="eastAsia"/>
        </w:rPr>
        <w:t xml:space="preserve">流入TOP10个股（6—10）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上一交易日主力净流入</w:t>
            </w:r>
          </w:p>
        </w:tc>
      </w:tr>
      <w:tr>
        <w:tc>
          <w:tcPr/>
          <w:p>
            <w:pPr>
              <w:pStyle w:val="Compact"/>
              <w:jc w:val="right"/>
            </w:pPr>
            <w:r>
              <w:t xml:space="preserve">6</w:t>
            </w:r>
          </w:p>
        </w:tc>
        <w:tc>
          <w:tcPr/>
          <w:p>
            <w:pPr>
              <w:pStyle w:val="Compact"/>
            </w:pPr>
            <w:r>
              <w:rPr>
                <w:rFonts w:hint="eastAsia"/>
              </w:rPr>
              <w:t xml:space="preserve">君正股份</w:t>
            </w:r>
          </w:p>
        </w:tc>
        <w:tc>
          <w:tcPr/>
          <w:p>
            <w:pPr>
              <w:pStyle w:val="Compact"/>
              <w:jc w:val="right"/>
            </w:pPr>
            <w:r>
              <w:t xml:space="preserve">300223</w:t>
            </w:r>
          </w:p>
        </w:tc>
        <w:tc>
          <w:tcPr/>
          <w:p>
            <w:pPr>
              <w:pStyle w:val="Compact"/>
              <w:jc w:val="right"/>
            </w:pPr>
            <w:r>
              <w:rPr>
                <w:rFonts w:hint="eastAsia"/>
              </w:rPr>
              <w:t xml:space="preserve">+6.46亿</w:t>
            </w:r>
          </w:p>
        </w:tc>
      </w:tr>
      <w:tr>
        <w:tc>
          <w:tcPr/>
          <w:p>
            <w:pPr>
              <w:pStyle w:val="Compact"/>
              <w:jc w:val="right"/>
            </w:pPr>
            <w:r>
              <w:t xml:space="preserve">7</w:t>
            </w:r>
          </w:p>
        </w:tc>
        <w:tc>
          <w:tcPr/>
          <w:p>
            <w:pPr>
              <w:pStyle w:val="Compact"/>
            </w:pPr>
            <w:r>
              <w:rPr>
                <w:rFonts w:hint="eastAsia"/>
              </w:rPr>
              <w:t xml:space="preserve">中际旭创</w:t>
            </w:r>
          </w:p>
        </w:tc>
        <w:tc>
          <w:tcPr/>
          <w:p>
            <w:pPr>
              <w:pStyle w:val="Compact"/>
              <w:jc w:val="right"/>
            </w:pPr>
            <w:r>
              <w:t xml:space="preserve">300308</w:t>
            </w:r>
          </w:p>
        </w:tc>
        <w:tc>
          <w:tcPr/>
          <w:p>
            <w:pPr>
              <w:pStyle w:val="Compact"/>
              <w:jc w:val="right"/>
            </w:pPr>
            <w:r>
              <w:rPr>
                <w:rFonts w:hint="eastAsia"/>
              </w:rPr>
              <w:t xml:space="preserve">+5.36亿</w:t>
            </w:r>
          </w:p>
        </w:tc>
      </w:tr>
      <w:tr>
        <w:tc>
          <w:tcPr/>
          <w:p>
            <w:pPr>
              <w:pStyle w:val="Compact"/>
              <w:jc w:val="right"/>
            </w:pPr>
            <w:r>
              <w:t xml:space="preserve">8</w:t>
            </w:r>
          </w:p>
        </w:tc>
        <w:tc>
          <w:tcPr/>
          <w:p>
            <w:pPr>
              <w:pStyle w:val="Compact"/>
            </w:pPr>
            <w:r>
              <w:rPr>
                <w:rFonts w:hint="eastAsia"/>
              </w:rPr>
              <w:t xml:space="preserve">国芳集团</w:t>
            </w:r>
          </w:p>
        </w:tc>
        <w:tc>
          <w:tcPr/>
          <w:p>
            <w:pPr>
              <w:pStyle w:val="Compact"/>
              <w:jc w:val="right"/>
            </w:pPr>
            <w:r>
              <w:t xml:space="preserve">601086</w:t>
            </w:r>
          </w:p>
        </w:tc>
        <w:tc>
          <w:tcPr/>
          <w:p>
            <w:pPr>
              <w:pStyle w:val="Compact"/>
              <w:jc w:val="right"/>
            </w:pPr>
            <w:r>
              <w:rPr>
                <w:rFonts w:hint="eastAsia"/>
              </w:rPr>
              <w:t xml:space="preserve">+5.28亿</w:t>
            </w:r>
          </w:p>
        </w:tc>
      </w:tr>
      <w:tr>
        <w:tc>
          <w:tcPr/>
          <w:p>
            <w:pPr>
              <w:pStyle w:val="Compact"/>
              <w:jc w:val="right"/>
            </w:pPr>
            <w:r>
              <w:t xml:space="preserve">9</w:t>
            </w:r>
          </w:p>
        </w:tc>
        <w:tc>
          <w:tcPr/>
          <w:p>
            <w:pPr>
              <w:pStyle w:val="Compact"/>
            </w:pPr>
            <w:r>
              <w:rPr>
                <w:rFonts w:hint="eastAsia"/>
              </w:rPr>
              <w:t xml:space="preserve">长飞光纤</w:t>
            </w:r>
          </w:p>
        </w:tc>
        <w:tc>
          <w:tcPr/>
          <w:p>
            <w:pPr>
              <w:pStyle w:val="Compact"/>
              <w:jc w:val="right"/>
            </w:pPr>
            <w:r>
              <w:t xml:space="preserve">601869</w:t>
            </w:r>
          </w:p>
        </w:tc>
        <w:tc>
          <w:tcPr/>
          <w:p>
            <w:pPr>
              <w:pStyle w:val="Compact"/>
              <w:jc w:val="right"/>
            </w:pPr>
            <w:r>
              <w:rPr>
                <w:rFonts w:hint="eastAsia"/>
              </w:rPr>
              <w:t xml:space="preserve">+5.06亿</w:t>
            </w:r>
          </w:p>
        </w:tc>
      </w:tr>
      <w:tr>
        <w:tc>
          <w:tcPr/>
          <w:p>
            <w:pPr>
              <w:pStyle w:val="Compact"/>
              <w:jc w:val="right"/>
            </w:pPr>
            <w:r>
              <w:t xml:space="preserve">10</w:t>
            </w:r>
          </w:p>
        </w:tc>
        <w:tc>
          <w:tcPr/>
          <w:p>
            <w:pPr>
              <w:pStyle w:val="Compact"/>
            </w:pPr>
            <w:r>
              <w:rPr>
                <w:rFonts w:hint="eastAsia"/>
              </w:rPr>
              <w:t xml:space="preserve">中微公司</w:t>
            </w:r>
          </w:p>
        </w:tc>
        <w:tc>
          <w:tcPr/>
          <w:p>
            <w:pPr>
              <w:pStyle w:val="Compact"/>
              <w:jc w:val="right"/>
            </w:pPr>
            <w:r>
              <w:t xml:space="preserve">688012</w:t>
            </w:r>
          </w:p>
        </w:tc>
        <w:tc>
          <w:tcPr/>
          <w:p>
            <w:pPr>
              <w:pStyle w:val="Compact"/>
              <w:jc w:val="right"/>
            </w:pPr>
            <w:r>
              <w:rPr>
                <w:rFonts w:hint="eastAsia"/>
              </w:rPr>
              <w:t xml:space="preserve">+4.74亿</w:t>
            </w:r>
          </w:p>
        </w:tc>
      </w:tr>
    </w:tbl>
    <w:p>
      <w:pPr>
        <w:pStyle w:val="Compact"/>
        <w:numPr>
          <w:ilvl w:val="0"/>
          <w:numId w:val="1013"/>
        </w:numPr>
      </w:pPr>
      <w:r>
        <w:t xml:space="preserve">💡 </w:t>
      </w:r>
      <w:r>
        <w:rPr>
          <w:rFonts w:hint="eastAsia"/>
        </w:rPr>
        <w:t xml:space="preserve">资金明确从银行、电力、煤炭等防御方向流向半导体、证券、软件、传媒和通信设备。</w:t>
      </w:r>
    </w:p>
    <w:p>
      <w:pPr>
        <w:pStyle w:val="Compact"/>
        <w:numPr>
          <w:ilvl w:val="0"/>
          <w:numId w:val="1013"/>
        </w:numPr>
      </w:pPr>
      <w:r>
        <w:t xml:space="preserve">⚠️ </w:t>
      </w:r>
      <w:r>
        <w:rPr>
          <w:rFonts w:hint="eastAsia"/>
        </w:rPr>
        <w:t xml:space="preserve">隔夜美股半导体全线下跌，今日科技方向面临“国内资金流入”与“海外风险偏好下降”的双向博弈。</w:t>
      </w:r>
    </w:p>
    <w:bookmarkEnd w:id="31"/>
    <w:bookmarkEnd w:id="32"/>
    <w:bookmarkEnd w:id="33"/>
    <w:bookmarkStart w:id="37" w:name="两融宽基etf成交额恐慌联合信号"/>
    <w:p>
      <w:pPr>
        <w:pStyle w:val="Heading2"/>
      </w:pPr>
      <w:r>
        <w:t xml:space="preserve">💧 </w:t>
      </w:r>
      <w:r>
        <w:rPr>
          <w:rFonts w:hint="eastAsia"/>
        </w:rPr>
        <w:t xml:space="preserve">两融·宽基ETF·成交额·恐慌联合信号</w:t>
      </w:r>
    </w:p>
    <w:bookmarkStart w:id="34" w:name="两融余额"/>
    <w:p>
      <w:pPr>
        <w:pStyle w:val="Heading3"/>
      </w:pPr>
      <w:r>
        <w:t xml:space="preserve">💧 </w:t>
      </w:r>
      <w:r>
        <w:rPr>
          <w:rFonts w:hint="eastAsia"/>
        </w:rPr>
        <w:t xml:space="preserve">两融余额</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项目</w:t>
            </w:r>
          </w:p>
        </w:tc>
        <w:tc>
          <w:tcPr/>
          <w:p>
            <w:pPr>
              <w:pStyle w:val="Compact"/>
              <w:jc w:val="right"/>
            </w:pPr>
            <w:r>
              <w:t xml:space="preserve">2026-10-30</w:t>
            </w:r>
          </w:p>
        </w:tc>
        <w:tc>
          <w:tcPr/>
          <w:p>
            <w:pPr>
              <w:pStyle w:val="Compact"/>
              <w:jc w:val="right"/>
            </w:pPr>
            <w:r>
              <w:t xml:space="preserve">2026-10-29</w:t>
            </w:r>
          </w:p>
        </w:tc>
        <w:tc>
          <w:tcPr/>
          <w:p>
            <w:pPr>
              <w:pStyle w:val="Compact"/>
              <w:jc w:val="right"/>
            </w:pPr>
            <w:r>
              <w:rPr>
                <w:rFonts w:hint="eastAsia"/>
              </w:rPr>
              <w:t xml:space="preserve">变化</w:t>
            </w:r>
          </w:p>
        </w:tc>
      </w:tr>
      <w:tr>
        <w:tc>
          <w:tcPr/>
          <w:p>
            <w:pPr>
              <w:pStyle w:val="Compact"/>
            </w:pPr>
            <w:r>
              <w:rPr>
                <w:rFonts w:hint="eastAsia"/>
              </w:rPr>
              <w:t xml:space="preserve">两融余额</w:t>
            </w:r>
          </w:p>
        </w:tc>
        <w:tc>
          <w:tcPr/>
          <w:p>
            <w:pPr>
              <w:pStyle w:val="Compact"/>
              <w:jc w:val="right"/>
            </w:pPr>
            <w:r>
              <w:rPr>
                <w:rFonts w:hint="eastAsia"/>
              </w:rPr>
              <w:t xml:space="preserve">23431.3167亿元</w:t>
            </w:r>
          </w:p>
        </w:tc>
        <w:tc>
          <w:tcPr/>
          <w:p>
            <w:pPr>
              <w:pStyle w:val="Compact"/>
              <w:jc w:val="right"/>
            </w:pPr>
            <w:r>
              <w:rPr>
                <w:rFonts w:hint="eastAsia"/>
              </w:rPr>
              <w:t xml:space="preserve">23849.6077亿元</w:t>
            </w:r>
          </w:p>
        </w:tc>
        <w:tc>
          <w:tcPr/>
          <w:p>
            <w:pPr>
              <w:pStyle w:val="Compact"/>
              <w:jc w:val="right"/>
            </w:pPr>
            <w:r>
              <w:rPr>
                <w:rFonts w:hint="eastAsia"/>
              </w:rPr>
              <w:t xml:space="preserve">-418.2910亿元</w:t>
            </w:r>
          </w:p>
        </w:tc>
      </w:tr>
      <w:tr>
        <w:tc>
          <w:tcPr/>
          <w:p>
            <w:pPr>
              <w:pStyle w:val="Compact"/>
            </w:pPr>
            <w:r>
              <w:rPr>
                <w:rFonts w:hint="eastAsia"/>
              </w:rPr>
              <w:t xml:space="preserve">融资余额</w:t>
            </w:r>
          </w:p>
        </w:tc>
        <w:tc>
          <w:tcPr/>
          <w:p>
            <w:pPr>
              <w:pStyle w:val="Compact"/>
              <w:jc w:val="right"/>
            </w:pPr>
            <w:r>
              <w:rPr>
                <w:rFonts w:hint="eastAsia"/>
              </w:rPr>
              <w:t xml:space="preserve">23152.9333亿元</w:t>
            </w:r>
          </w:p>
        </w:tc>
        <w:tc>
          <w:tcPr/>
          <w:p>
            <w:pPr>
              <w:pStyle w:val="Compact"/>
              <w:jc w:val="right"/>
            </w:pPr>
            <w:r>
              <w:rPr>
                <w:rFonts w:hint="eastAsia"/>
              </w:rPr>
              <w:t xml:space="preserve">23567.3819亿元</w:t>
            </w:r>
          </w:p>
        </w:tc>
        <w:tc>
          <w:tcPr/>
          <w:p>
            <w:pPr>
              <w:pStyle w:val="Compact"/>
              <w:jc w:val="right"/>
            </w:pPr>
            <w:r>
              <w:rPr>
                <w:rFonts w:hint="eastAsia"/>
              </w:rPr>
              <w:t xml:space="preserve">-414.4486亿元</w:t>
            </w:r>
          </w:p>
        </w:tc>
      </w:tr>
      <w:tr>
        <w:tc>
          <w:tcPr/>
          <w:p>
            <w:pPr>
              <w:pStyle w:val="Compact"/>
            </w:pPr>
            <w:r>
              <w:rPr>
                <w:rFonts w:hint="eastAsia"/>
              </w:rPr>
              <w:t xml:space="preserve">融券余额</w:t>
            </w:r>
          </w:p>
        </w:tc>
        <w:tc>
          <w:tcPr/>
          <w:p>
            <w:pPr>
              <w:pStyle w:val="Compact"/>
              <w:jc w:val="right"/>
            </w:pPr>
            <w:r>
              <w:rPr>
                <w:rFonts w:hint="eastAsia"/>
              </w:rPr>
              <w:t xml:space="preserve">278.3834亿元</w:t>
            </w:r>
          </w:p>
        </w:tc>
        <w:tc>
          <w:tcPr/>
          <w:p>
            <w:pPr>
              <w:pStyle w:val="Compact"/>
              <w:jc w:val="right"/>
            </w:pPr>
            <w:r>
              <w:rPr>
                <w:rFonts w:hint="eastAsia"/>
              </w:rPr>
              <w:t xml:space="preserve">282.2257亿元</w:t>
            </w:r>
          </w:p>
        </w:tc>
        <w:tc>
          <w:tcPr/>
          <w:p>
            <w:pPr>
              <w:pStyle w:val="Compact"/>
              <w:jc w:val="right"/>
            </w:pPr>
            <w:r>
              <w:rPr>
                <w:rFonts w:hint="eastAsia"/>
              </w:rPr>
              <w:t xml:space="preserve">-3.8424亿元</w:t>
            </w:r>
          </w:p>
        </w:tc>
      </w:tr>
    </w:tbl>
    <w:p>
      <w:pPr>
        <w:pStyle w:val="Compact"/>
        <w:numPr>
          <w:ilvl w:val="0"/>
          <w:numId w:val="1014"/>
        </w:numPr>
      </w:pPr>
      <w:r>
        <w:rPr>
          <w:rFonts w:hint="eastAsia"/>
        </w:rPr>
        <w:t xml:space="preserve">实际结算日期为2026年10月30日，数据来源为东财两融历史日表。</w:t>
      </w:r>
    </w:p>
    <w:p>
      <w:pPr>
        <w:pStyle w:val="Compact"/>
        <w:numPr>
          <w:ilvl w:val="0"/>
          <w:numId w:val="1014"/>
        </w:numPr>
      </w:pPr>
      <w:r>
        <w:rPr>
          <w:rFonts w:hint="eastAsia"/>
          <w:b/>
          <w:bCs/>
        </w:rPr>
        <w:t xml:space="preserve">T+1滞后，报告日当日两融尚未发布。</w:t>
      </w:r>
    </w:p>
    <w:p>
      <w:pPr>
        <w:pStyle w:val="Compact"/>
        <w:numPr>
          <w:ilvl w:val="0"/>
          <w:numId w:val="1014"/>
        </w:numPr>
      </w:pPr>
      <w:r>
        <w:rPr>
          <w:rFonts w:hint="eastAsia"/>
        </w:rPr>
        <w:t xml:space="preserve">两融余额下降1.7539%，其中融资余额减少414.4486亿元，是本轮下降的主要驱动，说明杠杆资金风险偏好仍偏谨慎。</w:t>
      </w:r>
    </w:p>
    <w:bookmarkEnd w:id="34"/>
    <w:bookmarkStart w:id="35" w:name="宽基etf份额"/>
    <w:p>
      <w:pPr>
        <w:pStyle w:val="Heading3"/>
      </w:pPr>
      <w:r>
        <w:t xml:space="preserve">💧 </w:t>
      </w:r>
      <w:r>
        <w:rPr>
          <w:rFonts w:hint="eastAsia"/>
        </w:rPr>
        <w:t xml:space="preserve">宽基ETF份额</w:t>
      </w:r>
    </w:p>
    <w:p>
      <w:pPr>
        <w:pStyle w:val="Compact"/>
        <w:numPr>
          <w:ilvl w:val="0"/>
          <w:numId w:val="1015"/>
        </w:numPr>
      </w:pPr>
      <w:r>
        <w:rPr>
          <w:rFonts w:hint="eastAsia"/>
        </w:rPr>
        <w:t xml:space="preserve">沪深300ETF（510300）最新份额增加25.344亿份，估算净申购103.53024亿元，连续3个区间净流入。</w:t>
      </w:r>
    </w:p>
    <w:p>
      <w:pPr>
        <w:pStyle w:val="Compact"/>
        <w:numPr>
          <w:ilvl w:val="0"/>
          <w:numId w:val="1015"/>
        </w:numPr>
      </w:pPr>
      <w:r>
        <w:rPr>
          <w:rFonts w:hint="eastAsia"/>
        </w:rPr>
        <w:t xml:space="preserve">科创50ETF（588000）最新份额增加55.44亿份，估算净申购69.8544亿元，连续3个区间净流入。</w:t>
      </w:r>
    </w:p>
    <w:p>
      <w:pPr>
        <w:pStyle w:val="Compact"/>
        <w:numPr>
          <w:ilvl w:val="0"/>
          <w:numId w:val="1015"/>
        </w:numPr>
      </w:pPr>
      <w:r>
        <w:rPr>
          <w:rFonts w:hint="eastAsia"/>
        </w:rPr>
        <w:t xml:space="preserve">中证500ETF（510500）最新份额增加10.252亿份，估算净申购66.186912亿元，连续2个区间净流入。</w:t>
      </w:r>
    </w:p>
    <w:p>
      <w:pPr>
        <w:pStyle w:val="Compact"/>
        <w:numPr>
          <w:ilvl w:val="0"/>
          <w:numId w:val="1015"/>
        </w:numPr>
      </w:pPr>
      <w:r>
        <w:rPr>
          <w:rFonts w:hint="eastAsia"/>
        </w:rPr>
        <w:t xml:space="preserve">创业板ETF（159915）最新份额增加11.67亿份，估算净申购28.85991亿元，连续3个区间净流入。</w:t>
      </w:r>
    </w:p>
    <w:p>
      <w:pPr>
        <w:pStyle w:val="Compact"/>
        <w:numPr>
          <w:ilvl w:val="0"/>
          <w:numId w:val="1015"/>
        </w:numPr>
      </w:pPr>
      <w:r>
        <w:rPr>
          <w:rFonts w:hint="eastAsia"/>
        </w:rPr>
        <w:t xml:space="preserve">8只跟踪宽基指数的ETF均满足连续净申购，显示中长期配置资金仍在承接市场波动。</w:t>
      </w:r>
    </w:p>
    <w:bookmarkEnd w:id="35"/>
    <w:bookmarkStart w:id="36" w:name="成交额与恐慌代理"/>
    <w:p>
      <w:pPr>
        <w:pStyle w:val="Heading3"/>
      </w:pPr>
      <w:r>
        <w:t xml:space="preserve">💧 </w:t>
      </w:r>
      <w:r>
        <w:rPr>
          <w:rFonts w:hint="eastAsia"/>
        </w:rPr>
        <w:t xml:space="preserve">成交额与恐慌代理</w:t>
      </w:r>
    </w:p>
    <w:p>
      <w:pPr>
        <w:pStyle w:val="Compact"/>
        <w:numPr>
          <w:ilvl w:val="0"/>
          <w:numId w:val="1016"/>
        </w:numPr>
      </w:pPr>
      <w:r>
        <w:rPr>
          <w:rFonts w:hint="eastAsia"/>
        </w:rPr>
        <w:t xml:space="preserve">上一交易日全市场成交额17951.83亿元，增加1074.76亿元，变化率+6.37%。</w:t>
      </w:r>
    </w:p>
    <w:p>
      <w:pPr>
        <w:pStyle w:val="Compact"/>
        <w:numPr>
          <w:ilvl w:val="0"/>
          <w:numId w:val="1016"/>
        </w:numPr>
      </w:pPr>
      <w:r>
        <w:t xml:space="preserve">300ETF </w:t>
      </w:r>
      <w:r>
        <w:rPr>
          <w:rFonts w:hint="eastAsia"/>
        </w:rPr>
        <w:t xml:space="preserve">QVIX最新结算值20.22，前收盘19.50，上升0.72，涨幅3.6923%。</w:t>
      </w:r>
    </w:p>
    <w:p>
      <w:pPr>
        <w:pStyle w:val="Compact"/>
        <w:numPr>
          <w:ilvl w:val="0"/>
          <w:numId w:val="1016"/>
        </w:numPr>
      </w:pPr>
      <w:r>
        <w:rPr>
          <w:rFonts w:hint="eastAsia"/>
        </w:rPr>
        <w:t xml:space="preserve">QVIX较20日峰值22.10回落8.5068%，未达到至少回落10%且低于前收盘的降温标准。</w:t>
      </w:r>
    </w:p>
    <w:p>
      <w:pPr>
        <w:pStyle w:val="Compact"/>
        <w:numPr>
          <w:ilvl w:val="0"/>
          <w:numId w:val="1016"/>
        </w:numPr>
      </w:pPr>
      <w:r>
        <w:rPr>
          <w:rFonts w:hint="eastAsia"/>
          <w:b/>
          <w:bCs/>
        </w:rPr>
        <w:t xml:space="preserve">联合信号状态：未确认。</w:t>
      </w:r>
    </w:p>
    <w:p>
      <w:pPr>
        <w:pStyle w:val="Compact"/>
        <w:numPr>
          <w:ilvl w:val="0"/>
          <w:numId w:val="1016"/>
        </w:numPr>
      </w:pPr>
      <w:r>
        <w:rPr>
          <w:rFonts w:hint="eastAsia"/>
        </w:rPr>
        <w:t xml:space="preserve">宽基ETF持续流入已经出现，但恐慌高位降温条件未满足，不能写作“恐慌高位降温且宽基ETF持续流入已确认”。</w:t>
      </w:r>
    </w:p>
    <w:bookmarkEnd w:id="36"/>
    <w:bookmarkEnd w:id="37"/>
    <w:bookmarkStart w:id="38" w:name="市场风格预判"/>
    <w:p>
      <w:pPr>
        <w:pStyle w:val="Heading2"/>
      </w:pPr>
      <w:r>
        <w:t xml:space="preserve">🎨 </w:t>
      </w:r>
      <w:r>
        <w:rPr>
          <w:rFonts w:hint="eastAsia"/>
        </w:rPr>
        <w:t xml:space="preserve">市场风格预判</w:t>
      </w:r>
    </w:p>
    <w:p>
      <w:pPr>
        <w:pStyle w:val="Compact"/>
        <w:numPr>
          <w:ilvl w:val="0"/>
          <w:numId w:val="1017"/>
        </w:numPr>
      </w:pPr>
      <w:r>
        <w:t xml:space="preserve">📈</w:t>
      </w:r>
      <w:r>
        <w:t xml:space="preserve"> </w:t>
      </w:r>
      <w:r>
        <w:rPr>
          <w:rFonts w:hint="eastAsia"/>
          <w:b/>
          <w:bCs/>
        </w:rPr>
        <w:t xml:space="preserve">指数风格</w:t>
      </w:r>
      <w:r>
        <w:rPr>
          <w:rFonts w:hint="eastAsia"/>
        </w:rPr>
        <w:t xml:space="preserve">：成长仍有资金基础，但隔夜科技资产下跌，预计从普涨修复转为分化震荡。</w:t>
      </w:r>
    </w:p>
    <w:p>
      <w:pPr>
        <w:pStyle w:val="Compact"/>
        <w:numPr>
          <w:ilvl w:val="0"/>
          <w:numId w:val="1017"/>
        </w:numPr>
      </w:pPr>
      <w:r>
        <w:t xml:space="preserve">💰</w:t>
      </w:r>
      <w:r>
        <w:t xml:space="preserve"> </w:t>
      </w:r>
      <w:r>
        <w:rPr>
          <w:rFonts w:hint="eastAsia"/>
          <w:b/>
          <w:bCs/>
        </w:rPr>
        <w:t xml:space="preserve">资金风格</w:t>
      </w:r>
      <w:r>
        <w:rPr>
          <w:rFonts w:hint="eastAsia"/>
        </w:rPr>
        <w:t xml:space="preserve">：宽基ETF持续净申购有利于指数稳定；融资余额明显下降，短线高弹性交易仍缺乏杠杆增量确认。</w:t>
      </w:r>
    </w:p>
    <w:p>
      <w:pPr>
        <w:pStyle w:val="Compact"/>
        <w:numPr>
          <w:ilvl w:val="0"/>
          <w:numId w:val="1017"/>
        </w:numPr>
      </w:pPr>
      <w:r>
        <w:t xml:space="preserve">🔴</w:t>
      </w:r>
      <w:r>
        <w:t xml:space="preserve"> </w:t>
      </w:r>
      <w:r>
        <w:rPr>
          <w:rFonts w:hint="eastAsia"/>
          <w:b/>
          <w:bCs/>
        </w:rPr>
        <w:t xml:space="preserve">相对占优</w:t>
      </w:r>
      <w:r>
        <w:rPr>
          <w:rFonts w:hint="eastAsia"/>
        </w:rPr>
        <w:t xml:space="preserve">：证券、宽基权重、具备业绩支撑的消费龙头、政策催化的水利环保。</w:t>
      </w:r>
    </w:p>
    <w:p>
      <w:pPr>
        <w:pStyle w:val="Compact"/>
        <w:numPr>
          <w:ilvl w:val="0"/>
          <w:numId w:val="1017"/>
        </w:numPr>
      </w:pPr>
      <w:r>
        <w:t xml:space="preserve">🟢</w:t>
      </w:r>
      <w:r>
        <w:t xml:space="preserve"> </w:t>
      </w:r>
      <w:r>
        <w:rPr>
          <w:rFonts w:hint="eastAsia"/>
          <w:b/>
          <w:bCs/>
        </w:rPr>
        <w:t xml:space="preserve">相对承压</w:t>
      </w:r>
      <w:r>
        <w:rPr>
          <w:rFonts w:hint="eastAsia"/>
        </w:rPr>
        <w:t xml:space="preserve">：高波动半导体、存储、光模块及昨日大涨的传媒游戏。</w:t>
      </w:r>
    </w:p>
    <w:p>
      <w:pPr>
        <w:pStyle w:val="Compact"/>
        <w:numPr>
          <w:ilvl w:val="0"/>
          <w:numId w:val="1017"/>
        </w:numPr>
      </w:pPr>
      <w:r>
        <w:t xml:space="preserve">🧠 </w:t>
      </w:r>
      <w:r>
        <w:rPr>
          <w:rFonts w:hint="eastAsia"/>
        </w:rPr>
        <w:t xml:space="preserve">行为金融信号风险分为1，未触发FOMO、估值拥挤或亏损厌恶扩散阈值；但昨日普涨后仍应避免把单日赚钱效应外推为连续主升。</w:t>
      </w:r>
    </w:p>
    <w:bookmarkEnd w:id="38"/>
    <w:bookmarkStart w:id="44" w:name="投资方向分层"/>
    <w:p>
      <w:pPr>
        <w:pStyle w:val="Heading2"/>
      </w:pPr>
      <w:r>
        <w:t xml:space="preserve">🧭 </w:t>
      </w:r>
      <w:r>
        <w:rPr>
          <w:rFonts w:hint="eastAsia"/>
        </w:rPr>
        <w:t xml:space="preserve">投资方向分层</w:t>
      </w:r>
    </w:p>
    <w:bookmarkStart w:id="39" w:name="可参与政策稳定工具与宽基权重"/>
    <w:p>
      <w:pPr>
        <w:pStyle w:val="Heading3"/>
      </w:pPr>
      <w:r>
        <w:t xml:space="preserve">📈 </w:t>
      </w:r>
      <w:r>
        <w:rPr>
          <w:rFonts w:hint="eastAsia"/>
        </w:rPr>
        <w:t xml:space="preserve">可参与：政策稳定工具与宽基权重</w:t>
      </w:r>
    </w:p>
    <w:p>
      <w:pPr>
        <w:pStyle w:val="Compact"/>
        <w:numPr>
          <w:ilvl w:val="0"/>
          <w:numId w:val="1018"/>
        </w:numPr>
      </w:pPr>
      <w:r>
        <w:rPr>
          <w:rFonts w:hint="eastAsia"/>
          <w:b/>
          <w:bCs/>
        </w:rPr>
        <w:t xml:space="preserve">证据链</w:t>
      </w:r>
      <w:r>
        <w:rPr>
          <w:rFonts w:hint="eastAsia"/>
        </w:rPr>
        <w:t xml:space="preserve">：互换便利今日实施；31家机构申请额度超过1000亿元；证券Ⅱ上一交易日主力净流入28.38亿元；沪深300ETF估算净申购103.53024亿元。</w:t>
      </w:r>
    </w:p>
    <w:p>
      <w:pPr>
        <w:pStyle w:val="Compact"/>
        <w:numPr>
          <w:ilvl w:val="0"/>
          <w:numId w:val="1018"/>
        </w:numPr>
      </w:pPr>
      <w:r>
        <w:rPr>
          <w:rFonts w:hint="eastAsia"/>
          <w:b/>
          <w:bCs/>
        </w:rPr>
        <w:t xml:space="preserve">核心标的</w:t>
      </w:r>
      <w:r>
        <w:rPr>
          <w:rFonts w:hint="eastAsia"/>
        </w:rPr>
        <w:t xml:space="preserve">：证券ETF（512880）、沪深300ETF（510300），个股仅观察东方财富（300059）。</w:t>
      </w:r>
    </w:p>
    <w:p>
      <w:pPr>
        <w:pStyle w:val="Compact"/>
        <w:numPr>
          <w:ilvl w:val="0"/>
          <w:numId w:val="1018"/>
        </w:numPr>
      </w:pPr>
      <w:r>
        <w:rPr>
          <w:rFonts w:hint="eastAsia"/>
          <w:b/>
          <w:bCs/>
        </w:rPr>
        <w:t xml:space="preserve">触发条件</w:t>
      </w:r>
      <w:r>
        <w:rPr>
          <w:rFonts w:hint="eastAsia"/>
        </w:rPr>
        <w:t xml:space="preserve">：板块不大幅高开，开盘后成交额持续增加，指数回踩不破昨日收盘区域。</w:t>
      </w:r>
    </w:p>
    <w:p>
      <w:pPr>
        <w:pStyle w:val="Compact"/>
        <w:numPr>
          <w:ilvl w:val="0"/>
          <w:numId w:val="1018"/>
        </w:numPr>
      </w:pPr>
      <w:r>
        <w:rPr>
          <w:rFonts w:hint="eastAsia"/>
          <w:b/>
          <w:bCs/>
        </w:rPr>
        <w:t xml:space="preserve">失效条件</w:t>
      </w:r>
      <w:r>
        <w:rPr>
          <w:rFonts w:hint="eastAsia"/>
        </w:rPr>
        <w:t xml:space="preserve">：证券板块高开低走、宽基同步转弱，或全市场成交额明显低于上一交易日节奏。</w:t>
      </w:r>
    </w:p>
    <w:p>
      <w:pPr>
        <w:pStyle w:val="Compact"/>
        <w:numPr>
          <w:ilvl w:val="0"/>
          <w:numId w:val="1018"/>
        </w:numPr>
      </w:pPr>
      <w:r>
        <w:t xml:space="preserve">⚠️ </w:t>
      </w:r>
      <w:r>
        <w:rPr>
          <w:rFonts w:hint="eastAsia"/>
        </w:rPr>
        <w:t xml:space="preserve">东方财富TickFlow日K截至2026年10月30日为D级、趋势破位，仅在重新站回MA20和MA60后复评，当前不作为右侧确认标的。</w:t>
      </w:r>
    </w:p>
    <w:bookmarkEnd w:id="39"/>
    <w:bookmarkStart w:id="40" w:name="可参与白酒龙头的右侧趋势"/>
    <w:p>
      <w:pPr>
        <w:pStyle w:val="Heading3"/>
      </w:pPr>
      <w:r>
        <w:t xml:space="preserve">📈 </w:t>
      </w:r>
      <w:r>
        <w:rPr>
          <w:rFonts w:hint="eastAsia"/>
        </w:rPr>
        <w:t xml:space="preserve">可参与：白酒龙头的右侧趋势</w:t>
      </w:r>
    </w:p>
    <w:p>
      <w:pPr>
        <w:pStyle w:val="Compact"/>
        <w:numPr>
          <w:ilvl w:val="0"/>
          <w:numId w:val="1019"/>
        </w:numPr>
      </w:pPr>
      <w:r>
        <w:rPr>
          <w:rFonts w:hint="eastAsia"/>
          <w:b/>
          <w:bCs/>
        </w:rPr>
        <w:t xml:space="preserve">证据链</w:t>
      </w:r>
      <w:r>
        <w:rPr>
          <w:rFonts w:hint="eastAsia"/>
        </w:rPr>
        <w:t xml:space="preserve">：贵州茅台上一交易日上涨3.38%，成交额118.49亿元；2026年三季报ROE为24.47%；TickFlow截至10月30日为A级，站上MA20和MA60，接近60日高点。</w:t>
      </w:r>
    </w:p>
    <w:p>
      <w:pPr>
        <w:pStyle w:val="Compact"/>
        <w:numPr>
          <w:ilvl w:val="0"/>
          <w:numId w:val="1019"/>
        </w:numPr>
      </w:pPr>
      <w:r>
        <w:rPr>
          <w:rFonts w:hint="eastAsia"/>
          <w:b/>
          <w:bCs/>
        </w:rPr>
        <w:t xml:space="preserve">核心标的</w:t>
      </w:r>
      <w:r>
        <w:rPr>
          <w:rFonts w:hint="eastAsia"/>
        </w:rPr>
        <w:t xml:space="preserve">：贵州茅台（600519）。</w:t>
      </w:r>
    </w:p>
    <w:p>
      <w:pPr>
        <w:pStyle w:val="Compact"/>
        <w:numPr>
          <w:ilvl w:val="0"/>
          <w:numId w:val="1019"/>
        </w:numPr>
      </w:pPr>
      <w:r>
        <w:rPr>
          <w:rFonts w:hint="eastAsia"/>
          <w:b/>
          <w:bCs/>
        </w:rPr>
        <w:t xml:space="preserve">触发条件</w:t>
      </w:r>
      <w:r>
        <w:rPr>
          <w:rFonts w:hint="eastAsia"/>
        </w:rPr>
        <w:t xml:space="preserve">：收盘站稳1392.05元前高且量比不低于1.2，或缩量回踩MA20后重新放量。</w:t>
      </w:r>
    </w:p>
    <w:p>
      <w:pPr>
        <w:pStyle w:val="Compact"/>
        <w:numPr>
          <w:ilvl w:val="0"/>
          <w:numId w:val="1019"/>
        </w:numPr>
      </w:pPr>
      <w:r>
        <w:rPr>
          <w:rFonts w:hint="eastAsia"/>
          <w:b/>
          <w:bCs/>
        </w:rPr>
        <w:t xml:space="preserve">失效条件</w:t>
      </w:r>
      <w:r>
        <w:rPr>
          <w:rFonts w:hint="eastAsia"/>
        </w:rPr>
        <w:t xml:space="preserve">：收盘跌破1294.733元ATR证伪参考线。</w:t>
      </w:r>
    </w:p>
    <w:p>
      <w:pPr>
        <w:pStyle w:val="Compact"/>
        <w:numPr>
          <w:ilvl w:val="0"/>
          <w:numId w:val="1019"/>
        </w:numPr>
      </w:pPr>
      <w:r>
        <w:t xml:space="preserve">💡 </w:t>
      </w:r>
      <w:r>
        <w:rPr>
          <w:rFonts w:hint="eastAsia"/>
        </w:rPr>
        <w:t xml:space="preserve">A级同样禁止追涨，只等待站稳前高或缩量回踩后的再放量确认。</w:t>
      </w:r>
    </w:p>
    <w:bookmarkEnd w:id="40"/>
    <w:bookmarkStart w:id="41" w:name="只观察半导体存储与光模块"/>
    <w:p>
      <w:pPr>
        <w:pStyle w:val="Heading3"/>
      </w:pPr>
      <w:r>
        <w:t xml:space="preserve">👀 </w:t>
      </w:r>
      <w:r>
        <w:rPr>
          <w:rFonts w:hint="eastAsia"/>
        </w:rPr>
        <w:t xml:space="preserve">只观察：半导体、存储与光模块</w:t>
      </w:r>
    </w:p>
    <w:p>
      <w:pPr>
        <w:pStyle w:val="Compact"/>
        <w:numPr>
          <w:ilvl w:val="0"/>
          <w:numId w:val="1020"/>
        </w:numPr>
      </w:pPr>
      <w:r>
        <w:rPr>
          <w:rFonts w:hint="eastAsia"/>
          <w:b/>
          <w:bCs/>
        </w:rPr>
        <w:t xml:space="preserve">证据链</w:t>
      </w:r>
      <w:r>
        <w:rPr>
          <w:rFonts w:hint="eastAsia"/>
        </w:rPr>
        <w:t xml:space="preserve">：半导体上一交易日主力净流入46.08亿元，居板块首位；国内三季报显示光模块和半导体业绩增长；隔夜五只美股半导体个股全部下跌。</w:t>
      </w:r>
    </w:p>
    <w:p>
      <w:pPr>
        <w:pStyle w:val="Compact"/>
        <w:numPr>
          <w:ilvl w:val="0"/>
          <w:numId w:val="1020"/>
        </w:numPr>
      </w:pPr>
      <w:r>
        <w:rPr>
          <w:rFonts w:hint="eastAsia"/>
          <w:b/>
          <w:bCs/>
        </w:rPr>
        <w:t xml:space="preserve">核心标的</w:t>
      </w:r>
      <w:r>
        <w:rPr>
          <w:rFonts w:hint="eastAsia"/>
        </w:rPr>
        <w:t xml:space="preserve">：中际旭创、兆易创新、东山精密、长鑫科技、寒武纪。</w:t>
      </w:r>
    </w:p>
    <w:p>
      <w:pPr>
        <w:pStyle w:val="Compact"/>
        <w:numPr>
          <w:ilvl w:val="0"/>
          <w:numId w:val="1020"/>
        </w:numPr>
      </w:pPr>
      <w:r>
        <w:rPr>
          <w:rFonts w:hint="eastAsia"/>
          <w:b/>
          <w:bCs/>
        </w:rPr>
        <w:t xml:space="preserve">触发条件</w:t>
      </w:r>
      <w:r>
        <w:rPr>
          <w:rFonts w:hint="eastAsia"/>
        </w:rPr>
        <w:t xml:space="preserve">：低开后放量收复开盘价，并重新站上各自MA20和MA60，才进入右侧复评。</w:t>
      </w:r>
    </w:p>
    <w:p>
      <w:pPr>
        <w:pStyle w:val="Compact"/>
        <w:numPr>
          <w:ilvl w:val="0"/>
          <w:numId w:val="1020"/>
        </w:numPr>
      </w:pPr>
      <w:r>
        <w:rPr>
          <w:rFonts w:hint="eastAsia"/>
          <w:b/>
          <w:bCs/>
        </w:rPr>
        <w:t xml:space="preserve">失效条件</w:t>
      </w:r>
      <w:r>
        <w:rPr>
          <w:rFonts w:hint="eastAsia"/>
        </w:rPr>
        <w:t xml:space="preserve">：低开后继续放量下跌，或资金流入转为集中流出。</w:t>
      </w:r>
    </w:p>
    <w:p>
      <w:pPr>
        <w:pStyle w:val="Compact"/>
        <w:numPr>
          <w:ilvl w:val="0"/>
          <w:numId w:val="1020"/>
        </w:numPr>
      </w:pPr>
      <w:r>
        <w:t xml:space="preserve">⚠️ </w:t>
      </w:r>
      <w:r>
        <w:rPr>
          <w:rFonts w:hint="eastAsia"/>
        </w:rPr>
        <w:t xml:space="preserve">TickFlow截至10月30日将上述重点股全部评为D级趋势破位；技术日期早于报告日，原因是重点股日K只读校验使用最近完整同步数据，不估算11月2日均线评级。</w:t>
      </w:r>
    </w:p>
    <w:bookmarkEnd w:id="41"/>
    <w:bookmarkStart w:id="42" w:name="只观察黄河治理水利环保"/>
    <w:p>
      <w:pPr>
        <w:pStyle w:val="Heading3"/>
      </w:pPr>
      <w:r>
        <w:t xml:space="preserve">👀 </w:t>
      </w:r>
      <w:r>
        <w:rPr>
          <w:rFonts w:hint="eastAsia"/>
        </w:rPr>
        <w:t xml:space="preserve">只观察：黄河治理、水利环保</w:t>
      </w:r>
    </w:p>
    <w:p>
      <w:pPr>
        <w:pStyle w:val="Compact"/>
        <w:numPr>
          <w:ilvl w:val="0"/>
          <w:numId w:val="1021"/>
        </w:numPr>
      </w:pPr>
      <w:r>
        <w:rPr>
          <w:rFonts w:hint="eastAsia"/>
          <w:b/>
          <w:bCs/>
        </w:rPr>
        <w:t xml:space="preserve">证据链</w:t>
      </w:r>
      <w:r>
        <w:rPr>
          <w:rFonts w:hint="eastAsia"/>
        </w:rPr>
        <w:t xml:space="preserve">：国家层面要求强化黄河保护治理、水资源集约利用和水网工程统筹调配。</w:t>
      </w:r>
    </w:p>
    <w:p>
      <w:pPr>
        <w:pStyle w:val="Compact"/>
        <w:numPr>
          <w:ilvl w:val="0"/>
          <w:numId w:val="1021"/>
        </w:numPr>
      </w:pPr>
      <w:r>
        <w:rPr>
          <w:rFonts w:hint="eastAsia"/>
          <w:b/>
          <w:bCs/>
        </w:rPr>
        <w:t xml:space="preserve">核心标的</w:t>
      </w:r>
      <w:r>
        <w:rPr>
          <w:rFonts w:hint="eastAsia"/>
        </w:rPr>
        <w:t xml:space="preserve">：采集JSON未提供经过资金、量价和右侧趋势共同确认的具体公司，不补充猜测标的。</w:t>
      </w:r>
    </w:p>
    <w:p>
      <w:pPr>
        <w:pStyle w:val="Compact"/>
        <w:numPr>
          <w:ilvl w:val="0"/>
          <w:numId w:val="1021"/>
        </w:numPr>
      </w:pPr>
      <w:r>
        <w:rPr>
          <w:rFonts w:hint="eastAsia"/>
          <w:b/>
          <w:bCs/>
        </w:rPr>
        <w:t xml:space="preserve">触发条件</w:t>
      </w:r>
      <w:r>
        <w:rPr>
          <w:rFonts w:hint="eastAsia"/>
        </w:rPr>
        <w:t xml:space="preserve">：板块成交额连续放大，并出现具备订单或业绩依据的中军公司。</w:t>
      </w:r>
    </w:p>
    <w:p>
      <w:pPr>
        <w:pStyle w:val="Compact"/>
        <w:numPr>
          <w:ilvl w:val="0"/>
          <w:numId w:val="1021"/>
        </w:numPr>
      </w:pPr>
      <w:r>
        <w:rPr>
          <w:rFonts w:hint="eastAsia"/>
          <w:b/>
          <w:bCs/>
        </w:rPr>
        <w:t xml:space="preserve">失效条件</w:t>
      </w:r>
      <w:r>
        <w:rPr>
          <w:rFonts w:hint="eastAsia"/>
        </w:rPr>
        <w:t xml:space="preserve">：仅开盘脉冲、无成交额承接或板块快速回落。</w:t>
      </w:r>
    </w:p>
    <w:bookmarkEnd w:id="42"/>
    <w:bookmarkStart w:id="43" w:name="应回避高位追涨与技术破位股"/>
    <w:p>
      <w:pPr>
        <w:pStyle w:val="Heading3"/>
      </w:pPr>
      <w:r>
        <w:t xml:space="preserve">🟢 </w:t>
      </w:r>
      <w:r>
        <w:rPr>
          <w:rFonts w:hint="eastAsia"/>
        </w:rPr>
        <w:t xml:space="preserve">应回避：高位追涨与技术破位股</w:t>
      </w:r>
    </w:p>
    <w:p>
      <w:pPr>
        <w:pStyle w:val="Compact"/>
        <w:numPr>
          <w:ilvl w:val="0"/>
          <w:numId w:val="1022"/>
        </w:numPr>
      </w:pPr>
      <w:r>
        <w:rPr>
          <w:rFonts w:hint="eastAsia"/>
        </w:rPr>
        <w:t xml:space="preserve">中际旭创、新易盛、宁德时代、东山精密、长鑫科技、寒武纪、兆易创新、东方财富、生益科技的TickFlow评级均为D。</w:t>
      </w:r>
    </w:p>
    <w:p>
      <w:pPr>
        <w:pStyle w:val="Compact"/>
        <w:numPr>
          <w:ilvl w:val="0"/>
          <w:numId w:val="1022"/>
        </w:numPr>
      </w:pPr>
      <w:r>
        <w:rPr>
          <w:rFonts w:hint="eastAsia"/>
        </w:rPr>
        <w:t xml:space="preserve">昨日资金流入不能替代右侧趋势确认；即使基本面良好，也需等待重新站回MA20和MA60。</w:t>
      </w:r>
    </w:p>
    <w:p>
      <w:pPr>
        <w:pStyle w:val="Compact"/>
        <w:numPr>
          <w:ilvl w:val="0"/>
          <w:numId w:val="1022"/>
        </w:numPr>
      </w:pPr>
      <w:r>
        <w:rPr>
          <w:rFonts w:hint="eastAsia"/>
        </w:rPr>
        <w:t xml:space="preserve">昨日传媒、游戏和软件涨幅较大，今日不追逐缺乏新增公告、订单或政策确认的高开品种。</w:t>
      </w:r>
    </w:p>
    <w:bookmarkEnd w:id="43"/>
    <w:bookmarkEnd w:id="44"/>
    <w:bookmarkStart w:id="48" w:name="今日操作策略"/>
    <w:p>
      <w:pPr>
        <w:pStyle w:val="Heading2"/>
      </w:pPr>
      <w:r>
        <w:t xml:space="preserve">💡 </w:t>
      </w:r>
      <w:r>
        <w:rPr>
          <w:rFonts w:hint="eastAsia"/>
        </w:rPr>
        <w:t xml:space="preserve">今日操作策略</w:t>
      </w:r>
    </w:p>
    <w:bookmarkStart w:id="45" w:name="保守档35仓位"/>
    <w:p>
      <w:pPr>
        <w:pStyle w:val="Heading3"/>
      </w:pPr>
      <w:r>
        <w:t xml:space="preserve">💡 </w:t>
      </w:r>
      <w:r>
        <w:rPr>
          <w:rFonts w:hint="eastAsia"/>
        </w:rPr>
        <w:t xml:space="preserve">保守档：35%仓位</w:t>
      </w:r>
    </w:p>
    <w:p>
      <w:pPr>
        <w:pStyle w:val="Compact"/>
        <w:numPr>
          <w:ilvl w:val="0"/>
          <w:numId w:val="1023"/>
        </w:numPr>
      </w:pPr>
      <w:r>
        <w:rPr>
          <w:rFonts w:hint="eastAsia"/>
        </w:rPr>
        <w:t xml:space="preserve">适用于纳指下跌影响向A股科技扩散、证券和宽基冲高回落的情形。</w:t>
      </w:r>
    </w:p>
    <w:p>
      <w:pPr>
        <w:pStyle w:val="Compact"/>
        <w:numPr>
          <w:ilvl w:val="0"/>
          <w:numId w:val="1023"/>
        </w:numPr>
      </w:pPr>
      <w:r>
        <w:rPr>
          <w:rFonts w:hint="eastAsia"/>
        </w:rPr>
        <w:t xml:space="preserve">配置以宽基ETF、低波动权重及已确认右侧趋势标的为主。</w:t>
      </w:r>
    </w:p>
    <w:p>
      <w:pPr>
        <w:pStyle w:val="Compact"/>
        <w:numPr>
          <w:ilvl w:val="0"/>
          <w:numId w:val="1023"/>
        </w:numPr>
      </w:pPr>
      <w:r>
        <w:rPr>
          <w:rFonts w:hint="eastAsia"/>
        </w:rPr>
        <w:t xml:space="preserve">单一高弹性行业不得成为主要仓位来源。</w:t>
      </w:r>
    </w:p>
    <w:bookmarkEnd w:id="45"/>
    <w:bookmarkStart w:id="46" w:name="平衡档50仓位"/>
    <w:p>
      <w:pPr>
        <w:pStyle w:val="Heading3"/>
      </w:pPr>
      <w:r>
        <w:t xml:space="preserve">💡 </w:t>
      </w:r>
      <w:r>
        <w:rPr>
          <w:rFonts w:hint="eastAsia"/>
        </w:rPr>
        <w:t xml:space="preserve">平衡档：50%仓位</w:t>
      </w:r>
    </w:p>
    <w:p>
      <w:pPr>
        <w:pStyle w:val="Compact"/>
        <w:numPr>
          <w:ilvl w:val="0"/>
          <w:numId w:val="1024"/>
        </w:numPr>
      </w:pPr>
      <w:r>
        <w:rPr>
          <w:rFonts w:hint="eastAsia"/>
        </w:rPr>
        <w:t xml:space="preserve">适用于指数低开后企稳、成交额保持温和放量、证券与宽基形成承接的情形。</w:t>
      </w:r>
    </w:p>
    <w:p>
      <w:pPr>
        <w:pStyle w:val="Compact"/>
        <w:numPr>
          <w:ilvl w:val="0"/>
          <w:numId w:val="1024"/>
        </w:numPr>
      </w:pPr>
      <w:r>
        <w:rPr>
          <w:rFonts w:hint="eastAsia"/>
        </w:rPr>
        <w:t xml:space="preserve">核心仓位放在宽基和趋势确认方向，科技仅保留观察仓。</w:t>
      </w:r>
    </w:p>
    <w:p>
      <w:pPr>
        <w:pStyle w:val="Compact"/>
        <w:numPr>
          <w:ilvl w:val="0"/>
          <w:numId w:val="1024"/>
        </w:numPr>
      </w:pPr>
      <w:r>
        <w:rPr>
          <w:rFonts w:hint="eastAsia"/>
        </w:rPr>
        <w:t xml:space="preserve">不因昨日普涨直接提高至满仓。</w:t>
      </w:r>
    </w:p>
    <w:bookmarkEnd w:id="46"/>
    <w:bookmarkStart w:id="47" w:name="进取档最高50仓位"/>
    <w:p>
      <w:pPr>
        <w:pStyle w:val="Heading3"/>
      </w:pPr>
      <w:r>
        <w:t xml:space="preserve">💡 </w:t>
      </w:r>
      <w:r>
        <w:rPr>
          <w:rFonts w:hint="eastAsia"/>
        </w:rPr>
        <w:t xml:space="preserve">进取档：最高50%仓位</w:t>
      </w:r>
    </w:p>
    <w:p>
      <w:pPr>
        <w:pStyle w:val="Compact"/>
        <w:numPr>
          <w:ilvl w:val="0"/>
          <w:numId w:val="1025"/>
        </w:numPr>
      </w:pPr>
      <w:r>
        <w:rPr>
          <w:rFonts w:hint="eastAsia"/>
        </w:rPr>
        <w:t xml:space="preserve">只有证券、宽基和科技同时出现放量承接时，才允许使用进取档。</w:t>
      </w:r>
    </w:p>
    <w:p>
      <w:pPr>
        <w:pStyle w:val="Compact"/>
        <w:numPr>
          <w:ilvl w:val="0"/>
          <w:numId w:val="1025"/>
        </w:numPr>
      </w:pPr>
      <w:r>
        <w:rPr>
          <w:rFonts w:hint="eastAsia"/>
        </w:rPr>
        <w:t xml:space="preserve">自动模型上限为50%，即使出现强势反弹也不突破该上限。</w:t>
      </w:r>
    </w:p>
    <w:p>
      <w:pPr>
        <w:pStyle w:val="Compact"/>
        <w:numPr>
          <w:ilvl w:val="0"/>
          <w:numId w:val="1025"/>
        </w:numPr>
      </w:pPr>
      <w:r>
        <w:rPr>
          <w:rFonts w:hint="eastAsia"/>
        </w:rPr>
        <w:t xml:space="preserve">联合流动性与恐慌信号尚未确认，是限制进取仓位的核心原因。</w:t>
      </w:r>
    </w:p>
    <w:bookmarkEnd w:id="47"/>
    <w:bookmarkEnd w:id="48"/>
    <w:bookmarkStart w:id="49" w:name="仓位模型量化推导"/>
    <w:p>
      <w:pPr>
        <w:pStyle w:val="Heading2"/>
      </w:pPr>
      <w:r>
        <w:t xml:space="preserve">🧮 </w:t>
      </w:r>
      <w:r>
        <w:rPr>
          <w:rFonts w:hint="eastAsia"/>
        </w:rPr>
        <w:t xml:space="preserve">仓位模型量化推导</w:t>
      </w:r>
    </w:p>
    <w:p>
      <w:pPr>
        <w:pStyle w:val="Compact"/>
        <w:numPr>
          <w:ilvl w:val="0"/>
          <w:numId w:val="1026"/>
        </w:numPr>
      </w:pPr>
      <w:r>
        <w:rPr>
          <w:rFonts w:hint="eastAsia"/>
        </w:rPr>
        <w:t xml:space="preserve">初始参考上限：35%。</w:t>
      </w:r>
    </w:p>
    <w:p>
      <w:pPr>
        <w:pStyle w:val="Compact"/>
        <w:numPr>
          <w:ilvl w:val="0"/>
          <w:numId w:val="1026"/>
        </w:numPr>
      </w:pPr>
      <w:r>
        <w:rPr>
          <w:rFonts w:hint="eastAsia"/>
        </w:rPr>
        <w:t xml:space="preserve">上涨与下跌家数比5.722，对仓位贡献+10个百分点。</w:t>
      </w:r>
    </w:p>
    <w:p>
      <w:pPr>
        <w:pStyle w:val="Compact"/>
        <w:numPr>
          <w:ilvl w:val="0"/>
          <w:numId w:val="1026"/>
        </w:numPr>
      </w:pPr>
      <w:r>
        <w:rPr>
          <w:rFonts w:hint="eastAsia"/>
        </w:rPr>
        <w:t xml:space="preserve">全市场成交额增加6.37%，温和放量，对仓位贡献+5个百分点。</w:t>
      </w:r>
    </w:p>
    <w:p>
      <w:pPr>
        <w:pStyle w:val="Compact"/>
        <w:numPr>
          <w:ilvl w:val="0"/>
          <w:numId w:val="1026"/>
        </w:numPr>
      </w:pPr>
      <w:r>
        <w:rPr>
          <w:rFonts w:hint="eastAsia"/>
        </w:rPr>
        <w:t xml:space="preserve">模型计算值为50%，达到自动仓位上限。</w:t>
      </w:r>
    </w:p>
    <w:p>
      <w:pPr>
        <w:pStyle w:val="Compact"/>
        <w:numPr>
          <w:ilvl w:val="0"/>
          <w:numId w:val="1026"/>
        </w:numPr>
      </w:pPr>
      <w:r>
        <w:rPr>
          <w:rFonts w:hint="eastAsia"/>
        </w:rPr>
        <w:t xml:space="preserve">隔夜纳指下跌1.07%、AMD下跌7.52%、美光下跌5.78%，不支持继续突破上限。</w:t>
      </w:r>
    </w:p>
    <w:p>
      <w:pPr>
        <w:pStyle w:val="Compact"/>
        <w:numPr>
          <w:ilvl w:val="0"/>
          <w:numId w:val="1026"/>
        </w:numPr>
      </w:pPr>
      <w:r>
        <w:rPr>
          <w:rFonts w:hint="eastAsia"/>
        </w:rPr>
        <w:t xml:space="preserve">两融余额减少418.2910亿元，且主要由融资余额下降驱动，杠杆风险偏好偏弱。</w:t>
      </w:r>
    </w:p>
    <w:p>
      <w:pPr>
        <w:pStyle w:val="Compact"/>
        <w:numPr>
          <w:ilvl w:val="0"/>
          <w:numId w:val="1026"/>
        </w:numPr>
      </w:pPr>
      <w:r>
        <w:rPr>
          <w:rFonts w:hint="eastAsia"/>
        </w:rPr>
        <w:t xml:space="preserve">QVIX升至20.22，恐慌降温条件未满足，因此最终三档仓位确定为35%／50%／50%。</w:t>
      </w:r>
    </w:p>
    <w:bookmarkEnd w:id="49"/>
    <w:bookmarkStart w:id="50" w:name="回避清单"/>
    <w:p>
      <w:pPr>
        <w:pStyle w:val="Heading2"/>
      </w:pPr>
      <w:r>
        <w:t xml:space="preserve">🚫 </w:t>
      </w:r>
      <w:r>
        <w:rPr>
          <w:rFonts w:hint="eastAsia"/>
        </w:rPr>
        <w:t xml:space="preserve">回避清单</w:t>
      </w:r>
    </w:p>
    <w:p>
      <w:pPr>
        <w:pStyle w:val="Compact"/>
        <w:numPr>
          <w:ilvl w:val="0"/>
          <w:numId w:val="1027"/>
        </w:numPr>
      </w:pPr>
      <w:r>
        <w:t xml:space="preserve">⚠️</w:t>
      </w:r>
      <w:r>
        <w:t xml:space="preserve"> </w:t>
      </w:r>
      <w:r>
        <w:rPr>
          <w:rFonts w:hint="eastAsia"/>
          <w:b/>
          <w:bCs/>
        </w:rPr>
        <w:t xml:space="preserve">晶华微</w:t>
      </w:r>
      <w:r>
        <w:rPr>
          <w:rFonts w:hint="eastAsia"/>
        </w:rPr>
        <w:t xml:space="preserve">：公司及控股股东被立案，部分证券账户和银行账户被冻结。</w:t>
      </w:r>
    </w:p>
    <w:p>
      <w:pPr>
        <w:pStyle w:val="Compact"/>
        <w:numPr>
          <w:ilvl w:val="0"/>
          <w:numId w:val="1027"/>
        </w:numPr>
      </w:pPr>
      <w:r>
        <w:t xml:space="preserve">⚠️</w:t>
      </w:r>
      <w:r>
        <w:t xml:space="preserve"> </w:t>
      </w:r>
      <w:r>
        <w:rPr>
          <w:rFonts w:hint="eastAsia"/>
          <w:b/>
          <w:bCs/>
        </w:rPr>
        <w:t xml:space="preserve">科力远</w:t>
      </w:r>
      <w:r>
        <w:rPr>
          <w:rFonts w:hint="eastAsia"/>
        </w:rPr>
        <w:t xml:space="preserve">：公司及控股股东被立案调查。</w:t>
      </w:r>
    </w:p>
    <w:p>
      <w:pPr>
        <w:pStyle w:val="Compact"/>
        <w:numPr>
          <w:ilvl w:val="0"/>
          <w:numId w:val="1027"/>
        </w:numPr>
      </w:pPr>
      <w:r>
        <w:t xml:space="preserve">⚠️</w:t>
      </w:r>
      <w:r>
        <w:t xml:space="preserve"> </w:t>
      </w:r>
      <w:r>
        <w:rPr>
          <w:rFonts w:hint="eastAsia"/>
          <w:b/>
          <w:bCs/>
        </w:rPr>
        <w:t xml:space="preserve">中基健康</w:t>
      </w:r>
      <w:r>
        <w:rPr>
          <w:rFonts w:hint="eastAsia"/>
        </w:rPr>
        <w:t xml:space="preserve">：重整受理并将被实施退市风险警示。</w:t>
      </w:r>
    </w:p>
    <w:p>
      <w:pPr>
        <w:pStyle w:val="Compact"/>
        <w:numPr>
          <w:ilvl w:val="0"/>
          <w:numId w:val="1027"/>
        </w:numPr>
      </w:pPr>
      <w:r>
        <w:t xml:space="preserve">⚠️</w:t>
      </w:r>
      <w:r>
        <w:t xml:space="preserve"> </w:t>
      </w:r>
      <w:r>
        <w:rPr>
          <w:rFonts w:hint="eastAsia"/>
          <w:b/>
          <w:bCs/>
        </w:rPr>
        <w:t xml:space="preserve">东来技术、全新好</w:t>
      </w:r>
      <w:r>
        <w:rPr>
          <w:rFonts w:hint="eastAsia"/>
        </w:rPr>
        <w:t xml:space="preserve">：存在减持相关公告或股东权益变动风险。</w:t>
      </w:r>
    </w:p>
    <w:p>
      <w:pPr>
        <w:pStyle w:val="Compact"/>
        <w:numPr>
          <w:ilvl w:val="0"/>
          <w:numId w:val="1027"/>
        </w:numPr>
      </w:pPr>
      <w:r>
        <w:t xml:space="preserve">⚠️</w:t>
      </w:r>
      <w:r>
        <w:t xml:space="preserve"> </w:t>
      </w:r>
      <w:r>
        <w:rPr>
          <w:rFonts w:hint="eastAsia"/>
          <w:b/>
          <w:bCs/>
        </w:rPr>
        <w:t xml:space="preserve">高开科技股</w:t>
      </w:r>
      <w:r>
        <w:rPr>
          <w:rFonts w:hint="eastAsia"/>
        </w:rPr>
        <w:t xml:space="preserve">：隔夜半导体下跌，昨日半导体和TMT资金集中流入，今日高开追涨的盈亏比下降。</w:t>
      </w:r>
    </w:p>
    <w:p>
      <w:pPr>
        <w:pStyle w:val="Compact"/>
        <w:numPr>
          <w:ilvl w:val="0"/>
          <w:numId w:val="1027"/>
        </w:numPr>
      </w:pPr>
      <w:r>
        <w:t xml:space="preserve">⚠️</w:t>
      </w:r>
      <w:r>
        <w:t xml:space="preserve"> </w:t>
      </w:r>
      <w:r>
        <w:rPr>
          <w:rFonts w:hint="eastAsia"/>
          <w:b/>
          <w:bCs/>
        </w:rPr>
        <w:t xml:space="preserve">D级技术股</w:t>
      </w:r>
      <w:r>
        <w:rPr>
          <w:rFonts w:hint="eastAsia"/>
        </w:rPr>
        <w:t xml:space="preserve">：未重新站回MA20和MA60前，不因单日反弹改变回避结论。</w:t>
      </w:r>
    </w:p>
    <w:bookmarkEnd w:id="50"/>
    <w:bookmarkStart w:id="51" w:name="风险日历"/>
    <w:p>
      <w:pPr>
        <w:pStyle w:val="Heading2"/>
      </w:pPr>
      <w:r>
        <w:t xml:space="preserve">⚠️ </w:t>
      </w:r>
      <w:r>
        <w:rPr>
          <w:rFonts w:hint="eastAsia"/>
        </w:rPr>
        <w:t xml:space="preserve">风险日历</w:t>
      </w:r>
    </w:p>
    <w:p>
      <w:pPr>
        <w:pStyle w:val="Compact"/>
        <w:numPr>
          <w:ilvl w:val="0"/>
          <w:numId w:val="1028"/>
        </w:numPr>
      </w:pPr>
      <w:r>
        <w:rPr>
          <w:rFonts w:hint="eastAsia"/>
          <w:b/>
          <w:bCs/>
        </w:rPr>
        <w:t xml:space="preserve">09:30后</w:t>
      </w:r>
      <w:r>
        <w:rPr>
          <w:rFonts w:hint="eastAsia"/>
        </w:rPr>
        <w:t xml:space="preserve">：观察互换便利政策预期能否转化为证券、宽基ETF和权重股的真实成交承接。</w:t>
      </w:r>
    </w:p>
    <w:p>
      <w:pPr>
        <w:pStyle w:val="Compact"/>
        <w:numPr>
          <w:ilvl w:val="0"/>
          <w:numId w:val="1028"/>
        </w:numPr>
      </w:pPr>
      <w:r>
        <w:rPr>
          <w:rFonts w:hint="eastAsia"/>
          <w:b/>
          <w:bCs/>
        </w:rPr>
        <w:t xml:space="preserve">交易时段</w:t>
      </w:r>
      <w:r>
        <w:rPr>
          <w:rFonts w:hint="eastAsia"/>
        </w:rPr>
        <w:t xml:space="preserve">：关注半导体、存储、光模块对隔夜美股科技下跌的反馈。</w:t>
      </w:r>
    </w:p>
    <w:p>
      <w:pPr>
        <w:pStyle w:val="Compact"/>
        <w:numPr>
          <w:ilvl w:val="0"/>
          <w:numId w:val="1028"/>
        </w:numPr>
      </w:pPr>
      <w:r>
        <w:rPr>
          <w:rFonts w:hint="eastAsia"/>
          <w:b/>
          <w:bCs/>
        </w:rPr>
        <w:t xml:space="preserve">全天</w:t>
      </w:r>
      <w:r>
        <w:rPr>
          <w:rFonts w:hint="eastAsia"/>
        </w:rPr>
        <w:t xml:space="preserve">：关注霍尔木兹海峡谈判及也门局势是否推动原油和航运价格快速波动。</w:t>
      </w:r>
    </w:p>
    <w:p>
      <w:pPr>
        <w:pStyle w:val="Compact"/>
        <w:numPr>
          <w:ilvl w:val="0"/>
          <w:numId w:val="1028"/>
        </w:numPr>
      </w:pPr>
      <w:r>
        <w:rPr>
          <w:rFonts w:hint="eastAsia"/>
          <w:b/>
          <w:bCs/>
        </w:rPr>
        <w:t xml:space="preserve">公告风险</w:t>
      </w:r>
      <w:r>
        <w:rPr>
          <w:rFonts w:hint="eastAsia"/>
        </w:rPr>
        <w:t xml:space="preserve">：重点跟踪立案、账户冻结、重整、停牌及限售股上市公司。</w:t>
      </w:r>
    </w:p>
    <w:p>
      <w:pPr>
        <w:pStyle w:val="Compact"/>
        <w:numPr>
          <w:ilvl w:val="0"/>
          <w:numId w:val="1028"/>
        </w:numPr>
      </w:pPr>
      <w:r>
        <w:rPr>
          <w:rFonts w:hint="eastAsia"/>
          <w:b/>
          <w:bCs/>
        </w:rPr>
        <w:t xml:space="preserve">数据风险</w:t>
      </w:r>
      <w:r>
        <w:rPr>
          <w:rFonts w:hint="eastAsia"/>
        </w:rPr>
        <w:t xml:space="preserve">：正式国内外宏观经济日历未进入本轮采集JSON，因此不估算具体公布值和市场预期。</w:t>
      </w:r>
    </w:p>
    <w:p>
      <w:pPr>
        <w:pStyle w:val="Compact"/>
        <w:numPr>
          <w:ilvl w:val="0"/>
          <w:numId w:val="1028"/>
        </w:numPr>
      </w:pPr>
      <w:r>
        <w:rPr>
          <w:rFonts w:hint="eastAsia"/>
          <w:b/>
          <w:bCs/>
        </w:rPr>
        <w:t xml:space="preserve">策略复核</w:t>
      </w:r>
      <w:r>
        <w:rPr>
          <w:rFonts w:hint="eastAsia"/>
        </w:rPr>
        <w:t xml:space="preserve">：当前没有2026年11月3日盘前或午盘正式报告作为评分基准，无法生成策略评分、命中率或综合分；收盘后仅按指数、资金、触发条件和失效条件进行证据核对。</w:t>
      </w:r>
    </w:p>
    <w:bookmarkEnd w:id="51"/>
    <w:bookmarkStart w:id="52" w:name="外资与离岸风险偏好"/>
    <w:p>
      <w:pPr>
        <w:pStyle w:val="Heading2"/>
      </w:pPr>
      <w:r>
        <w:t xml:space="preserve">🌐 </w:t>
      </w:r>
      <w:r>
        <w:rPr>
          <w:rFonts w:hint="eastAsia"/>
        </w:rPr>
        <w:t xml:space="preserve">外资与离岸风险偏好</w:t>
      </w:r>
    </w:p>
    <w:p>
      <w:pPr>
        <w:pStyle w:val="Compact"/>
        <w:numPr>
          <w:ilvl w:val="0"/>
          <w:numId w:val="1029"/>
        </w:numPr>
      </w:pPr>
      <w:r>
        <w:rPr>
          <w:rFonts w:hint="eastAsia"/>
        </w:rPr>
        <w:t xml:space="preserve">富时A50期指下跌0.40%，显示A股开盘前离岸风险偏好偏谨慎。</w:t>
      </w:r>
    </w:p>
    <w:p>
      <w:pPr>
        <w:pStyle w:val="Compact"/>
        <w:numPr>
          <w:ilvl w:val="0"/>
          <w:numId w:val="1029"/>
        </w:numPr>
      </w:pPr>
      <w:r>
        <w:rPr>
          <w:rFonts w:hint="eastAsia"/>
        </w:rPr>
        <w:t xml:space="preserve">离岸人民币报6.6456，变动-0.01%，汇率端暂未出现明显压力。</w:t>
      </w:r>
    </w:p>
    <w:p>
      <w:pPr>
        <w:pStyle w:val="Compact"/>
        <w:numPr>
          <w:ilvl w:val="0"/>
          <w:numId w:val="1029"/>
        </w:numPr>
      </w:pPr>
      <w:r>
        <w:rPr>
          <w:rFonts w:hint="eastAsia"/>
        </w:rPr>
        <w:t xml:space="preserve">恒生指数上涨0.42%，中国资产并非全面走弱。</w:t>
      </w:r>
    </w:p>
    <w:p>
      <w:pPr>
        <w:pStyle w:val="Compact"/>
        <w:numPr>
          <w:ilvl w:val="0"/>
          <w:numId w:val="1029"/>
        </w:numPr>
      </w:pPr>
      <w:r>
        <w:rPr>
          <w:rFonts w:hint="eastAsia"/>
        </w:rPr>
        <w:t xml:space="preserve">采集JSON未提供北向资金当日盘前可比净流入数据，原因是盘前不存在报告日交易结果；不估算、不纳入确认。</w:t>
      </w:r>
    </w:p>
    <w:p>
      <w:pPr>
        <w:pStyle w:val="Compact"/>
        <w:numPr>
          <w:ilvl w:val="0"/>
          <w:numId w:val="1029"/>
        </w:numPr>
      </w:pPr>
      <w:r>
        <w:rPr>
          <w:rFonts w:hint="eastAsia"/>
        </w:rPr>
        <w:t xml:space="preserve">综合判断：离岸信号中性偏谨慎，国内宽基ETF持续净申购提供支撑，但不足以抵消隔夜科技资产下跌带来的开盘波动风险。</w:t>
      </w:r>
    </w:p>
    <w:p>
      <w:pPr>
        <w:pStyle w:val="BlockText"/>
      </w:pPr>
      <w:r>
        <w:t xml:space="preserve">📊 </w:t>
      </w:r>
      <w:r>
        <w:rPr>
          <w:rFonts w:hint="eastAsia"/>
        </w:rPr>
        <w:t xml:space="preserve">生成时间：2026-11-03</w:t>
      </w:r>
      <w:r>
        <w:t xml:space="preserve"> 08:30:48</w:t>
      </w:r>
      <w:r>
        <w:t xml:space="preserve"> </w:t>
      </w:r>
      <w:r>
        <w:t xml:space="preserve">🦞 </w:t>
      </w:r>
      <w:r>
        <w:rPr>
          <w:rFonts w:hint="eastAsia"/>
        </w:rPr>
        <w:t xml:space="preserve">by：奇迹早知道</w:t>
      </w:r>
      <w:r>
        <w:t xml:space="preserve"> v4.1</w:t>
      </w:r>
      <w:r>
        <w:t xml:space="preserve"> </w:t>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t xml:space="preserve"> </w:t>
      </w:r>
      <w:r>
        <w:t xml:space="preserve">🔴 </w:t>
      </w:r>
      <w:r>
        <w:rPr>
          <w:rFonts w:hint="eastAsia"/>
        </w:rPr>
        <w:t xml:space="preserve">分析+写稿模型：GPT-5.6</w:t>
      </w:r>
      <w:r>
        <w:t xml:space="preserve"> Sol (openai-codex)</w:t>
      </w:r>
      <w:r>
        <w:t xml:space="preserve"> </w:t>
      </w:r>
      <w:r>
        <w:t xml:space="preserve">📄 </w:t>
      </w:r>
      <w:r>
        <w:rPr>
          <w:rFonts w:hint="eastAsia"/>
        </w:rPr>
        <w:t xml:space="preserve">文档生成：pandoc</w:t>
      </w:r>
      <w:r>
        <w:t xml:space="preserve"> (markdown → docx)</w:t>
      </w:r>
    </w:p>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2026-11-03T00:37:06Z</dcterms:created>
  <dcterms:modified xsi:type="dcterms:W3CDTF">2026-11-03T00:37:06Z</dcterms:modified>
</cp:coreProperties>
</file>

<file path=docProps/custom.xml><?xml version="1.0" encoding="utf-8"?>
<Properties xmlns="http://schemas.openxmlformats.org/officeDocument/2006/custom-properties" xmlns:vt="http://schemas.openxmlformats.org/officeDocument/2006/docPropsVTypes"/>
</file>