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2" w:name="奇迹早知道2026-11-02交易日盘前简报"/>
    <w:p>
      <w:pPr>
        <w:pStyle w:val="Heading1"/>
      </w:pPr>
      <w:r>
        <w:rPr>
          <w:rFonts w:hint="eastAsia"/>
        </w:rPr>
        <w:t xml:space="preserve">奇迹早知道｜2026-11-02（交易日）盘前简报</w:t>
      </w:r>
    </w:p>
    <w:bookmarkStart w:id="9" w:name="盘前结论"/>
    <w:p>
      <w:pPr>
        <w:pStyle w:val="Heading2"/>
      </w:pPr>
      <w:r>
        <w:t xml:space="preserve">🧭 </w:t>
      </w:r>
      <w:r>
        <w:rPr>
          <w:rFonts w:hint="eastAsia"/>
        </w:rPr>
        <w:t xml:space="preserve">盘前结论</w:t>
      </w:r>
    </w:p>
    <w:p>
      <w:pPr>
        <w:pStyle w:val="Compact"/>
        <w:numPr>
          <w:ilvl w:val="0"/>
          <w:numId w:val="1001"/>
        </w:numPr>
      </w:pPr>
      <w:r>
        <w:t xml:space="preserve">📉</w:t>
      </w:r>
      <w:r>
        <w:t xml:space="preserve"> </w:t>
      </w:r>
      <w:r>
        <w:rPr>
          <w:rFonts w:hint="eastAsia"/>
          <w:b/>
          <w:bCs/>
        </w:rPr>
        <w:t xml:space="preserve">外部科技风险偏高</w:t>
      </w:r>
      <w:r>
        <w:rPr>
          <w:rFonts w:hint="eastAsia"/>
        </w:rPr>
        <w:t xml:space="preserve">：道指、标普500、纳指分别下跌1.09%、1.82%、2.86%；AMD下跌10.88%，其余4只核心半导体股跌幅均超过4%。</w:t>
      </w:r>
    </w:p>
    <w:p>
      <w:pPr>
        <w:pStyle w:val="Compact"/>
        <w:numPr>
          <w:ilvl w:val="0"/>
          <w:numId w:val="1001"/>
        </w:numPr>
      </w:pPr>
      <w:r>
        <w:t xml:space="preserve">📉</w:t>
      </w:r>
      <w:r>
        <w:t xml:space="preserve"> </w:t>
      </w:r>
      <w:r>
        <w:rPr>
          <w:rFonts w:hint="eastAsia"/>
          <w:b/>
          <w:bCs/>
        </w:rPr>
        <w:t xml:space="preserve">A股上一交易日放量下跌</w:t>
      </w:r>
      <w:r>
        <w:rPr>
          <w:rFonts w:hint="eastAsia"/>
        </w:rPr>
        <w:t xml:space="preserve">：全市场成交额16877.07亿元，增加1170.03亿元、增幅7.45%；上涨892只、下跌4602只，涨跌比0.194。</w:t>
      </w:r>
    </w:p>
    <w:p>
      <w:pPr>
        <w:pStyle w:val="Compact"/>
        <w:numPr>
          <w:ilvl w:val="0"/>
          <w:numId w:val="1001"/>
        </w:numPr>
      </w:pPr>
      <w:r>
        <w:t xml:space="preserve">💰</w:t>
      </w:r>
      <w:r>
        <w:t xml:space="preserve"> </w:t>
      </w:r>
      <w:r>
        <w:rPr>
          <w:rFonts w:hint="eastAsia"/>
          <w:b/>
          <w:bCs/>
        </w:rPr>
        <w:t xml:space="preserve">资金向防御板块迁移</w:t>
      </w:r>
      <w:r>
        <w:rPr>
          <w:rFonts w:hint="eastAsia"/>
        </w:rPr>
        <w:t xml:space="preserve">：白酒Ⅱ、医疗服务分别净流入25.00亿元、16.36亿元；半导体、通信设备分别净流出56.14亿元、52.19亿元。</w:t>
      </w:r>
    </w:p>
    <w:p>
      <w:pPr>
        <w:pStyle w:val="Compact"/>
        <w:numPr>
          <w:ilvl w:val="0"/>
          <w:numId w:val="1001"/>
        </w:numPr>
      </w:pPr>
      <w:r>
        <w:t xml:space="preserve">🧠</w:t>
      </w:r>
      <w:r>
        <w:t xml:space="preserve"> </w:t>
      </w:r>
      <w:r>
        <w:rPr>
          <w:rFonts w:hint="eastAsia"/>
          <w:b/>
          <w:bCs/>
        </w:rPr>
        <w:t xml:space="preserve">行为金融信号偏谨慎</w:t>
      </w:r>
      <w:r>
        <w:rPr>
          <w:rFonts w:hint="eastAsia"/>
        </w:rPr>
        <w:t xml:space="preserve">：</w:t>
      </w:r>
      <w:r>
        <w:rPr>
          <w:rStyle w:val="VerbatimChar"/>
        </w:rPr>
        <w:t xml:space="preserve">derived.behavioral_finance_signals</w:t>
      </w:r>
      <w:r>
        <w:rPr>
          <w:rFonts w:hint="eastAsia"/>
        </w:rPr>
        <w:t xml:space="preserve">仅确认“亏损厌恶扩散”，风险等级为中等；重点股样本10只中仅贵州茅台为A级，其余9只均为D级。</w:t>
      </w:r>
    </w:p>
    <w:p>
      <w:pPr>
        <w:pStyle w:val="Compact"/>
        <w:numPr>
          <w:ilvl w:val="0"/>
          <w:numId w:val="1001"/>
        </w:numPr>
      </w:pPr>
      <w:r>
        <w:t xml:space="preserve">💡</w:t>
      </w:r>
      <w:r>
        <w:t xml:space="preserve"> </w:t>
      </w:r>
      <w:r>
        <w:rPr>
          <w:rFonts w:hint="eastAsia"/>
          <w:b/>
          <w:bCs/>
        </w:rPr>
        <w:t xml:space="preserve">仓位先防守后确认</w:t>
      </w:r>
      <w:r>
        <w:rPr>
          <w:rFonts w:hint="eastAsia"/>
        </w:rPr>
        <w:t xml:space="preserve">：三档执行仓位分别为5%、20%、30%，模型上限50%；在宽基ETF份额和300ETF</w:t>
      </w:r>
      <w:r>
        <w:t xml:space="preserve"> </w:t>
      </w:r>
      <w:r>
        <w:rPr>
          <w:rFonts w:hint="eastAsia"/>
        </w:rPr>
        <w:t xml:space="preserve">QVIX数据缺失的情况下，不把反弹预期当作联合信号确认。</w:t>
      </w:r>
    </w:p>
    <w:p>
      <w:r>
        <w:pict>
          <v:rect style="width:0;height:1.5pt" o:hralign="center" o:hrstd="t" o:hr="t"/>
        </w:pict>
      </w:r>
    </w:p>
    <w:bookmarkEnd w:id="9"/>
    <w:bookmarkStart w:id="13" w:name="隔夜全球市场"/>
    <w:p>
      <w:pPr>
        <w:pStyle w:val="Heading2"/>
      </w:pPr>
      <w:r>
        <w:t xml:space="preserve">🌍 </w:t>
      </w:r>
      <w:r>
        <w:rPr>
          <w:rFonts w:hint="eastAsia"/>
        </w:rPr>
        <w:t xml:space="preserve">隔夜全球市场</w:t>
      </w:r>
    </w:p>
    <w:bookmarkStart w:id="10" w:name="美股三大指数"/>
    <w:p>
      <w:pPr>
        <w:pStyle w:val="Heading3"/>
      </w:pPr>
      <w:r>
        <w:t xml:space="preserve">📉 </w:t>
      </w:r>
      <w:r>
        <w:rPr>
          <w:rFonts w:hint="eastAsia"/>
        </w:rPr>
        <w:t xml:space="preserve">美股三大指数</w:t>
      </w:r>
    </w:p>
    <w:p>
      <w:pPr>
        <w:pStyle w:val="FirstParagraph"/>
      </w:pPr>
      <w:r>
        <w:rPr>
          <w:rFonts w:hint="eastAsia"/>
        </w:rPr>
        <w:t xml:space="preserve">美股行情时间为2026-10-31，对应2026-11-02盘前可获得的最近收盘数据。</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涨跌点数</w:t>
            </w:r>
          </w:p>
        </w:tc>
        <w:tc>
          <w:tcPr/>
          <w:p>
            <w:pPr>
              <w:pStyle w:val="Compact"/>
              <w:jc w:val="right"/>
            </w:pPr>
            <w:r>
              <w:rPr>
                <w:rFonts w:hint="eastAsia"/>
              </w:rPr>
              <w:t xml:space="preserve">涨跌幅</w:t>
            </w:r>
          </w:p>
        </w:tc>
      </w:tr>
      <w:tr>
        <w:tc>
          <w:tcPr/>
          <w:p>
            <w:pPr>
              <w:pStyle w:val="Compact"/>
            </w:pPr>
            <w:r>
              <w:rPr>
                <w:rFonts w:hint="eastAsia"/>
              </w:rPr>
              <w:t xml:space="preserve">道琼斯</w:t>
            </w:r>
          </w:p>
        </w:tc>
        <w:tc>
          <w:tcPr/>
          <w:p>
            <w:pPr>
              <w:pStyle w:val="Compact"/>
              <w:jc w:val="right"/>
            </w:pPr>
            <w:r>
              <w:t xml:space="preserve">51770.3086</w:t>
            </w:r>
          </w:p>
        </w:tc>
        <w:tc>
          <w:tcPr/>
          <w:p>
            <w:pPr>
              <w:pStyle w:val="Compact"/>
              <w:jc w:val="right"/>
            </w:pPr>
            <w:r>
              <w:t xml:space="preserve">-572.2500</w:t>
            </w:r>
          </w:p>
        </w:tc>
        <w:tc>
          <w:tcPr/>
          <w:p>
            <w:pPr>
              <w:pStyle w:val="Compact"/>
              <w:jc w:val="right"/>
            </w:pPr>
            <w:r>
              <w:t xml:space="preserve">📉 -1.09%</w:t>
            </w:r>
          </w:p>
        </w:tc>
      </w:tr>
      <w:tr>
        <w:tc>
          <w:tcPr/>
          <w:p>
            <w:pPr>
              <w:pStyle w:val="Compact"/>
            </w:pPr>
            <w:r>
              <w:rPr>
                <w:rFonts w:hint="eastAsia"/>
              </w:rPr>
              <w:t xml:space="preserve">标普500</w:t>
            </w:r>
          </w:p>
        </w:tc>
        <w:tc>
          <w:tcPr/>
          <w:p>
            <w:pPr>
              <w:pStyle w:val="Compact"/>
              <w:jc w:val="right"/>
            </w:pPr>
            <w:r>
              <w:t xml:space="preserve">7580.0698</w:t>
            </w:r>
          </w:p>
        </w:tc>
        <w:tc>
          <w:tcPr/>
          <w:p>
            <w:pPr>
              <w:pStyle w:val="Compact"/>
              <w:jc w:val="right"/>
            </w:pPr>
            <w:r>
              <w:t xml:space="preserve">-140.3200</w:t>
            </w:r>
          </w:p>
        </w:tc>
        <w:tc>
          <w:tcPr/>
          <w:p>
            <w:pPr>
              <w:pStyle w:val="Compact"/>
              <w:jc w:val="right"/>
            </w:pPr>
            <w:r>
              <w:t xml:space="preserve">📉 -1.82%</w:t>
            </w:r>
          </w:p>
        </w:tc>
      </w:tr>
      <w:tr>
        <w:tc>
          <w:tcPr/>
          <w:p>
            <w:pPr>
              <w:pStyle w:val="Compact"/>
            </w:pPr>
            <w:r>
              <w:rPr>
                <w:rFonts w:hint="eastAsia"/>
              </w:rPr>
              <w:t xml:space="preserve">纳斯达克</w:t>
            </w:r>
          </w:p>
        </w:tc>
        <w:tc>
          <w:tcPr/>
          <w:p>
            <w:pPr>
              <w:pStyle w:val="Compact"/>
              <w:jc w:val="right"/>
            </w:pPr>
            <w:r>
              <w:t xml:space="preserve">25436.9986</w:t>
            </w:r>
          </w:p>
        </w:tc>
        <w:tc>
          <w:tcPr/>
          <w:p>
            <w:pPr>
              <w:pStyle w:val="Compact"/>
              <w:jc w:val="right"/>
            </w:pPr>
            <w:r>
              <w:t xml:space="preserve">-747.7258</w:t>
            </w:r>
          </w:p>
        </w:tc>
        <w:tc>
          <w:tcPr/>
          <w:p>
            <w:pPr>
              <w:pStyle w:val="Compact"/>
              <w:jc w:val="right"/>
            </w:pPr>
            <w:r>
              <w:t xml:space="preserve">📉 -2.86%</w:t>
            </w:r>
          </w:p>
        </w:tc>
      </w:tr>
    </w:tbl>
    <w:bookmarkEnd w:id="10"/>
    <w:bookmarkStart w:id="11" w:name="五只核心半导体个股"/>
    <w:p>
      <w:pPr>
        <w:pStyle w:val="Heading3"/>
      </w:pPr>
      <w:r>
        <w:t xml:space="preserve">📉 </w:t>
      </w:r>
      <w:r>
        <w:rPr>
          <w:rFonts w:hint="eastAsia"/>
        </w:rPr>
        <w:t xml:space="preserve">五只核心半导体个股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个股</w:t>
            </w:r>
          </w:p>
        </w:tc>
        <w:tc>
          <w:tcPr/>
          <w:p>
            <w:pPr>
              <w:pStyle w:val="Compact"/>
              <w:jc w:val="right"/>
            </w:pPr>
            <w:r>
              <w:rPr>
                <w:rFonts w:hint="eastAsia"/>
              </w:rPr>
              <w:t xml:space="preserve">收盘价</w:t>
            </w:r>
          </w:p>
        </w:tc>
        <w:tc>
          <w:tcPr/>
          <w:p>
            <w:pPr>
              <w:pStyle w:val="Compact"/>
              <w:jc w:val="right"/>
            </w:pPr>
            <w:r>
              <w:rPr>
                <w:rFonts w:hint="eastAsia"/>
              </w:rPr>
              <w:t xml:space="preserve">涨跌额</w:t>
            </w:r>
          </w:p>
        </w:tc>
        <w:tc>
          <w:tcPr/>
          <w:p>
            <w:pPr>
              <w:pStyle w:val="Compact"/>
              <w:jc w:val="right"/>
            </w:pPr>
            <w:r>
              <w:rPr>
                <w:rFonts w:hint="eastAsia"/>
              </w:rPr>
              <w:t xml:space="preserve">涨跌幅</w:t>
            </w:r>
          </w:p>
        </w:tc>
      </w:tr>
      <w:tr>
        <w:tc>
          <w:tcPr/>
          <w:p>
            <w:pPr>
              <w:pStyle w:val="Compact"/>
            </w:pPr>
            <w:r>
              <w:rPr>
                <w:rFonts w:hint="eastAsia"/>
              </w:rPr>
              <w:t xml:space="preserve">英伟达</w:t>
            </w:r>
          </w:p>
        </w:tc>
        <w:tc>
          <w:tcPr/>
          <w:p>
            <w:pPr>
              <w:pStyle w:val="Compact"/>
              <w:jc w:val="right"/>
            </w:pPr>
            <w:r>
              <w:rPr>
                <w:rFonts w:hint="eastAsia"/>
              </w:rPr>
              <w:t xml:space="preserve">204.64美元</w:t>
            </w:r>
          </w:p>
        </w:tc>
        <w:tc>
          <w:tcPr/>
          <w:p>
            <w:pPr>
              <w:pStyle w:val="Compact"/>
              <w:jc w:val="right"/>
            </w:pPr>
            <w:r>
              <w:rPr>
                <w:rFonts w:hint="eastAsia"/>
              </w:rPr>
              <w:t xml:space="preserve">-9.02美元</w:t>
            </w:r>
          </w:p>
        </w:tc>
        <w:tc>
          <w:tcPr/>
          <w:p>
            <w:pPr>
              <w:pStyle w:val="Compact"/>
              <w:jc w:val="right"/>
            </w:pPr>
            <w:r>
              <w:t xml:space="preserve">📉 -4.22%</w:t>
            </w:r>
          </w:p>
        </w:tc>
      </w:tr>
      <w:tr>
        <w:tc>
          <w:tcPr/>
          <w:p>
            <w:pPr>
              <w:pStyle w:val="Compact"/>
            </w:pPr>
            <w:r>
              <w:t xml:space="preserve">AMD</w:t>
            </w:r>
          </w:p>
        </w:tc>
        <w:tc>
          <w:tcPr/>
          <w:p>
            <w:pPr>
              <w:pStyle w:val="Compact"/>
              <w:jc w:val="right"/>
            </w:pPr>
            <w:r>
              <w:rPr>
                <w:rFonts w:hint="eastAsia"/>
              </w:rPr>
              <w:t xml:space="preserve">504.80美元</w:t>
            </w:r>
          </w:p>
        </w:tc>
        <w:tc>
          <w:tcPr/>
          <w:p>
            <w:pPr>
              <w:pStyle w:val="Compact"/>
              <w:jc w:val="right"/>
            </w:pPr>
            <w:r>
              <w:rPr>
                <w:rFonts w:hint="eastAsia"/>
              </w:rPr>
              <w:t xml:space="preserve">-61.62美元</w:t>
            </w:r>
          </w:p>
        </w:tc>
        <w:tc>
          <w:tcPr/>
          <w:p>
            <w:pPr>
              <w:pStyle w:val="Compact"/>
              <w:jc w:val="right"/>
            </w:pPr>
            <w:r>
              <w:t xml:space="preserve">📉 -10.88%</w:t>
            </w:r>
          </w:p>
        </w:tc>
      </w:tr>
      <w:tr>
        <w:tc>
          <w:tcPr/>
          <w:p>
            <w:pPr>
              <w:pStyle w:val="Compact"/>
            </w:pPr>
            <w:r>
              <w:rPr>
                <w:rFonts w:hint="eastAsia"/>
              </w:rPr>
              <w:t xml:space="preserve">台积电</w:t>
            </w:r>
          </w:p>
        </w:tc>
        <w:tc>
          <w:tcPr/>
          <w:p>
            <w:pPr>
              <w:pStyle w:val="Compact"/>
              <w:jc w:val="right"/>
            </w:pPr>
            <w:r>
              <w:rPr>
                <w:rFonts w:hint="eastAsia"/>
              </w:rPr>
              <w:t xml:space="preserve">406.13美元</w:t>
            </w:r>
          </w:p>
        </w:tc>
        <w:tc>
          <w:tcPr/>
          <w:p>
            <w:pPr>
              <w:pStyle w:val="Compact"/>
              <w:jc w:val="right"/>
            </w:pPr>
            <w:r>
              <w:rPr>
                <w:rFonts w:hint="eastAsia"/>
              </w:rPr>
              <w:t xml:space="preserve">-25.68美元</w:t>
            </w:r>
          </w:p>
        </w:tc>
        <w:tc>
          <w:tcPr/>
          <w:p>
            <w:pPr>
              <w:pStyle w:val="Compact"/>
              <w:jc w:val="right"/>
            </w:pPr>
            <w:r>
              <w:t xml:space="preserve">📉 -5.95%</w:t>
            </w:r>
          </w:p>
        </w:tc>
      </w:tr>
      <w:tr>
        <w:tc>
          <w:tcPr/>
          <w:p>
            <w:pPr>
              <w:pStyle w:val="Compact"/>
            </w:pPr>
            <w:r>
              <w:rPr>
                <w:rFonts w:hint="eastAsia"/>
              </w:rPr>
              <w:t xml:space="preserve">博通</w:t>
            </w:r>
          </w:p>
        </w:tc>
        <w:tc>
          <w:tcPr/>
          <w:p>
            <w:pPr>
              <w:pStyle w:val="Compact"/>
              <w:jc w:val="right"/>
            </w:pPr>
            <w:r>
              <w:rPr>
                <w:rFonts w:hint="eastAsia"/>
              </w:rPr>
              <w:t xml:space="preserve">326.08美元</w:t>
            </w:r>
          </w:p>
        </w:tc>
        <w:tc>
          <w:tcPr/>
          <w:p>
            <w:pPr>
              <w:pStyle w:val="Compact"/>
              <w:jc w:val="right"/>
            </w:pPr>
            <w:r>
              <w:rPr>
                <w:rFonts w:hint="eastAsia"/>
              </w:rPr>
              <w:t xml:space="preserve">-18.92美元</w:t>
            </w:r>
          </w:p>
        </w:tc>
        <w:tc>
          <w:tcPr/>
          <w:p>
            <w:pPr>
              <w:pStyle w:val="Compact"/>
              <w:jc w:val="right"/>
            </w:pPr>
            <w:r>
              <w:t xml:space="preserve">📉 -5.48%</w:t>
            </w:r>
          </w:p>
        </w:tc>
      </w:tr>
      <w:tr>
        <w:tc>
          <w:tcPr/>
          <w:p>
            <w:pPr>
              <w:pStyle w:val="Compact"/>
            </w:pPr>
            <w:r>
              <w:rPr>
                <w:rFonts w:hint="eastAsia"/>
              </w:rPr>
              <w:t xml:space="preserve">美光</w:t>
            </w:r>
          </w:p>
        </w:tc>
        <w:tc>
          <w:tcPr/>
          <w:p>
            <w:pPr>
              <w:pStyle w:val="Compact"/>
              <w:jc w:val="right"/>
            </w:pPr>
            <w:r>
              <w:rPr>
                <w:rFonts w:hint="eastAsia"/>
              </w:rPr>
              <w:t xml:space="preserve">884.74美元</w:t>
            </w:r>
          </w:p>
        </w:tc>
        <w:tc>
          <w:tcPr/>
          <w:p>
            <w:pPr>
              <w:pStyle w:val="Compact"/>
              <w:jc w:val="right"/>
            </w:pPr>
            <w:r>
              <w:rPr>
                <w:rFonts w:hint="eastAsia"/>
              </w:rPr>
              <w:t xml:space="preserve">-49.53美元</w:t>
            </w:r>
          </w:p>
        </w:tc>
        <w:tc>
          <w:tcPr/>
          <w:p>
            <w:pPr>
              <w:pStyle w:val="Compact"/>
              <w:jc w:val="right"/>
            </w:pPr>
            <w:r>
              <w:t xml:space="preserve">📉 -5.30%</w:t>
            </w:r>
          </w:p>
        </w:tc>
      </w:tr>
    </w:tbl>
    <w:p>
      <w:pPr>
        <w:pStyle w:val="BodyText"/>
      </w:pPr>
      <w:r>
        <w:rPr>
          <w:rFonts w:hint="eastAsia"/>
          <w:b/>
          <w:bCs/>
        </w:rPr>
        <w:t xml:space="preserve">A股映射：</w:t>
      </w:r>
    </w:p>
    <w:p>
      <w:pPr>
        <w:pStyle w:val="Compact"/>
        <w:numPr>
          <w:ilvl w:val="0"/>
          <w:numId w:val="1002"/>
        </w:numPr>
      </w:pPr>
      <w:r>
        <w:t xml:space="preserve">📉 </w:t>
      </w:r>
      <w:r>
        <w:rPr>
          <w:rFonts w:hint="eastAsia"/>
        </w:rPr>
        <w:t xml:space="preserve">海外半导体同步重挫，将直接压制A股半导体、光模块、PCB、消费电子等高贝塔方向的开盘风险偏好。</w:t>
      </w:r>
    </w:p>
    <w:p>
      <w:pPr>
        <w:pStyle w:val="Compact"/>
        <w:numPr>
          <w:ilvl w:val="0"/>
          <w:numId w:val="1002"/>
        </w:numPr>
      </w:pPr>
      <w:r>
        <w:t xml:space="preserve">💰 </w:t>
      </w:r>
      <w:r>
        <w:rPr>
          <w:rFonts w:hint="eastAsia"/>
        </w:rPr>
        <w:t xml:space="preserve">国内上一交易日半导体、通信设备又分别净流出56.14亿元、52.19亿元，内外部证据同向偏空。</w:t>
      </w:r>
    </w:p>
    <w:p>
      <w:pPr>
        <w:pStyle w:val="Compact"/>
        <w:numPr>
          <w:ilvl w:val="0"/>
          <w:numId w:val="1002"/>
        </w:numPr>
      </w:pPr>
      <w:r>
        <w:t xml:space="preserve">⚠️ </w:t>
      </w:r>
      <w:r>
        <w:rPr>
          <w:rFonts w:hint="eastAsia"/>
        </w:rPr>
        <w:t xml:space="preserve">海外跌幅不能直接换算为A股开盘幅度，不据此估算个股低开比例。</w:t>
      </w:r>
    </w:p>
    <w:bookmarkEnd w:id="11"/>
    <w:bookmarkStart w:id="12" w:name="商品市场"/>
    <w:p>
      <w:pPr>
        <w:pStyle w:val="Heading3"/>
      </w:pPr>
      <w:r>
        <w:t xml:space="preserve">🌐 </w:t>
      </w:r>
      <w:r>
        <w:rPr>
          <w:rFonts w:hint="eastAsia"/>
        </w:rPr>
        <w:t xml:space="preserve">商品市场</w:t>
      </w:r>
    </w:p>
    <w:p>
      <w:pPr>
        <w:pStyle w:val="FirstParagraph"/>
      </w:pPr>
      <w:r>
        <w:rPr>
          <w:rFonts w:hint="eastAsia"/>
        </w:rPr>
        <w:t xml:space="preserve">以下为2026-11-02</w:t>
      </w:r>
      <w:r>
        <w:t xml:space="preserve"> </w:t>
      </w:r>
      <w:r>
        <w:rPr>
          <w:rFonts w:hint="eastAsia"/>
        </w:rPr>
        <w:t xml:space="preserve">08:30附近行情。</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品种</w:t>
            </w:r>
          </w:p>
        </w:tc>
        <w:tc>
          <w:tcPr/>
          <w:p>
            <w:pPr>
              <w:pStyle w:val="Compact"/>
              <w:jc w:val="right"/>
            </w:pPr>
            <w:r>
              <w:rPr>
                <w:rFonts w:hint="eastAsia"/>
              </w:rPr>
              <w:t xml:space="preserve">最新价</w:t>
            </w:r>
          </w:p>
        </w:tc>
        <w:tc>
          <w:tcPr/>
          <w:p>
            <w:pPr>
              <w:pStyle w:val="Compact"/>
              <w:jc w:val="right"/>
            </w:pPr>
            <w:r>
              <w:rPr>
                <w:rFonts w:hint="eastAsia"/>
              </w:rPr>
              <w:t xml:space="preserve">涨跌幅</w:t>
            </w:r>
          </w:p>
        </w:tc>
      </w:tr>
      <w:tr>
        <w:tc>
          <w:tcPr/>
          <w:p>
            <w:pPr>
              <w:pStyle w:val="Compact"/>
            </w:pPr>
            <w:r>
              <w:rPr>
                <w:rFonts w:hint="eastAsia"/>
              </w:rPr>
              <w:t xml:space="preserve">COMEX黄金</w:t>
            </w:r>
          </w:p>
        </w:tc>
        <w:tc>
          <w:tcPr/>
          <w:p>
            <w:pPr>
              <w:pStyle w:val="Compact"/>
              <w:jc w:val="right"/>
            </w:pPr>
            <w:r>
              <w:t xml:space="preserve">3906.537</w:t>
            </w:r>
          </w:p>
        </w:tc>
        <w:tc>
          <w:tcPr/>
          <w:p>
            <w:pPr>
              <w:pStyle w:val="Compact"/>
              <w:jc w:val="right"/>
            </w:pPr>
            <w:r>
              <w:t xml:space="preserve">📈 +0.20%</w:t>
            </w:r>
          </w:p>
        </w:tc>
      </w:tr>
      <w:tr>
        <w:tc>
          <w:tcPr/>
          <w:p>
            <w:pPr>
              <w:pStyle w:val="Compact"/>
            </w:pPr>
            <w:r>
              <w:rPr>
                <w:rFonts w:hint="eastAsia"/>
              </w:rPr>
              <w:t xml:space="preserve">WTI原油</w:t>
            </w:r>
          </w:p>
        </w:tc>
        <w:tc>
          <w:tcPr/>
          <w:p>
            <w:pPr>
              <w:pStyle w:val="Compact"/>
              <w:jc w:val="right"/>
            </w:pPr>
            <w:r>
              <w:t xml:space="preserve">102.529</w:t>
            </w:r>
          </w:p>
        </w:tc>
        <w:tc>
          <w:tcPr/>
          <w:p>
            <w:pPr>
              <w:pStyle w:val="Compact"/>
              <w:jc w:val="right"/>
            </w:pPr>
            <w:r>
              <w:t xml:space="preserve">📉 -1.53%</w:t>
            </w:r>
          </w:p>
        </w:tc>
      </w:tr>
      <w:tr>
        <w:tc>
          <w:tcPr/>
          <w:p>
            <w:pPr>
              <w:pStyle w:val="Compact"/>
            </w:pPr>
            <w:r>
              <w:rPr>
                <w:rFonts w:hint="eastAsia"/>
              </w:rPr>
              <w:t xml:space="preserve">伦铜</w:t>
            </w:r>
          </w:p>
        </w:tc>
        <w:tc>
          <w:tcPr/>
          <w:p>
            <w:pPr>
              <w:pStyle w:val="Compact"/>
              <w:jc w:val="right"/>
            </w:pPr>
            <w:r>
              <w:t xml:space="preserve">14127.470</w:t>
            </w:r>
          </w:p>
        </w:tc>
        <w:tc>
          <w:tcPr/>
          <w:p>
            <w:pPr>
              <w:pStyle w:val="Compact"/>
              <w:jc w:val="right"/>
            </w:pPr>
            <w:r>
              <w:t xml:space="preserve">📉 -0.19%</w:t>
            </w:r>
          </w:p>
        </w:tc>
      </w:tr>
    </w:tbl>
    <w:p>
      <w:pPr>
        <w:pStyle w:val="BodyText"/>
      </w:pPr>
      <w:r>
        <w:rPr>
          <w:rFonts w:hint="eastAsia"/>
        </w:rPr>
        <w:t xml:space="preserve">黄金小幅上涨而原油、伦铜下跌，组合上偏向避险，但尚不能仅凭单一时点商品价格确认全球系统性恐慌。</w:t>
      </w:r>
    </w:p>
    <w:p>
      <w:r>
        <w:pict>
          <v:rect style="width:0;height:1.5pt" o:hralign="center" o:hrstd="t" o:hr="t"/>
        </w:pict>
      </w:r>
    </w:p>
    <w:bookmarkEnd w:id="12"/>
    <w:bookmarkEnd w:id="13"/>
    <w:bookmarkStart w:id="16" w:name="新闻联播政策面深度解读"/>
    <w:p>
      <w:pPr>
        <w:pStyle w:val="Heading2"/>
      </w:pPr>
      <w:r>
        <w:t xml:space="preserve">🏛️ </w:t>
      </w:r>
      <w:r>
        <w:rPr>
          <w:rFonts w:hint="eastAsia"/>
        </w:rPr>
        <w:t xml:space="preserve">新闻联播政策面深度解读</w:t>
      </w:r>
    </w:p>
    <w:p>
      <w:pPr>
        <w:pStyle w:val="FirstParagraph"/>
      </w:pPr>
      <w:r>
        <w:rPr>
          <w:rFonts w:hint="eastAsia"/>
        </w:rPr>
        <w:t xml:space="preserve">2026-11-01《新闻联播》的核心是党的二十届五中全会关于持之以恒推进全面从严治党的决定，同时披露黄河流域治理和前三季度物流运行数据。</w:t>
      </w:r>
    </w:p>
    <w:bookmarkStart w:id="14" w:name="核心政策信号与a股映射"/>
    <w:p>
      <w:pPr>
        <w:pStyle w:val="Heading3"/>
      </w:pPr>
      <w:r>
        <w:t xml:space="preserve">🧭 </w:t>
      </w:r>
      <w:r>
        <w:rPr>
          <w:rFonts w:hint="eastAsia"/>
        </w:rPr>
        <w:t xml:space="preserve">核心政策信号与A股映射</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政策信号</w:t>
            </w:r>
          </w:p>
        </w:tc>
        <w:tc>
          <w:tcPr/>
          <w:p>
            <w:pPr>
              <w:pStyle w:val="Compact"/>
            </w:pPr>
            <w:r>
              <w:rPr>
                <w:rFonts w:hint="eastAsia"/>
              </w:rPr>
              <w:t xml:space="preserve">原文依据</w:t>
            </w:r>
          </w:p>
        </w:tc>
        <w:tc>
          <w:tcPr/>
          <w:p>
            <w:pPr>
              <w:pStyle w:val="Compact"/>
            </w:pPr>
            <w:r>
              <w:rPr>
                <w:rFonts w:hint="eastAsia"/>
              </w:rPr>
              <w:t xml:space="preserve">A股板块映射</w:t>
            </w:r>
          </w:p>
        </w:tc>
        <w:tc>
          <w:tcPr/>
          <w:p>
            <w:pPr>
              <w:pStyle w:val="Compact"/>
            </w:pPr>
            <w:r>
              <w:rPr>
                <w:rFonts w:hint="eastAsia"/>
              </w:rPr>
              <w:t xml:space="preserve">交易约束</w:t>
            </w:r>
          </w:p>
        </w:tc>
      </w:tr>
      <w:tr>
        <w:tc>
          <w:tcPr/>
          <w:p>
            <w:pPr>
              <w:pStyle w:val="Compact"/>
            </w:pPr>
            <w:r>
              <w:rPr>
                <w:rFonts w:hint="eastAsia"/>
              </w:rPr>
              <w:t xml:space="preserve">全面从严治党、强化权力监督</w:t>
            </w:r>
          </w:p>
        </w:tc>
        <w:tc>
          <w:tcPr/>
          <w:p>
            <w:pPr>
              <w:pStyle w:val="Compact"/>
            </w:pPr>
            <w:r>
              <w:rPr>
                <w:rFonts w:hint="eastAsia"/>
              </w:rPr>
              <w:t xml:space="preserve">强调从严执纪、反腐败、巡视监督和责任落实</w:t>
            </w:r>
          </w:p>
        </w:tc>
        <w:tc>
          <w:tcPr/>
          <w:p>
            <w:pPr>
              <w:pStyle w:val="Compact"/>
            </w:pPr>
            <w:r>
              <w:rPr>
                <w:rFonts w:hint="eastAsia"/>
              </w:rPr>
              <w:t xml:space="preserve">合规管理、审计风控、内控软件</w:t>
            </w:r>
          </w:p>
        </w:tc>
        <w:tc>
          <w:tcPr/>
          <w:p>
            <w:pPr>
              <w:pStyle w:val="Compact"/>
            </w:pPr>
            <w:r>
              <w:rPr>
                <w:rFonts w:hint="eastAsia"/>
              </w:rPr>
              <w:t xml:space="preserve">需等待预算、订单或合同落地，不能直接视为业绩增长</w:t>
            </w:r>
          </w:p>
        </w:tc>
      </w:tr>
      <w:tr>
        <w:tc>
          <w:tcPr/>
          <w:p>
            <w:pPr>
              <w:pStyle w:val="Compact"/>
            </w:pPr>
            <w:r>
              <w:rPr>
                <w:rFonts w:hint="eastAsia"/>
              </w:rPr>
              <w:t xml:space="preserve">数字化监督体系建设</w:t>
            </w:r>
          </w:p>
        </w:tc>
        <w:tc>
          <w:tcPr/>
          <w:p>
            <w:pPr>
              <w:pStyle w:val="Compact"/>
            </w:pPr>
            <w:r>
              <w:rPr>
                <w:rFonts w:hint="eastAsia"/>
              </w:rPr>
              <w:t xml:space="preserve">明确推进公权力大数据监督平台建设</w:t>
            </w:r>
          </w:p>
        </w:tc>
        <w:tc>
          <w:tcPr/>
          <w:p>
            <w:pPr>
              <w:pStyle w:val="Compact"/>
            </w:pPr>
            <w:r>
              <w:rPr>
                <w:rFonts w:hint="eastAsia"/>
              </w:rPr>
              <w:t xml:space="preserve">政务IT、数据治理、网络安全</w:t>
            </w:r>
          </w:p>
        </w:tc>
        <w:tc>
          <w:tcPr/>
          <w:p>
            <w:pPr>
              <w:pStyle w:val="Compact"/>
            </w:pPr>
            <w:r>
              <w:rPr>
                <w:rFonts w:hint="eastAsia"/>
              </w:rPr>
              <w:t xml:space="preserve">只作政策线索，缺少项目金额和实施时间表</w:t>
            </w:r>
          </w:p>
        </w:tc>
      </w:tr>
      <w:tr>
        <w:tc>
          <w:tcPr/>
          <w:p>
            <w:pPr>
              <w:pStyle w:val="Compact"/>
            </w:pPr>
            <w:r>
              <w:rPr>
                <w:rFonts w:hint="eastAsia"/>
              </w:rPr>
              <w:t xml:space="preserve">加强国企和金融企业治理</w:t>
            </w:r>
          </w:p>
        </w:tc>
        <w:tc>
          <w:tcPr/>
          <w:p>
            <w:pPr>
              <w:pStyle w:val="Compact"/>
            </w:pPr>
            <w:r>
              <w:rPr>
                <w:rFonts w:hint="eastAsia"/>
              </w:rPr>
              <w:t xml:space="preserve">强调完善公司治理、强化党委实质性把关</w:t>
            </w:r>
          </w:p>
        </w:tc>
        <w:tc>
          <w:tcPr/>
          <w:p>
            <w:pPr>
              <w:pStyle w:val="Compact"/>
            </w:pPr>
            <w:r>
              <w:rPr>
                <w:rFonts w:hint="eastAsia"/>
              </w:rPr>
              <w:t xml:space="preserve">央国企治理、金融科技、风险管理</w:t>
            </w:r>
          </w:p>
        </w:tc>
        <w:tc>
          <w:tcPr/>
          <w:p>
            <w:pPr>
              <w:pStyle w:val="Compact"/>
            </w:pPr>
            <w:r>
              <w:rPr>
                <w:rFonts w:hint="eastAsia"/>
              </w:rPr>
              <w:t xml:space="preserve">利好治理质量分化，不等同于全体央国企估值普升</w:t>
            </w:r>
          </w:p>
        </w:tc>
      </w:tr>
      <w:tr>
        <w:tc>
          <w:tcPr/>
          <w:p>
            <w:pPr>
              <w:pStyle w:val="Compact"/>
            </w:pPr>
            <w:r>
              <w:rPr>
                <w:rFonts w:hint="eastAsia"/>
              </w:rPr>
              <w:t xml:space="preserve">黄河流域大保护、大治理</w:t>
            </w:r>
          </w:p>
        </w:tc>
        <w:tc>
          <w:tcPr/>
          <w:p>
            <w:pPr>
              <w:pStyle w:val="Compact"/>
            </w:pPr>
            <w:r>
              <w:rPr>
                <w:rFonts w:hint="eastAsia"/>
              </w:rPr>
              <w:t xml:space="preserve">水土保持率69.75%，古贤水利枢纽加快建设</w:t>
            </w:r>
          </w:p>
        </w:tc>
        <w:tc>
          <w:tcPr/>
          <w:p>
            <w:pPr>
              <w:pStyle w:val="Compact"/>
            </w:pPr>
            <w:r>
              <w:rPr>
                <w:rFonts w:hint="eastAsia"/>
              </w:rPr>
              <w:t xml:space="preserve">水利工程、生态修复、水务监测、环保设备</w:t>
            </w:r>
          </w:p>
        </w:tc>
        <w:tc>
          <w:tcPr/>
          <w:p>
            <w:pPr>
              <w:pStyle w:val="Compact"/>
            </w:pPr>
            <w:r>
              <w:rPr>
                <w:rFonts w:hint="eastAsia"/>
              </w:rPr>
              <w:t xml:space="preserve">项目进度和上市公司订单是后续确认条件</w:t>
            </w:r>
          </w:p>
        </w:tc>
      </w:tr>
      <w:tr>
        <w:tc>
          <w:tcPr/>
          <w:p>
            <w:pPr>
              <w:pStyle w:val="Compact"/>
            </w:pPr>
            <w:r>
              <w:rPr>
                <w:rFonts w:hint="eastAsia"/>
              </w:rPr>
              <w:t xml:space="preserve">物流降本增效</w:t>
            </w:r>
          </w:p>
        </w:tc>
        <w:tc>
          <w:tcPr/>
          <w:p>
            <w:pPr>
              <w:pStyle w:val="Compact"/>
            </w:pPr>
            <w:r>
              <w:rPr>
                <w:rFonts w:hint="eastAsia"/>
              </w:rPr>
              <w:t xml:space="preserve">社会物流总额280.0万亿元，同比增长4.9%</w:t>
            </w:r>
          </w:p>
        </w:tc>
        <w:tc>
          <w:tcPr/>
          <w:p>
            <w:pPr>
              <w:pStyle w:val="Compact"/>
            </w:pPr>
            <w:r>
              <w:rPr>
                <w:rFonts w:hint="eastAsia"/>
              </w:rPr>
              <w:t xml:space="preserve">智慧物流、物流装备、装备制造、高技术制造</w:t>
            </w:r>
          </w:p>
        </w:tc>
        <w:tc>
          <w:tcPr/>
          <w:p>
            <w:pPr>
              <w:pStyle w:val="Compact"/>
            </w:pPr>
            <w:r>
              <w:rPr>
                <w:rFonts w:hint="eastAsia"/>
              </w:rPr>
              <w:t xml:space="preserve">行业总量改善不代表所有物流企业利润同步改善</w:t>
            </w:r>
          </w:p>
        </w:tc>
      </w:tr>
    </w:tbl>
    <w:bookmarkEnd w:id="14"/>
    <w:bookmarkStart w:id="15" w:name="投资层面的重点"/>
    <w:p>
      <w:pPr>
        <w:pStyle w:val="Heading3"/>
      </w:pPr>
      <w:r>
        <w:t xml:space="preserve">📌 </w:t>
      </w:r>
      <w:r>
        <w:rPr>
          <w:rFonts w:hint="eastAsia"/>
        </w:rPr>
        <w:t xml:space="preserve">投资层面的重点</w:t>
      </w:r>
    </w:p>
    <w:p>
      <w:pPr>
        <w:pStyle w:val="Compact"/>
        <w:numPr>
          <w:ilvl w:val="0"/>
          <w:numId w:val="1003"/>
        </w:numPr>
      </w:pPr>
      <w:r>
        <w:rPr>
          <w:rFonts w:hint="eastAsia"/>
          <w:b/>
          <w:bCs/>
        </w:rPr>
        <w:t xml:space="preserve">治理质量溢价可能扩大</w:t>
      </w:r>
      <w:r>
        <w:rPr>
          <w:rFonts w:hint="eastAsia"/>
        </w:rPr>
        <w:t xml:space="preserve">：监管、纪律和信息披露要求继续趋严，内部控制完善、现金流透明的公司相对占优。</w:t>
      </w:r>
    </w:p>
    <w:p>
      <w:pPr>
        <w:pStyle w:val="Compact"/>
        <w:numPr>
          <w:ilvl w:val="0"/>
          <w:numId w:val="1003"/>
        </w:numPr>
      </w:pPr>
      <w:r>
        <w:rPr>
          <w:rFonts w:hint="eastAsia"/>
          <w:b/>
          <w:bCs/>
        </w:rPr>
        <w:t xml:space="preserve">数字监督不是无条件科技催化</w:t>
      </w:r>
      <w:r>
        <w:rPr>
          <w:rFonts w:hint="eastAsia"/>
        </w:rPr>
        <w:t xml:space="preserve">：政策方向明确，但必须看到招标、合同和收入确认后才能转化为公司级结论。</w:t>
      </w:r>
    </w:p>
    <w:p>
      <w:pPr>
        <w:pStyle w:val="Compact"/>
        <w:numPr>
          <w:ilvl w:val="0"/>
          <w:numId w:val="1003"/>
        </w:numPr>
      </w:pPr>
      <w:r>
        <w:rPr>
          <w:rFonts w:hint="eastAsia"/>
          <w:b/>
          <w:bCs/>
        </w:rPr>
        <w:t xml:space="preserve">黄河治理具备中长期项目属性</w:t>
      </w:r>
      <w:r>
        <w:rPr>
          <w:rFonts w:hint="eastAsia"/>
        </w:rPr>
        <w:t xml:space="preserve">：水利、生态修复和监测设备存在方向性机会，但不以单日政策新闻追高。</w:t>
      </w:r>
    </w:p>
    <w:p>
      <w:pPr>
        <w:pStyle w:val="Compact"/>
        <w:numPr>
          <w:ilvl w:val="0"/>
          <w:numId w:val="1003"/>
        </w:numPr>
      </w:pPr>
      <w:r>
        <w:rPr>
          <w:rFonts w:hint="eastAsia"/>
          <w:b/>
          <w:bCs/>
        </w:rPr>
        <w:t xml:space="preserve">物流数据支持制造业结构升级</w:t>
      </w:r>
      <w:r>
        <w:rPr>
          <w:rFonts w:hint="eastAsia"/>
        </w:rPr>
        <w:t xml:space="preserve">：装备制造业和高技术制造业引领作用突出，可关注实际订单和盈利兑现，而不是只看行业叙事。</w:t>
      </w:r>
    </w:p>
    <w:p>
      <w:pPr>
        <w:pStyle w:val="Compact"/>
        <w:numPr>
          <w:ilvl w:val="0"/>
          <w:numId w:val="1003"/>
        </w:numPr>
      </w:pPr>
      <w:r>
        <w:t xml:space="preserve">⚠️ </w:t>
      </w:r>
      <w:r>
        <w:rPr>
          <w:rFonts w:hint="eastAsia"/>
        </w:rPr>
        <w:t xml:space="preserve">西藏那曲地震相关信息属于救灾和民生事件，不将灾情本身作为短线投机催化。</w:t>
      </w:r>
    </w:p>
    <w:p>
      <w:r>
        <w:pict>
          <v:rect style="width:0;height:1.5pt" o:hralign="center" o:hrstd="t" o:hr="t"/>
        </w:pict>
      </w:r>
    </w:p>
    <w:bookmarkEnd w:id="15"/>
    <w:bookmarkEnd w:id="16"/>
    <w:bookmarkStart w:id="18" w:name="今日公告"/>
    <w:p>
      <w:pPr>
        <w:pStyle w:val="Heading2"/>
      </w:pPr>
      <w:r>
        <w:t xml:space="preserve">📣 </w:t>
      </w:r>
      <w:r>
        <w:rPr>
          <w:rFonts w:hint="eastAsia"/>
        </w:rPr>
        <w:t xml:space="preserve">今日公告</w:t>
      </w:r>
    </w:p>
    <w:p>
      <w:pPr>
        <w:pStyle w:val="FirstParagraph"/>
      </w:pPr>
      <w:r>
        <w:rPr>
          <w:rFonts w:hint="eastAsia"/>
        </w:rPr>
        <w:t xml:space="preserve">公告主接口因HTTP</w:t>
      </w:r>
      <w:r>
        <w:t xml:space="preserve"> </w:t>
      </w:r>
      <w:r>
        <w:rPr>
          <w:rFonts w:hint="eastAsia"/>
        </w:rPr>
        <w:t xml:space="preserve">567失败，采集器随后通过巨潮资讯历史公告官方接口完整获取2026-11-02公告134条，其中上交所80条、深交所54条；本节仅引用巨潮官方历史公告及其分类结果，不以研报或行情新闻冒充公告。</w:t>
      </w:r>
    </w:p>
    <w:tbl>
      <w:tblPr>
        <w:tblStyle w:val="Table"/>
        <w:tblW w:type="pct" w:w="5000"/>
        <w:tblLayout w:type="fixed"/>
        <w:tblLook w:firstRow="1" w:lastRow="0" w:firstColumn="0" w:lastColumn="0" w:noHBand="0" w:noVBand="0" w:val="0020"/>
      </w:tblPr>
      <w:tblGrid>
        <w:gridCol w:w="1827"/>
        <w:gridCol w:w="2436"/>
        <w:gridCol w:w="1827"/>
        <w:gridCol w:w="1827"/>
      </w:tblGrid>
      <w:tr>
        <w:trPr>
          <w:tblHeader w:val="on"/>
        </w:trPr>
        <w:tc>
          <w:tcPr/>
          <w:p>
            <w:pPr>
              <w:pStyle w:val="Compact"/>
            </w:pPr>
            <w:r>
              <w:rPr>
                <w:rFonts w:hint="eastAsia"/>
              </w:rPr>
              <w:t xml:space="preserve">公司</w:t>
            </w:r>
          </w:p>
        </w:tc>
        <w:tc>
          <w:tcPr/>
          <w:p>
            <w:pPr>
              <w:pStyle w:val="Compact"/>
              <w:jc w:val="right"/>
            </w:pPr>
            <w:r>
              <w:rPr>
                <w:rFonts w:hint="eastAsia"/>
              </w:rPr>
              <w:t xml:space="preserve">代码</w:t>
            </w:r>
          </w:p>
        </w:tc>
        <w:tc>
          <w:tcPr/>
          <w:p>
            <w:pPr>
              <w:pStyle w:val="Compact"/>
            </w:pPr>
            <w:r>
              <w:rPr>
                <w:rFonts w:hint="eastAsia"/>
              </w:rPr>
              <w:t xml:space="preserve">公告事项</w:t>
            </w:r>
          </w:p>
        </w:tc>
        <w:tc>
          <w:tcPr/>
          <w:p>
            <w:pPr>
              <w:pStyle w:val="Compact"/>
            </w:pPr>
            <w:r>
              <w:rPr>
                <w:rFonts w:hint="eastAsia"/>
              </w:rPr>
              <w:t xml:space="preserve">盘前解读</w:t>
            </w:r>
          </w:p>
        </w:tc>
      </w:tr>
      <w:tr>
        <w:tc>
          <w:tcPr/>
          <w:p>
            <w:pPr>
              <w:pStyle w:val="Compact"/>
            </w:pPr>
            <w:r>
              <w:rPr>
                <w:rFonts w:hint="eastAsia"/>
              </w:rPr>
              <w:t xml:space="preserve">通威股份</w:t>
            </w:r>
          </w:p>
        </w:tc>
        <w:tc>
          <w:tcPr/>
          <w:p>
            <w:pPr>
              <w:pStyle w:val="Compact"/>
              <w:jc w:val="right"/>
            </w:pPr>
            <w:r>
              <w:t xml:space="preserve">600438</w:t>
            </w:r>
          </w:p>
        </w:tc>
        <w:tc>
          <w:tcPr/>
          <w:p>
            <w:pPr>
              <w:pStyle w:val="Compact"/>
            </w:pPr>
            <w:r>
              <w:rPr>
                <w:rFonts w:hint="eastAsia"/>
              </w:rPr>
              <w:t xml:space="preserve">调整发行股份及支付现金购买资产事项的定价基准日和发行价格，并修订重组预案</w:t>
            </w:r>
          </w:p>
        </w:tc>
        <w:tc>
          <w:tcPr/>
          <w:p>
            <w:pPr>
              <w:pStyle w:val="Compact"/>
            </w:pPr>
            <w:r>
              <w:rPr>
                <w:rFonts w:hint="eastAsia"/>
              </w:rPr>
              <w:t xml:space="preserve">事件催化明确，但交易条款、审批和整合风险仍需持续跟踪</w:t>
            </w:r>
          </w:p>
        </w:tc>
      </w:tr>
      <w:tr>
        <w:tc>
          <w:tcPr/>
          <w:p>
            <w:pPr>
              <w:pStyle w:val="Compact"/>
            </w:pPr>
            <w:r>
              <w:rPr>
                <w:rFonts w:hint="eastAsia"/>
              </w:rPr>
              <w:t xml:space="preserve">高争民爆</w:t>
            </w:r>
          </w:p>
        </w:tc>
        <w:tc>
          <w:tcPr/>
          <w:p>
            <w:pPr>
              <w:pStyle w:val="Compact"/>
              <w:jc w:val="right"/>
            </w:pPr>
            <w:r>
              <w:t xml:space="preserve">002827</w:t>
            </w:r>
          </w:p>
        </w:tc>
        <w:tc>
          <w:tcPr/>
          <w:p>
            <w:pPr>
              <w:pStyle w:val="Compact"/>
            </w:pPr>
            <w:r>
              <w:rPr>
                <w:rFonts w:hint="eastAsia"/>
              </w:rPr>
              <w:t xml:space="preserve">披露发行股份购买资产并募集配套资金暨关联交易预案，并提示股票复牌</w:t>
            </w:r>
          </w:p>
        </w:tc>
        <w:tc>
          <w:tcPr/>
          <w:p>
            <w:pPr>
              <w:pStyle w:val="Compact"/>
            </w:pPr>
            <w:r>
              <w:rPr>
                <w:rFonts w:hint="eastAsia"/>
              </w:rPr>
              <w:t xml:space="preserve">复牌后可能出现高波动，重组预案不等于交易最终完成</w:t>
            </w:r>
          </w:p>
        </w:tc>
      </w:tr>
      <w:tr>
        <w:tc>
          <w:tcPr/>
          <w:p>
            <w:pPr>
              <w:pStyle w:val="Compact"/>
            </w:pPr>
            <w:r>
              <w:rPr>
                <w:rFonts w:hint="eastAsia"/>
              </w:rPr>
              <w:t xml:space="preserve">亨通光电</w:t>
            </w:r>
          </w:p>
        </w:tc>
        <w:tc>
          <w:tcPr/>
          <w:p>
            <w:pPr>
              <w:pStyle w:val="Compact"/>
              <w:jc w:val="right"/>
            </w:pPr>
            <w:r>
              <w:t xml:space="preserve">600487</w:t>
            </w:r>
          </w:p>
        </w:tc>
        <w:tc>
          <w:tcPr/>
          <w:p>
            <w:pPr>
              <w:pStyle w:val="Compact"/>
            </w:pPr>
            <w:r>
              <w:rPr>
                <w:rFonts w:hint="eastAsia"/>
              </w:rPr>
              <w:t xml:space="preserve">董事长提议公司回购股份</w:t>
            </w:r>
          </w:p>
        </w:tc>
        <w:tc>
          <w:tcPr/>
          <w:p>
            <w:pPr>
              <w:pStyle w:val="Compact"/>
            </w:pPr>
            <w:r>
              <w:rPr>
                <w:rFonts w:hint="eastAsia"/>
              </w:rPr>
              <w:t xml:space="preserve">有助于短期情绪，但提议与实际完成回购存在阶段差异</w:t>
            </w:r>
          </w:p>
        </w:tc>
      </w:tr>
      <w:tr>
        <w:tc>
          <w:tcPr/>
          <w:p>
            <w:pPr>
              <w:pStyle w:val="Compact"/>
            </w:pPr>
            <w:r>
              <w:rPr>
                <w:rFonts w:hint="eastAsia"/>
              </w:rPr>
              <w:t xml:space="preserve">奥精医疗</w:t>
            </w:r>
          </w:p>
        </w:tc>
        <w:tc>
          <w:tcPr/>
          <w:p>
            <w:pPr>
              <w:pStyle w:val="Compact"/>
              <w:jc w:val="right"/>
            </w:pPr>
            <w:r>
              <w:t xml:space="preserve">688613</w:t>
            </w:r>
          </w:p>
        </w:tc>
        <w:tc>
          <w:tcPr/>
          <w:p>
            <w:pPr>
              <w:pStyle w:val="Compact"/>
            </w:pPr>
            <w:r>
              <w:rPr>
                <w:rFonts w:hint="eastAsia"/>
              </w:rPr>
              <w:t xml:space="preserve">收到中国证监会立案告知书并作风险提示</w:t>
            </w:r>
          </w:p>
        </w:tc>
        <w:tc>
          <w:tcPr/>
          <w:p>
            <w:pPr>
              <w:pStyle w:val="Compact"/>
            </w:pPr>
            <w:r>
              <w:rPr>
                <w:rFonts w:hint="eastAsia"/>
              </w:rPr>
              <w:t xml:space="preserve">明确信息披露和监管风险，列入回避清单</w:t>
            </w:r>
          </w:p>
        </w:tc>
      </w:tr>
      <w:tr>
        <w:tc>
          <w:tcPr/>
          <w:p>
            <w:pPr>
              <w:pStyle w:val="Compact"/>
            </w:pPr>
            <w:r>
              <w:rPr>
                <w:rFonts w:hint="eastAsia"/>
              </w:rPr>
              <w:t xml:space="preserve">ST合纵</w:t>
            </w:r>
          </w:p>
        </w:tc>
        <w:tc>
          <w:tcPr/>
          <w:p>
            <w:pPr>
              <w:pStyle w:val="Compact"/>
              <w:jc w:val="right"/>
            </w:pPr>
            <w:r>
              <w:t xml:space="preserve">300477</w:t>
            </w:r>
          </w:p>
        </w:tc>
        <w:tc>
          <w:tcPr/>
          <w:p>
            <w:pPr>
              <w:pStyle w:val="Compact"/>
            </w:pPr>
            <w:r>
              <w:rPr>
                <w:rFonts w:hint="eastAsia"/>
              </w:rPr>
              <w:t xml:space="preserve">收到中国证监会立案告知书</w:t>
            </w:r>
          </w:p>
        </w:tc>
        <w:tc>
          <w:tcPr/>
          <w:p>
            <w:pPr>
              <w:pStyle w:val="Compact"/>
            </w:pPr>
            <w:r>
              <w:rPr>
                <w:rFonts w:hint="eastAsia"/>
              </w:rPr>
              <w:t xml:space="preserve">涉嫌信息披露违法违规，监管风险优先于题材交易</w:t>
            </w:r>
          </w:p>
        </w:tc>
      </w:tr>
    </w:tbl>
    <w:bookmarkStart w:id="17" w:name="其他公告风险"/>
    <w:p>
      <w:pPr>
        <w:pStyle w:val="Heading3"/>
      </w:pPr>
      <w:r>
        <w:t xml:space="preserve">⚠️ </w:t>
      </w:r>
      <w:r>
        <w:rPr>
          <w:rFonts w:hint="eastAsia"/>
        </w:rPr>
        <w:t xml:space="preserve">其他公告风险</w:t>
      </w:r>
    </w:p>
    <w:p>
      <w:pPr>
        <w:pStyle w:val="Compact"/>
        <w:numPr>
          <w:ilvl w:val="0"/>
          <w:numId w:val="1004"/>
        </w:numPr>
      </w:pPr>
      <w:r>
        <w:rPr>
          <w:rFonts w:hint="eastAsia"/>
          <w:b/>
          <w:bCs/>
        </w:rPr>
        <w:t xml:space="preserve">固高科技（301510）</w:t>
      </w:r>
      <w:r>
        <w:rPr>
          <w:rFonts w:hint="eastAsia"/>
        </w:rPr>
        <w:t xml:space="preserve">：公告2026年前三季度计提资产减值准备，需关注利润质量和资产减值继续扩大的可能性。</w:t>
      </w:r>
    </w:p>
    <w:p>
      <w:pPr>
        <w:pStyle w:val="Compact"/>
        <w:numPr>
          <w:ilvl w:val="0"/>
          <w:numId w:val="1004"/>
        </w:numPr>
      </w:pPr>
      <w:r>
        <w:rPr>
          <w:rFonts w:hint="eastAsia"/>
          <w:b/>
          <w:bCs/>
        </w:rPr>
        <w:t xml:space="preserve">神州细胞（688520）</w:t>
      </w:r>
      <w:r>
        <w:rPr>
          <w:rFonts w:hint="eastAsia"/>
        </w:rPr>
        <w:t xml:space="preserve">：控股股东、实际控制人自愿承诺不减持公司股份；属于持股稳定信号，不等同于经营改善。</w:t>
      </w:r>
    </w:p>
    <w:p>
      <w:pPr>
        <w:pStyle w:val="Compact"/>
        <w:numPr>
          <w:ilvl w:val="0"/>
          <w:numId w:val="1004"/>
        </w:numPr>
      </w:pPr>
      <w:r>
        <w:rPr>
          <w:rFonts w:hint="eastAsia"/>
          <w:b/>
          <w:bCs/>
        </w:rPr>
        <w:t xml:space="preserve">勘设股份（603458）</w:t>
      </w:r>
      <w:r>
        <w:t xml:space="preserve">、</w:t>
      </w:r>
      <w:r>
        <w:rPr>
          <w:rFonts w:hint="eastAsia"/>
          <w:b/>
          <w:bCs/>
        </w:rPr>
        <w:t xml:space="preserve">永新光学（603297）</w:t>
      </w:r>
      <w:r>
        <w:rPr>
          <w:rFonts w:hint="eastAsia"/>
        </w:rPr>
        <w:t xml:space="preserve">：相关股东提前终止减持计划；影响偏情绪层面，后续仍看基本面和成交确认。</w:t>
      </w:r>
    </w:p>
    <w:p>
      <w:pPr>
        <w:pStyle w:val="Compact"/>
        <w:numPr>
          <w:ilvl w:val="0"/>
          <w:numId w:val="1004"/>
        </w:numPr>
      </w:pPr>
      <w:r>
        <w:rPr>
          <w:rFonts w:hint="eastAsia"/>
        </w:rPr>
        <w:t xml:space="preserve">公告总量较大，本节只列对当日交易风险和资产定价影响较直接的事项，不对未展开的公告内容作数值推断。</w:t>
      </w:r>
    </w:p>
    <w:p>
      <w:r>
        <w:pict>
          <v:rect style="width:0;height:1.5pt" o:hralign="center" o:hrstd="t" o:hr="t"/>
        </w:pict>
      </w:r>
    </w:p>
    <w:bookmarkEnd w:id="17"/>
    <w:bookmarkEnd w:id="18"/>
    <w:bookmarkStart w:id="21" w:name="经济数据与事件"/>
    <w:p>
      <w:pPr>
        <w:pStyle w:val="Heading2"/>
      </w:pPr>
      <w:r>
        <w:t xml:space="preserve">📊 </w:t>
      </w:r>
      <w:r>
        <w:rPr>
          <w:rFonts w:hint="eastAsia"/>
        </w:rPr>
        <w:t xml:space="preserve">经济数据与事件</w:t>
      </w:r>
    </w:p>
    <w:bookmarkStart w:id="19" w:name="国内数据"/>
    <w:p>
      <w:pPr>
        <w:pStyle w:val="Heading3"/>
      </w:pPr>
      <w:r>
        <w:t xml:space="preserve">📈 </w:t>
      </w:r>
      <w:r>
        <w:rPr>
          <w:rFonts w:hint="eastAsia"/>
        </w:rPr>
        <w:t xml:space="preserve">国内数据</w:t>
      </w:r>
    </w:p>
    <w:p>
      <w:pPr>
        <w:pStyle w:val="Compact"/>
        <w:numPr>
          <w:ilvl w:val="0"/>
          <w:numId w:val="1005"/>
        </w:numPr>
      </w:pPr>
      <w:r>
        <w:rPr>
          <w:rFonts w:hint="eastAsia"/>
          <w:b/>
          <w:bCs/>
        </w:rPr>
        <w:t xml:space="preserve">社会物流运行</w:t>
      </w:r>
      <w:r>
        <w:rPr>
          <w:rFonts w:hint="eastAsia"/>
        </w:rPr>
        <w:t xml:space="preserve">：2026年前三季度全国社会物流总额280.0万亿元，同比增长4.9%。</w:t>
      </w:r>
    </w:p>
    <w:p>
      <w:pPr>
        <w:pStyle w:val="Compact"/>
        <w:numPr>
          <w:ilvl w:val="0"/>
          <w:numId w:val="1005"/>
        </w:numPr>
      </w:pPr>
      <w:r>
        <w:rPr>
          <w:rFonts w:hint="eastAsia"/>
          <w:b/>
          <w:bCs/>
        </w:rPr>
        <w:t xml:space="preserve">物流效率</w:t>
      </w:r>
      <w:r>
        <w:rPr>
          <w:rFonts w:hint="eastAsia"/>
        </w:rPr>
        <w:t xml:space="preserve">：社会物流总费用与GDP比率降至13.8%，全社会物流成本节约超2100亿元。</w:t>
      </w:r>
    </w:p>
    <w:p>
      <w:pPr>
        <w:pStyle w:val="Compact"/>
        <w:numPr>
          <w:ilvl w:val="0"/>
          <w:numId w:val="1005"/>
        </w:numPr>
      </w:pPr>
      <w:r>
        <w:rPr>
          <w:rFonts w:hint="eastAsia"/>
          <w:b/>
          <w:bCs/>
        </w:rPr>
        <w:t xml:space="preserve">结构特征</w:t>
      </w:r>
      <w:r>
        <w:rPr>
          <w:rFonts w:hint="eastAsia"/>
        </w:rPr>
        <w:t xml:space="preserve">：装备制造业和高技术制造业引领作用突出，支持智慧物流、自动化装备和高端制造的中期需求判断。</w:t>
      </w:r>
    </w:p>
    <w:p>
      <w:pPr>
        <w:pStyle w:val="Compact"/>
        <w:numPr>
          <w:ilvl w:val="0"/>
          <w:numId w:val="1005"/>
        </w:numPr>
      </w:pPr>
      <w:r>
        <w:rPr>
          <w:rFonts w:hint="eastAsia"/>
          <w:b/>
          <w:bCs/>
        </w:rPr>
        <w:t xml:space="preserve">制造业PMI线索</w:t>
      </w:r>
      <w:r>
        <w:rPr>
          <w:rFonts w:hint="eastAsia"/>
        </w:rPr>
        <w:t xml:space="preserve">：妙想mx-search收录的21世纪经济报道标题显示，10月中国制造业PMI为49.3%。Collector未保存统计部门原始分项，因此只引用49.3这一新闻线索，不拆解新订单、生产或价格分项。</w:t>
      </w:r>
    </w:p>
    <w:bookmarkEnd w:id="19"/>
    <w:bookmarkStart w:id="20" w:name="今日事件边界"/>
    <w:p>
      <w:pPr>
        <w:pStyle w:val="Heading3"/>
      </w:pPr>
      <w:r>
        <w:t xml:space="preserve">🗓️ </w:t>
      </w:r>
      <w:r>
        <w:rPr>
          <w:rFonts w:hint="eastAsia"/>
        </w:rPr>
        <w:t xml:space="preserve">今日事件边界</w:t>
      </w:r>
    </w:p>
    <w:p>
      <w:pPr>
        <w:pStyle w:val="Compact"/>
        <w:numPr>
          <w:ilvl w:val="0"/>
          <w:numId w:val="1006"/>
        </w:numPr>
      </w:pPr>
      <w:r>
        <w:rPr>
          <w:rFonts w:hint="eastAsia"/>
        </w:rPr>
        <w:t xml:space="preserve">Collector没有提供2026-11-02完整的官方宏观数据发布日历，因此不估算具体公布时间，也不将媒体标题中的“重磅会议”扩写为确定事件。</w:t>
      </w:r>
    </w:p>
    <w:p>
      <w:pPr>
        <w:pStyle w:val="Compact"/>
        <w:numPr>
          <w:ilvl w:val="0"/>
          <w:numId w:val="1006"/>
        </w:numPr>
      </w:pPr>
      <w:r>
        <w:rPr>
          <w:rFonts w:hint="eastAsia"/>
        </w:rPr>
        <w:t xml:space="preserve">21世纪经济报道盘前信息显示11月2日无新股相关交易提示；该信息仅用于交易安排参考。</w:t>
      </w:r>
    </w:p>
    <w:p>
      <w:pPr>
        <w:pStyle w:val="Compact"/>
        <w:numPr>
          <w:ilvl w:val="0"/>
          <w:numId w:val="1006"/>
        </w:numPr>
      </w:pPr>
      <w:r>
        <w:rPr>
          <w:rFonts w:hint="eastAsia"/>
        </w:rPr>
        <w:t xml:space="preserve">盘前最明确的国内事件集中在重组复牌、监管立案、回购提议及三季报后的估值再定价。</w:t>
      </w:r>
    </w:p>
    <w:p>
      <w:r>
        <w:pict>
          <v:rect style="width:0;height:1.5pt" o:hralign="center" o:hrstd="t" o:hr="t"/>
        </w:pict>
      </w:r>
    </w:p>
    <w:bookmarkEnd w:id="20"/>
    <w:bookmarkEnd w:id="21"/>
    <w:bookmarkStart w:id="22" w:name="全球事件"/>
    <w:p>
      <w:pPr>
        <w:pStyle w:val="Heading2"/>
      </w:pPr>
      <w:r>
        <w:t xml:space="preserve">🌐 </w:t>
      </w:r>
      <w:r>
        <w:rPr>
          <w:rFonts w:hint="eastAsia"/>
        </w:rPr>
        <w:t xml:space="preserve">全球事件</w:t>
      </w:r>
    </w:p>
    <w:p>
      <w:pPr>
        <w:pStyle w:val="Compact"/>
        <w:numPr>
          <w:ilvl w:val="0"/>
          <w:numId w:val="1007"/>
        </w:numPr>
      </w:pPr>
      <w:r>
        <w:rPr>
          <w:rFonts w:hint="eastAsia"/>
          <w:b/>
          <w:bCs/>
        </w:rPr>
        <w:t xml:space="preserve">中美电子检测业务风险</w:t>
      </w:r>
      <w:r>
        <w:rPr>
          <w:rFonts w:hint="eastAsia"/>
        </w:rPr>
        <w:t xml:space="preserve">：妙想mx-search收录的财联社早间新闻称，美国有关监管机构决定禁止中国实验室开展部分美国电子设备检测业务，外交部于10月30日回应反对。该线索对消费电子检测、认证及供应链合规形成风险提示，但Collector未收录美方监管原文，不扩大适用范围。</w:t>
      </w:r>
    </w:p>
    <w:p>
      <w:pPr>
        <w:pStyle w:val="Compact"/>
        <w:numPr>
          <w:ilvl w:val="0"/>
          <w:numId w:val="1007"/>
        </w:numPr>
      </w:pPr>
      <w:r>
        <w:rPr>
          <w:rFonts w:hint="eastAsia"/>
          <w:b/>
          <w:bCs/>
        </w:rPr>
        <w:t xml:space="preserve">苹果与阿里巴巴合作线索</w:t>
      </w:r>
      <w:r>
        <w:rPr>
          <w:rFonts w:hint="eastAsia"/>
        </w:rPr>
        <w:t xml:space="preserve">：21世纪经济报道援引消息称，千问将集成至Apple智能，相关开发者Beta版计划于11月4日开放测试。该信息利好端侧AI、软件生态和消费电子预期，但商业分成、装机范围和收入贡献尚无数据支持。</w:t>
      </w:r>
    </w:p>
    <w:p>
      <w:pPr>
        <w:pStyle w:val="Compact"/>
        <w:numPr>
          <w:ilvl w:val="0"/>
          <w:numId w:val="1007"/>
        </w:numPr>
      </w:pPr>
      <w:r>
        <w:rPr>
          <w:rFonts w:hint="eastAsia"/>
          <w:b/>
          <w:bCs/>
        </w:rPr>
        <w:t xml:space="preserve">海外芯片风险集中释放</w:t>
      </w:r>
      <w:r>
        <w:rPr>
          <w:rFonts w:hint="eastAsia"/>
        </w:rPr>
        <w:t xml:space="preserve">：AMD下跌10.88%，台积电、博通、美光均下跌超过5%，对A股半导体和算力硬件构成短线估值压力。</w:t>
      </w:r>
    </w:p>
    <w:p>
      <w:pPr>
        <w:pStyle w:val="Compact"/>
        <w:numPr>
          <w:ilvl w:val="0"/>
          <w:numId w:val="1007"/>
        </w:numPr>
      </w:pPr>
      <w:r>
        <w:rPr>
          <w:rFonts w:hint="eastAsia"/>
        </w:rPr>
        <w:t xml:space="preserve">Collector未提供可核实的新增地缘冲突事件清单，因此不补充未经来源支持的国际事件叙事。</w:t>
      </w:r>
    </w:p>
    <w:p>
      <w:r>
        <w:pict>
          <v:rect style="width:0;height:1.5pt" o:hralign="center" o:hrstd="t" o:hr="t"/>
        </w:pict>
      </w:r>
    </w:p>
    <w:bookmarkEnd w:id="22"/>
    <w:bookmarkStart w:id="27" w:name="昨日a股复盘"/>
    <w:p>
      <w:pPr>
        <w:pStyle w:val="Heading2"/>
      </w:pPr>
      <w:r>
        <w:t xml:space="preserve">📉 </w:t>
      </w:r>
      <w:r>
        <w:rPr>
          <w:rFonts w:hint="eastAsia"/>
        </w:rPr>
        <w:t xml:space="preserve">昨日A股复盘</w:t>
      </w:r>
    </w:p>
    <w:p>
      <w:pPr>
        <w:pStyle w:val="FirstParagraph"/>
      </w:pPr>
      <w:r>
        <w:rPr>
          <w:rFonts w:hint="eastAsia"/>
        </w:rPr>
        <w:t xml:space="preserve">上一交易日为2026-10-30。</w:t>
      </w:r>
    </w:p>
    <w:bookmarkStart w:id="23" w:name="主要指数"/>
    <w:p>
      <w:pPr>
        <w:pStyle w:val="Heading3"/>
      </w:pPr>
      <w:r>
        <w:t xml:space="preserve">📉 </w:t>
      </w:r>
      <w:r>
        <w:rPr>
          <w:rFonts w:hint="eastAsia"/>
        </w:rPr>
        <w:t xml:space="preserve">主要指数</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指数</w:t>
            </w:r>
          </w:p>
        </w:tc>
        <w:tc>
          <w:tcPr/>
          <w:p>
            <w:pPr>
              <w:pStyle w:val="Compact"/>
              <w:jc w:val="right"/>
            </w:pPr>
            <w:r>
              <w:rPr>
                <w:rFonts w:hint="eastAsia"/>
              </w:rPr>
              <w:t xml:space="preserve">收盘点位</w:t>
            </w:r>
          </w:p>
        </w:tc>
        <w:tc>
          <w:tcPr/>
          <w:p>
            <w:pPr>
              <w:pStyle w:val="Compact"/>
              <w:jc w:val="right"/>
            </w:pPr>
            <w:r>
              <w:rPr>
                <w:rFonts w:hint="eastAsia"/>
              </w:rPr>
              <w:t xml:space="preserve">涨跌幅</w:t>
            </w:r>
          </w:p>
        </w:tc>
        <w:tc>
          <w:tcPr/>
          <w:p>
            <w:pPr>
              <w:pStyle w:val="Compact"/>
              <w:jc w:val="right"/>
            </w:pPr>
            <w:r>
              <w:rPr>
                <w:rFonts w:hint="eastAsia"/>
              </w:rPr>
              <w:t xml:space="preserve">成交额</w:t>
            </w:r>
          </w:p>
        </w:tc>
      </w:tr>
      <w:tr>
        <w:tc>
          <w:tcPr/>
          <w:p>
            <w:pPr>
              <w:pStyle w:val="Compact"/>
            </w:pPr>
            <w:r>
              <w:rPr>
                <w:rFonts w:hint="eastAsia"/>
              </w:rPr>
              <w:t xml:space="preserve">上证指数</w:t>
            </w:r>
          </w:p>
        </w:tc>
        <w:tc>
          <w:tcPr/>
          <w:p>
            <w:pPr>
              <w:pStyle w:val="Compact"/>
              <w:jc w:val="right"/>
            </w:pPr>
            <w:r>
              <w:t xml:space="preserve">3599.0166</w:t>
            </w:r>
          </w:p>
        </w:tc>
        <w:tc>
          <w:tcPr/>
          <w:p>
            <w:pPr>
              <w:pStyle w:val="Compact"/>
              <w:jc w:val="right"/>
            </w:pPr>
            <w:r>
              <w:t xml:space="preserve">📉 -1.4355%</w:t>
            </w:r>
          </w:p>
        </w:tc>
        <w:tc>
          <w:tcPr/>
          <w:p>
            <w:pPr>
              <w:pStyle w:val="Compact"/>
              <w:jc w:val="right"/>
            </w:pPr>
            <w:r>
              <w:rPr>
                <w:rFonts w:hint="eastAsia"/>
              </w:rPr>
              <w:t xml:space="preserve">7642.27亿元</w:t>
            </w:r>
          </w:p>
        </w:tc>
      </w:tr>
      <w:tr>
        <w:tc>
          <w:tcPr/>
          <w:p>
            <w:pPr>
              <w:pStyle w:val="Compact"/>
            </w:pPr>
            <w:r>
              <w:rPr>
                <w:rFonts w:hint="eastAsia"/>
              </w:rPr>
              <w:t xml:space="preserve">深证成指</w:t>
            </w:r>
          </w:p>
        </w:tc>
        <w:tc>
          <w:tcPr/>
          <w:p>
            <w:pPr>
              <w:pStyle w:val="Compact"/>
              <w:jc w:val="right"/>
            </w:pPr>
            <w:r>
              <w:t xml:space="preserve">10833.7840</w:t>
            </w:r>
          </w:p>
        </w:tc>
        <w:tc>
          <w:tcPr/>
          <w:p>
            <w:pPr>
              <w:pStyle w:val="Compact"/>
              <w:jc w:val="right"/>
            </w:pPr>
            <w:r>
              <w:t xml:space="preserve">📉 -2.7331%</w:t>
            </w:r>
          </w:p>
        </w:tc>
        <w:tc>
          <w:tcPr/>
          <w:p>
            <w:pPr>
              <w:pStyle w:val="Compact"/>
              <w:jc w:val="right"/>
            </w:pPr>
            <w:r>
              <w:rPr>
                <w:rFonts w:hint="eastAsia"/>
              </w:rPr>
              <w:t xml:space="preserve">9102.36亿元</w:t>
            </w:r>
          </w:p>
        </w:tc>
      </w:tr>
      <w:tr>
        <w:tc>
          <w:tcPr/>
          <w:p>
            <w:pPr>
              <w:pStyle w:val="Compact"/>
            </w:pPr>
            <w:r>
              <w:rPr>
                <w:rFonts w:hint="eastAsia"/>
              </w:rPr>
              <w:t xml:space="preserve">创业板指</w:t>
            </w:r>
          </w:p>
        </w:tc>
        <w:tc>
          <w:tcPr/>
          <w:p>
            <w:pPr>
              <w:pStyle w:val="Compact"/>
              <w:jc w:val="right"/>
            </w:pPr>
            <w:r>
              <w:t xml:space="preserve">2413.6290</w:t>
            </w:r>
          </w:p>
        </w:tc>
        <w:tc>
          <w:tcPr/>
          <w:p>
            <w:pPr>
              <w:pStyle w:val="Compact"/>
              <w:jc w:val="right"/>
            </w:pPr>
            <w:r>
              <w:t xml:space="preserve">📉 -4.1293%</w:t>
            </w:r>
          </w:p>
        </w:tc>
        <w:tc>
          <w:tcPr/>
          <w:p>
            <w:pPr>
              <w:pStyle w:val="Compact"/>
              <w:jc w:val="right"/>
            </w:pPr>
            <w:r>
              <w:rPr>
                <w:rFonts w:hint="eastAsia"/>
              </w:rPr>
              <w:t xml:space="preserve">4522.09亿元</w:t>
            </w:r>
          </w:p>
        </w:tc>
      </w:tr>
      <w:tr>
        <w:tc>
          <w:tcPr/>
          <w:p>
            <w:pPr>
              <w:pStyle w:val="Compact"/>
            </w:pPr>
            <w:r>
              <w:rPr>
                <w:rFonts w:hint="eastAsia"/>
              </w:rPr>
              <w:t xml:space="preserve">科创50</w:t>
            </w:r>
          </w:p>
        </w:tc>
        <w:tc>
          <w:tcPr/>
          <w:p>
            <w:pPr>
              <w:pStyle w:val="Compact"/>
              <w:jc w:val="right"/>
            </w:pPr>
            <w:r>
              <w:t xml:space="preserve">1160.8384</w:t>
            </w:r>
          </w:p>
        </w:tc>
        <w:tc>
          <w:tcPr/>
          <w:p>
            <w:pPr>
              <w:pStyle w:val="Compact"/>
              <w:jc w:val="right"/>
            </w:pPr>
            <w:r>
              <w:t xml:space="preserve">📉 -5.4762%</w:t>
            </w:r>
          </w:p>
        </w:tc>
        <w:tc>
          <w:tcPr/>
          <w:p>
            <w:pPr>
              <w:pStyle w:val="Compact"/>
              <w:jc w:val="right"/>
            </w:pPr>
            <w:r>
              <w:rPr>
                <w:rFonts w:hint="eastAsia"/>
              </w:rPr>
              <w:t xml:space="preserve">703.74亿元</w:t>
            </w:r>
          </w:p>
        </w:tc>
      </w:tr>
      <w:tr>
        <w:tc>
          <w:tcPr/>
          <w:p>
            <w:pPr>
              <w:pStyle w:val="Compact"/>
            </w:pPr>
            <w:r>
              <w:rPr>
                <w:rFonts w:hint="eastAsia"/>
              </w:rPr>
              <w:t xml:space="preserve">沪深300</w:t>
            </w:r>
          </w:p>
        </w:tc>
        <w:tc>
          <w:tcPr/>
          <w:p>
            <w:pPr>
              <w:pStyle w:val="Compact"/>
              <w:jc w:val="right"/>
            </w:pPr>
            <w:r>
              <w:t xml:space="preserve">3985.5010</w:t>
            </w:r>
          </w:p>
        </w:tc>
        <w:tc>
          <w:tcPr/>
          <w:p>
            <w:pPr>
              <w:pStyle w:val="Compact"/>
              <w:jc w:val="right"/>
            </w:pPr>
            <w:r>
              <w:t xml:space="preserve">📉 -1.3938%</w:t>
            </w:r>
          </w:p>
        </w:tc>
        <w:tc>
          <w:tcPr/>
          <w:p>
            <w:pPr>
              <w:pStyle w:val="Compact"/>
              <w:jc w:val="right"/>
            </w:pPr>
            <w:r>
              <w:rPr>
                <w:rFonts w:hint="eastAsia"/>
              </w:rPr>
              <w:t xml:space="preserve">4568.56亿元</w:t>
            </w:r>
          </w:p>
        </w:tc>
      </w:tr>
    </w:tbl>
    <w:bookmarkEnd w:id="23"/>
    <w:bookmarkStart w:id="24" w:name="市场宽度与成交质量"/>
    <w:p>
      <w:pPr>
        <w:pStyle w:val="Heading3"/>
      </w:pPr>
      <w:r>
        <w:t xml:space="preserve">📊 </w:t>
      </w:r>
      <w:r>
        <w:rPr>
          <w:rFonts w:hint="eastAsia"/>
        </w:rPr>
        <w:t xml:space="preserve">市场宽度与成交质量</w:t>
      </w:r>
    </w:p>
    <w:p>
      <w:pPr>
        <w:pStyle w:val="Compact"/>
        <w:numPr>
          <w:ilvl w:val="0"/>
          <w:numId w:val="1008"/>
        </w:numPr>
      </w:pPr>
      <w:r>
        <w:rPr>
          <w:rFonts w:hint="eastAsia"/>
        </w:rPr>
        <w:t xml:space="preserve">同花顺15:34数据：上涨892只、下跌4602只、平盘77只、停牌6只，总计5577只。</w:t>
      </w:r>
    </w:p>
    <w:p>
      <w:pPr>
        <w:pStyle w:val="Compact"/>
        <w:numPr>
          <w:ilvl w:val="0"/>
          <w:numId w:val="1008"/>
        </w:numPr>
      </w:pPr>
      <w:r>
        <w:rPr>
          <w:rFonts w:hint="eastAsia"/>
        </w:rPr>
        <w:t xml:space="preserve">上涨家数与下跌家数之比为0.194，市场广度显著偏弱。</w:t>
      </w:r>
    </w:p>
    <w:p>
      <w:pPr>
        <w:pStyle w:val="Compact"/>
        <w:numPr>
          <w:ilvl w:val="0"/>
          <w:numId w:val="1008"/>
        </w:numPr>
      </w:pPr>
      <w:r>
        <w:rPr>
          <w:rFonts w:hint="eastAsia"/>
        </w:rPr>
        <w:t xml:space="preserve">全市场成交额16877.07亿元，前值15707.04亿元，增加1170.03亿元，增幅7.45%。</w:t>
      </w:r>
    </w:p>
    <w:p>
      <w:pPr>
        <w:pStyle w:val="Compact"/>
        <w:numPr>
          <w:ilvl w:val="0"/>
          <w:numId w:val="1008"/>
        </w:numPr>
      </w:pPr>
      <w:r>
        <w:rPr>
          <w:rStyle w:val="VerbatimChar"/>
        </w:rPr>
        <w:t xml:space="preserve">derived.market_turnover_quality</w:t>
      </w:r>
      <w:r>
        <w:rPr>
          <w:rFonts w:hint="eastAsia"/>
        </w:rPr>
        <w:t xml:space="preserve">定义为“温和放量”，但指数普跌、下跌家数占优，说明放量主要伴随风险释放，不能简单解读为进攻资金回归。</w:t>
      </w:r>
    </w:p>
    <w:bookmarkEnd w:id="24"/>
    <w:bookmarkStart w:id="25" w:name="成交额核心股"/>
    <w:p>
      <w:pPr>
        <w:pStyle w:val="Heading3"/>
      </w:pPr>
      <w:r>
        <w:t xml:space="preserve">💹 </w:t>
      </w:r>
      <w:r>
        <w:rPr>
          <w:rFonts w:hint="eastAsia"/>
        </w:rPr>
        <w:t xml:space="preserve">成交额核心股</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成交额</w:t>
            </w:r>
          </w:p>
        </w:tc>
        <w:tc>
          <w:tcPr/>
          <w:p>
            <w:pPr>
              <w:pStyle w:val="Compact"/>
              <w:jc w:val="right"/>
            </w:pPr>
            <w:r>
              <w:rPr>
                <w:rFonts w:hint="eastAsia"/>
              </w:rPr>
              <w:t xml:space="preserve">涨跌幅</w:t>
            </w:r>
          </w:p>
        </w:tc>
      </w:tr>
      <w:tr>
        <w:tc>
          <w:tcPr/>
          <w:p>
            <w:pPr>
              <w:pStyle w:val="Compact"/>
              <w:jc w:val="right"/>
            </w:pPr>
            <w:r>
              <w:t xml:space="preserve">1</w:t>
            </w:r>
          </w:p>
        </w:tc>
        <w:tc>
          <w:tcPr/>
          <w:p>
            <w:pPr>
              <w:pStyle w:val="Compact"/>
            </w:pPr>
            <w:r>
              <w:rPr>
                <w:rFonts w:hint="eastAsia"/>
              </w:rPr>
              <w:t xml:space="preserve">新易盛</w:t>
            </w:r>
          </w:p>
        </w:tc>
        <w:tc>
          <w:tcPr/>
          <w:p>
            <w:pPr>
              <w:pStyle w:val="Compact"/>
              <w:jc w:val="right"/>
            </w:pPr>
            <w:r>
              <w:t xml:space="preserve">300502</w:t>
            </w:r>
          </w:p>
        </w:tc>
        <w:tc>
          <w:tcPr/>
          <w:p>
            <w:pPr>
              <w:pStyle w:val="Compact"/>
              <w:jc w:val="right"/>
            </w:pPr>
            <w:r>
              <w:rPr>
                <w:rFonts w:hint="eastAsia"/>
              </w:rPr>
              <w:t xml:space="preserve">216.08亿元</w:t>
            </w:r>
          </w:p>
        </w:tc>
        <w:tc>
          <w:tcPr/>
          <w:p>
            <w:pPr>
              <w:pStyle w:val="Compact"/>
              <w:jc w:val="right"/>
            </w:pPr>
            <w:r>
              <w:t xml:space="preserve">📉 -14.19%</w:t>
            </w:r>
          </w:p>
        </w:tc>
      </w:tr>
      <w:tr>
        <w:tc>
          <w:tcPr/>
          <w:p>
            <w:pPr>
              <w:pStyle w:val="Compact"/>
              <w:jc w:val="right"/>
            </w:pPr>
            <w:r>
              <w:t xml:space="preserve">2</w:t>
            </w:r>
          </w:p>
        </w:tc>
        <w:tc>
          <w:tcPr/>
          <w:p>
            <w:pPr>
              <w:pStyle w:val="Compact"/>
            </w:pPr>
            <w:r>
              <w:rPr>
                <w:rFonts w:hint="eastAsia"/>
              </w:rPr>
              <w:t xml:space="preserve">中际旭创</w:t>
            </w:r>
          </w:p>
        </w:tc>
        <w:tc>
          <w:tcPr/>
          <w:p>
            <w:pPr>
              <w:pStyle w:val="Compact"/>
              <w:jc w:val="right"/>
            </w:pPr>
            <w:r>
              <w:t xml:space="preserve">300308</w:t>
            </w:r>
          </w:p>
        </w:tc>
        <w:tc>
          <w:tcPr/>
          <w:p>
            <w:pPr>
              <w:pStyle w:val="Compact"/>
              <w:jc w:val="right"/>
            </w:pPr>
            <w:r>
              <w:rPr>
                <w:rFonts w:hint="eastAsia"/>
              </w:rPr>
              <w:t xml:space="preserve">206.56亿元</w:t>
            </w:r>
          </w:p>
        </w:tc>
        <w:tc>
          <w:tcPr/>
          <w:p>
            <w:pPr>
              <w:pStyle w:val="Compact"/>
              <w:jc w:val="right"/>
            </w:pPr>
            <w:r>
              <w:t xml:space="preserve">📉 -4.99%</w:t>
            </w:r>
          </w:p>
        </w:tc>
      </w:tr>
      <w:tr>
        <w:tc>
          <w:tcPr/>
          <w:p>
            <w:pPr>
              <w:pStyle w:val="Compact"/>
              <w:jc w:val="right"/>
            </w:pPr>
            <w:r>
              <w:t xml:space="preserve">3</w:t>
            </w:r>
          </w:p>
        </w:tc>
        <w:tc>
          <w:tcPr/>
          <w:p>
            <w:pPr>
              <w:pStyle w:val="Compact"/>
            </w:pPr>
            <w:r>
              <w:rPr>
                <w:rFonts w:hint="eastAsia"/>
              </w:rPr>
              <w:t xml:space="preserve">长鑫科技</w:t>
            </w:r>
          </w:p>
        </w:tc>
        <w:tc>
          <w:tcPr/>
          <w:p>
            <w:pPr>
              <w:pStyle w:val="Compact"/>
              <w:jc w:val="right"/>
            </w:pPr>
            <w:r>
              <w:t xml:space="preserve">688825</w:t>
            </w:r>
          </w:p>
        </w:tc>
        <w:tc>
          <w:tcPr/>
          <w:p>
            <w:pPr>
              <w:pStyle w:val="Compact"/>
              <w:jc w:val="right"/>
            </w:pPr>
            <w:r>
              <w:rPr>
                <w:rFonts w:hint="eastAsia"/>
              </w:rPr>
              <w:t xml:space="preserve">121.45亿元</w:t>
            </w:r>
          </w:p>
        </w:tc>
        <w:tc>
          <w:tcPr/>
          <w:p>
            <w:pPr>
              <w:pStyle w:val="Compact"/>
              <w:jc w:val="right"/>
            </w:pPr>
            <w:r>
              <w:t xml:space="preserve">📉 -2.50%</w:t>
            </w:r>
          </w:p>
        </w:tc>
      </w:tr>
      <w:tr>
        <w:tc>
          <w:tcPr/>
          <w:p>
            <w:pPr>
              <w:pStyle w:val="Compact"/>
              <w:jc w:val="right"/>
            </w:pPr>
            <w:r>
              <w:t xml:space="preserve">4</w:t>
            </w:r>
          </w:p>
        </w:tc>
        <w:tc>
          <w:tcPr/>
          <w:p>
            <w:pPr>
              <w:pStyle w:val="Compact"/>
            </w:pPr>
            <w:r>
              <w:rPr>
                <w:rFonts w:hint="eastAsia"/>
              </w:rPr>
              <w:t xml:space="preserve">宁德时代</w:t>
            </w:r>
          </w:p>
        </w:tc>
        <w:tc>
          <w:tcPr/>
          <w:p>
            <w:pPr>
              <w:pStyle w:val="Compact"/>
              <w:jc w:val="right"/>
            </w:pPr>
            <w:r>
              <w:t xml:space="preserve">300750</w:t>
            </w:r>
          </w:p>
        </w:tc>
        <w:tc>
          <w:tcPr/>
          <w:p>
            <w:pPr>
              <w:pStyle w:val="Compact"/>
              <w:jc w:val="right"/>
            </w:pPr>
            <w:r>
              <w:rPr>
                <w:rFonts w:hint="eastAsia"/>
              </w:rPr>
              <w:t xml:space="preserve">103.06亿元</w:t>
            </w:r>
          </w:p>
        </w:tc>
        <w:tc>
          <w:tcPr/>
          <w:p>
            <w:pPr>
              <w:pStyle w:val="Compact"/>
              <w:jc w:val="right"/>
            </w:pPr>
            <w:r>
              <w:t xml:space="preserve">📈 +1.68%</w:t>
            </w:r>
          </w:p>
        </w:tc>
      </w:tr>
      <w:tr>
        <w:tc>
          <w:tcPr/>
          <w:p>
            <w:pPr>
              <w:pStyle w:val="Compact"/>
              <w:jc w:val="right"/>
            </w:pPr>
            <w:r>
              <w:t xml:space="preserve">5</w:t>
            </w:r>
          </w:p>
        </w:tc>
        <w:tc>
          <w:tcPr/>
          <w:p>
            <w:pPr>
              <w:pStyle w:val="Compact"/>
            </w:pPr>
            <w:r>
              <w:rPr>
                <w:rFonts w:hint="eastAsia"/>
              </w:rPr>
              <w:t xml:space="preserve">兆易创新</w:t>
            </w:r>
          </w:p>
        </w:tc>
        <w:tc>
          <w:tcPr/>
          <w:p>
            <w:pPr>
              <w:pStyle w:val="Compact"/>
              <w:jc w:val="right"/>
            </w:pPr>
            <w:r>
              <w:t xml:space="preserve">603986</w:t>
            </w:r>
          </w:p>
        </w:tc>
        <w:tc>
          <w:tcPr/>
          <w:p>
            <w:pPr>
              <w:pStyle w:val="Compact"/>
              <w:jc w:val="right"/>
            </w:pPr>
            <w:r>
              <w:rPr>
                <w:rFonts w:hint="eastAsia"/>
              </w:rPr>
              <w:t xml:space="preserve">100.17亿元</w:t>
            </w:r>
          </w:p>
        </w:tc>
        <w:tc>
          <w:tcPr/>
          <w:p>
            <w:pPr>
              <w:pStyle w:val="Compact"/>
              <w:jc w:val="right"/>
            </w:pPr>
            <w:r>
              <w:t xml:space="preserve">📉 -6.59%</w:t>
            </w:r>
          </w:p>
        </w:tc>
      </w:tr>
    </w:tbl>
    <w:p>
      <w:pPr>
        <w:pStyle w:val="Compact"/>
        <w:numPr>
          <w:ilvl w:val="0"/>
          <w:numId w:val="1009"/>
        </w:numPr>
      </w:pPr>
      <w:r>
        <w:rPr>
          <w:rFonts w:hint="eastAsia"/>
        </w:rPr>
        <w:t xml:space="preserve">6—10名依次为胜宏科技86.33亿元、贵州茅台82.57亿元、寒武纪82.06亿元、东山精密72.17亿元、天孚通信70.48亿元。</w:t>
      </w:r>
    </w:p>
    <w:p>
      <w:pPr>
        <w:pStyle w:val="Compact"/>
        <w:numPr>
          <w:ilvl w:val="0"/>
          <w:numId w:val="1009"/>
        </w:numPr>
      </w:pPr>
      <w:r>
        <w:rPr>
          <w:rFonts w:hint="eastAsia"/>
        </w:rPr>
        <w:t xml:space="preserve">其中胜宏科技下跌13.31%，贵州茅台上涨2.81%，寒武纪下跌3.61%，东山精密下跌8.58%，天孚通信下跌8.42%。</w:t>
      </w:r>
    </w:p>
    <w:p>
      <w:pPr>
        <w:pStyle w:val="Compact"/>
        <w:numPr>
          <w:ilvl w:val="0"/>
          <w:numId w:val="1009"/>
        </w:numPr>
      </w:pPr>
      <w:r>
        <w:rPr>
          <w:rFonts w:hint="eastAsia"/>
        </w:rPr>
        <w:t xml:space="preserve">科技核心股出现大成交下跌，反映资金分歧和亏损厌恶扩散；贵州茅台则呈现防御资金集中。</w:t>
      </w:r>
    </w:p>
    <w:bookmarkEnd w:id="25"/>
    <w:bookmarkStart w:id="26" w:name="关键涨停线索仅作2026-10-30收盘证据核对"/>
    <w:p>
      <w:pPr>
        <w:pStyle w:val="Heading3"/>
      </w:pPr>
      <w:r>
        <w:t xml:space="preserve">🔥 </w:t>
      </w:r>
      <w:r>
        <w:rPr>
          <w:rFonts w:hint="eastAsia"/>
        </w:rPr>
        <w:t xml:space="preserve">关键涨停线索：仅作2026-10-30收盘证据核对</w:t>
      </w:r>
    </w:p>
    <w:p>
      <w:pPr>
        <w:pStyle w:val="Compact"/>
        <w:numPr>
          <w:ilvl w:val="0"/>
          <w:numId w:val="1010"/>
        </w:numPr>
      </w:pPr>
      <w:r>
        <w:rPr>
          <w:rFonts w:hint="eastAsia"/>
          <w:b/>
          <w:bCs/>
        </w:rPr>
        <w:t xml:space="preserve">金安国纪（002636）</w:t>
      </w:r>
      <w:r>
        <w:rPr>
          <w:rFonts w:hint="eastAsia"/>
        </w:rPr>
        <w:t xml:space="preserve">：核心催化：华泰2026-10-30</w:t>
      </w:r>
      <w:r>
        <w:t xml:space="preserve"> 15:00</w:t>
      </w:r>
      <w:r>
        <w:t xml:space="preserve"> </w:t>
      </w:r>
      <w:r>
        <w:rPr>
          <w:rStyle w:val="VerbatimChar"/>
        </w:rPr>
        <w:t xml:space="preserve">previous_close</w:t>
      </w:r>
      <w:r>
        <w:rPr>
          <w:rFonts w:hint="eastAsia"/>
        </w:rPr>
        <w:t xml:space="preserve">资金榜显示主力净流入8.48亿元、位列个股流入第2，妙想mx-search收录的中证快报称其10月30日涨停；主要风险：Collector没有提供该股公告型催化，</w:t>
      </w:r>
      <w:r>
        <w:rPr>
          <w:rStyle w:val="VerbatimChar"/>
        </w:rPr>
        <w:t xml:space="preserve">derived.limit_reason_analysis</w:t>
      </w:r>
      <w:r>
        <w:rPr>
          <w:rFonts w:hint="eastAsia"/>
        </w:rPr>
        <w:t xml:space="preserve">因日期不匹配或数据不可用，涨停原因无法确认，且新闻稿资金金额与华泰榜口径不同，因此资金金额只采用华泰8.48亿元并禁止追涨。</w:t>
      </w:r>
    </w:p>
    <w:p>
      <w:pPr>
        <w:pStyle w:val="FirstParagraph"/>
      </w:pPr>
      <w:r>
        <w:rPr>
          <w:rFonts w:hint="eastAsia"/>
        </w:rPr>
        <w:t xml:space="preserve">严格涨停股池未进入本轮盘前Collector，除上述有具体来源支持的线索外，不估算其他涨停股，也不纳入今日确认名单。</w:t>
      </w:r>
    </w:p>
    <w:p>
      <w:r>
        <w:pict>
          <v:rect style="width:0;height:1.5pt" o:hralign="center" o:hrstd="t" o:hr="t"/>
        </w:pict>
      </w:r>
    </w:p>
    <w:bookmarkEnd w:id="26"/>
    <w:bookmarkEnd w:id="27"/>
    <w:bookmarkStart w:id="32" w:name="上一交易日资金流向四榜"/>
    <w:p>
      <w:pPr>
        <w:pStyle w:val="Heading2"/>
      </w:pPr>
      <w:r>
        <w:t xml:space="preserve">💰 </w:t>
      </w:r>
      <w:r>
        <w:rPr>
          <w:rFonts w:hint="eastAsia"/>
        </w:rPr>
        <w:t xml:space="preserve">上一交易日资金流向四榜</w:t>
      </w:r>
    </w:p>
    <w:p>
      <w:pPr>
        <w:pStyle w:val="FirstParagraph"/>
      </w:pPr>
      <w:r>
        <w:rPr>
          <w:rFonts w:hint="eastAsia"/>
          <w:b/>
          <w:bCs/>
        </w:rPr>
        <w:t xml:space="preserve">统一口径：交易日2026-10-30，15:00，</w:t>
      </w:r>
      <w:r>
        <w:rPr>
          <w:rStyle w:val="VerbatimChar"/>
          <w:b/>
          <w:bCs/>
        </w:rPr>
        <w:t xml:space="preserve">previous_close</w:t>
      </w:r>
      <w:r>
        <w:rPr>
          <w:rFonts w:hint="eastAsia"/>
          <w:b/>
          <w:bCs/>
        </w:rPr>
        <w:t xml:space="preserve">，申万二级行业；来源：华泰skill。</w:t>
      </w:r>
    </w:p>
    <w:bookmarkStart w:id="28" w:name="流出top10板块"/>
    <w:p>
      <w:pPr>
        <w:pStyle w:val="Heading3"/>
      </w:pPr>
      <w:r>
        <w:t xml:space="preserve">💰 </w:t>
      </w:r>
      <w:r>
        <w:rPr>
          <w:rFonts w:hint="eastAsia"/>
        </w:rPr>
        <w:t xml:space="preserve">流出TOP10板块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上一交易日主力净流出</w:t>
            </w:r>
          </w:p>
        </w:tc>
      </w:tr>
      <w:tr>
        <w:tc>
          <w:tcPr/>
          <w:p>
            <w:pPr>
              <w:pStyle w:val="Compact"/>
              <w:jc w:val="right"/>
            </w:pPr>
            <w:r>
              <w:t xml:space="preserve">1</w:t>
            </w:r>
          </w:p>
        </w:tc>
        <w:tc>
          <w:tcPr/>
          <w:p>
            <w:pPr>
              <w:pStyle w:val="Compact"/>
            </w:pPr>
            <w:r>
              <w:rPr>
                <w:rFonts w:hint="eastAsia"/>
              </w:rPr>
              <w:t xml:space="preserve">半导体</w:t>
            </w:r>
          </w:p>
        </w:tc>
        <w:tc>
          <w:tcPr/>
          <w:p>
            <w:pPr>
              <w:pStyle w:val="Compact"/>
              <w:jc w:val="right"/>
            </w:pPr>
            <w:r>
              <w:rPr>
                <w:rFonts w:hint="eastAsia"/>
              </w:rPr>
              <w:t xml:space="preserve">-56.14亿元</w:t>
            </w:r>
          </w:p>
        </w:tc>
      </w:tr>
      <w:tr>
        <w:tc>
          <w:tcPr/>
          <w:p>
            <w:pPr>
              <w:pStyle w:val="Compact"/>
              <w:jc w:val="right"/>
            </w:pPr>
            <w:r>
              <w:t xml:space="preserve">2</w:t>
            </w:r>
          </w:p>
        </w:tc>
        <w:tc>
          <w:tcPr/>
          <w:p>
            <w:pPr>
              <w:pStyle w:val="Compact"/>
            </w:pPr>
            <w:r>
              <w:rPr>
                <w:rFonts w:hint="eastAsia"/>
              </w:rPr>
              <w:t xml:space="preserve">通信设备</w:t>
            </w:r>
          </w:p>
        </w:tc>
        <w:tc>
          <w:tcPr/>
          <w:p>
            <w:pPr>
              <w:pStyle w:val="Compact"/>
              <w:jc w:val="right"/>
            </w:pPr>
            <w:r>
              <w:rPr>
                <w:rFonts w:hint="eastAsia"/>
              </w:rPr>
              <w:t xml:space="preserve">-52.19亿元</w:t>
            </w:r>
          </w:p>
        </w:tc>
      </w:tr>
      <w:tr>
        <w:tc>
          <w:tcPr/>
          <w:p>
            <w:pPr>
              <w:pStyle w:val="Compact"/>
              <w:jc w:val="right"/>
            </w:pPr>
            <w:r>
              <w:t xml:space="preserve">3</w:t>
            </w:r>
          </w:p>
        </w:tc>
        <w:tc>
          <w:tcPr/>
          <w:p>
            <w:pPr>
              <w:pStyle w:val="Compact"/>
            </w:pPr>
            <w:r>
              <w:rPr>
                <w:rFonts w:hint="eastAsia"/>
              </w:rPr>
              <w:t xml:space="preserve">软件开发</w:t>
            </w:r>
          </w:p>
        </w:tc>
        <w:tc>
          <w:tcPr/>
          <w:p>
            <w:pPr>
              <w:pStyle w:val="Compact"/>
              <w:jc w:val="right"/>
            </w:pPr>
            <w:r>
              <w:rPr>
                <w:rFonts w:hint="eastAsia"/>
              </w:rPr>
              <w:t xml:space="preserve">-24.36亿元</w:t>
            </w:r>
          </w:p>
        </w:tc>
      </w:tr>
      <w:tr>
        <w:tc>
          <w:tcPr/>
          <w:p>
            <w:pPr>
              <w:pStyle w:val="Compact"/>
              <w:jc w:val="right"/>
            </w:pPr>
            <w:r>
              <w:t xml:space="preserve">4</w:t>
            </w:r>
          </w:p>
        </w:tc>
        <w:tc>
          <w:tcPr/>
          <w:p>
            <w:pPr>
              <w:pStyle w:val="Compact"/>
            </w:pPr>
            <w:r>
              <w:rPr>
                <w:rFonts w:hint="eastAsia"/>
              </w:rPr>
              <w:t xml:space="preserve">消费电子</w:t>
            </w:r>
          </w:p>
        </w:tc>
        <w:tc>
          <w:tcPr/>
          <w:p>
            <w:pPr>
              <w:pStyle w:val="Compact"/>
              <w:jc w:val="right"/>
            </w:pPr>
            <w:r>
              <w:rPr>
                <w:rFonts w:hint="eastAsia"/>
              </w:rPr>
              <w:t xml:space="preserve">-22.98亿元</w:t>
            </w:r>
          </w:p>
        </w:tc>
      </w:tr>
      <w:tr>
        <w:tc>
          <w:tcPr/>
          <w:p>
            <w:pPr>
              <w:pStyle w:val="Compact"/>
              <w:jc w:val="right"/>
            </w:pPr>
            <w:r>
              <w:t xml:space="preserve">5</w:t>
            </w:r>
          </w:p>
        </w:tc>
        <w:tc>
          <w:tcPr/>
          <w:p>
            <w:pPr>
              <w:pStyle w:val="Compact"/>
            </w:pPr>
            <w:r>
              <w:rPr>
                <w:rFonts w:hint="eastAsia"/>
              </w:rPr>
              <w:t xml:space="preserve">IT服务Ⅱ</w:t>
            </w:r>
          </w:p>
        </w:tc>
        <w:tc>
          <w:tcPr/>
          <w:p>
            <w:pPr>
              <w:pStyle w:val="Compact"/>
              <w:jc w:val="right"/>
            </w:pPr>
            <w:r>
              <w:rPr>
                <w:rFonts w:hint="eastAsia"/>
              </w:rPr>
              <w:t xml:space="preserve">-16.61亿元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上一交易日主力净流出</w:t>
            </w:r>
          </w:p>
        </w:tc>
      </w:tr>
      <w:tr>
        <w:tc>
          <w:tcPr/>
          <w:p>
            <w:pPr>
              <w:pStyle w:val="Compact"/>
              <w:jc w:val="right"/>
            </w:pPr>
            <w:r>
              <w:t xml:space="preserve">6</w:t>
            </w:r>
          </w:p>
        </w:tc>
        <w:tc>
          <w:tcPr/>
          <w:p>
            <w:pPr>
              <w:pStyle w:val="Compact"/>
            </w:pPr>
            <w:r>
              <w:rPr>
                <w:rFonts w:hint="eastAsia"/>
              </w:rPr>
              <w:t xml:space="preserve">通用设备</w:t>
            </w:r>
          </w:p>
        </w:tc>
        <w:tc>
          <w:tcPr/>
          <w:p>
            <w:pPr>
              <w:pStyle w:val="Compact"/>
              <w:jc w:val="right"/>
            </w:pPr>
            <w:r>
              <w:rPr>
                <w:rFonts w:hint="eastAsia"/>
              </w:rPr>
              <w:t xml:space="preserve">-15.46亿元</w:t>
            </w:r>
          </w:p>
        </w:tc>
      </w:tr>
      <w:tr>
        <w:tc>
          <w:tcPr/>
          <w:p>
            <w:pPr>
              <w:pStyle w:val="Compact"/>
              <w:jc w:val="right"/>
            </w:pPr>
            <w:r>
              <w:t xml:space="preserve">7</w:t>
            </w:r>
          </w:p>
        </w:tc>
        <w:tc>
          <w:tcPr/>
          <w:p>
            <w:pPr>
              <w:pStyle w:val="Compact"/>
            </w:pPr>
            <w:r>
              <w:rPr>
                <w:rFonts w:hint="eastAsia"/>
              </w:rPr>
              <w:t xml:space="preserve">光学光电子</w:t>
            </w:r>
          </w:p>
        </w:tc>
        <w:tc>
          <w:tcPr/>
          <w:p>
            <w:pPr>
              <w:pStyle w:val="Compact"/>
              <w:jc w:val="right"/>
            </w:pPr>
            <w:r>
              <w:rPr>
                <w:rFonts w:hint="eastAsia"/>
              </w:rPr>
              <w:t xml:space="preserve">-14.86亿元</w:t>
            </w:r>
          </w:p>
        </w:tc>
      </w:tr>
      <w:tr>
        <w:tc>
          <w:tcPr/>
          <w:p>
            <w:pPr>
              <w:pStyle w:val="Compact"/>
              <w:jc w:val="right"/>
            </w:pPr>
            <w:r>
              <w:t xml:space="preserve">8</w:t>
            </w:r>
          </w:p>
        </w:tc>
        <w:tc>
          <w:tcPr/>
          <w:p>
            <w:pPr>
              <w:pStyle w:val="Compact"/>
            </w:pPr>
            <w:r>
              <w:rPr>
                <w:rFonts w:hint="eastAsia"/>
              </w:rPr>
              <w:t xml:space="preserve">汽车零部件</w:t>
            </w:r>
          </w:p>
        </w:tc>
        <w:tc>
          <w:tcPr/>
          <w:p>
            <w:pPr>
              <w:pStyle w:val="Compact"/>
              <w:jc w:val="right"/>
            </w:pPr>
            <w:r>
              <w:rPr>
                <w:rFonts w:hint="eastAsia"/>
              </w:rPr>
              <w:t xml:space="preserve">-13.72亿元</w:t>
            </w:r>
          </w:p>
        </w:tc>
      </w:tr>
      <w:tr>
        <w:tc>
          <w:tcPr/>
          <w:p>
            <w:pPr>
              <w:pStyle w:val="Compact"/>
              <w:jc w:val="right"/>
            </w:pPr>
            <w:r>
              <w:t xml:space="preserve">9</w:t>
            </w:r>
          </w:p>
        </w:tc>
        <w:tc>
          <w:tcPr/>
          <w:p>
            <w:pPr>
              <w:pStyle w:val="Compact"/>
            </w:pPr>
            <w:r>
              <w:rPr>
                <w:rFonts w:hint="eastAsia"/>
              </w:rPr>
              <w:t xml:space="preserve">证券Ⅱ</w:t>
            </w:r>
          </w:p>
        </w:tc>
        <w:tc>
          <w:tcPr/>
          <w:p>
            <w:pPr>
              <w:pStyle w:val="Compact"/>
              <w:jc w:val="right"/>
            </w:pPr>
            <w:r>
              <w:rPr>
                <w:rFonts w:hint="eastAsia"/>
              </w:rPr>
              <w:t xml:space="preserve">-13.32亿元</w:t>
            </w:r>
          </w:p>
        </w:tc>
      </w:tr>
      <w:tr>
        <w:tc>
          <w:tcPr/>
          <w:p>
            <w:pPr>
              <w:pStyle w:val="Compact"/>
              <w:jc w:val="right"/>
            </w:pPr>
            <w:r>
              <w:t xml:space="preserve">10</w:t>
            </w:r>
          </w:p>
        </w:tc>
        <w:tc>
          <w:tcPr/>
          <w:p>
            <w:pPr>
              <w:pStyle w:val="Compact"/>
            </w:pPr>
            <w:r>
              <w:rPr>
                <w:rFonts w:hint="eastAsia"/>
              </w:rPr>
              <w:t xml:space="preserve">自动化设备</w:t>
            </w:r>
          </w:p>
        </w:tc>
        <w:tc>
          <w:tcPr/>
          <w:p>
            <w:pPr>
              <w:pStyle w:val="Compact"/>
              <w:jc w:val="right"/>
            </w:pPr>
            <w:r>
              <w:rPr>
                <w:rFonts w:hint="eastAsia"/>
              </w:rPr>
              <w:t xml:space="preserve">-13.29亿元</w:t>
            </w:r>
          </w:p>
        </w:tc>
      </w:tr>
    </w:tbl>
    <w:bookmarkEnd w:id="28"/>
    <w:bookmarkStart w:id="29" w:name="流出top10个股"/>
    <w:p>
      <w:pPr>
        <w:pStyle w:val="Heading3"/>
      </w:pPr>
      <w:r>
        <w:t xml:space="preserve">💰 </w:t>
      </w:r>
      <w:r>
        <w:rPr>
          <w:rFonts w:hint="eastAsia"/>
        </w:rPr>
        <w:t xml:space="preserve">流出TOP10个股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上一交易日主力净流出</w:t>
            </w:r>
          </w:p>
        </w:tc>
      </w:tr>
      <w:tr>
        <w:tc>
          <w:tcPr/>
          <w:p>
            <w:pPr>
              <w:pStyle w:val="Compact"/>
              <w:jc w:val="right"/>
            </w:pPr>
            <w:r>
              <w:t xml:space="preserve">1</w:t>
            </w:r>
          </w:p>
        </w:tc>
        <w:tc>
          <w:tcPr/>
          <w:p>
            <w:pPr>
              <w:pStyle w:val="Compact"/>
            </w:pPr>
            <w:r>
              <w:rPr>
                <w:rFonts w:hint="eastAsia"/>
              </w:rPr>
              <w:t xml:space="preserve">兆易创新</w:t>
            </w:r>
          </w:p>
        </w:tc>
        <w:tc>
          <w:tcPr/>
          <w:p>
            <w:pPr>
              <w:pStyle w:val="Compact"/>
              <w:jc w:val="right"/>
            </w:pPr>
            <w:r>
              <w:t xml:space="preserve">603986</w:t>
            </w:r>
          </w:p>
        </w:tc>
        <w:tc>
          <w:tcPr/>
          <w:p>
            <w:pPr>
              <w:pStyle w:val="Compact"/>
              <w:jc w:val="right"/>
            </w:pPr>
            <w:r>
              <w:rPr>
                <w:rFonts w:hint="eastAsia"/>
              </w:rPr>
              <w:t xml:space="preserve">-8.81亿元</w:t>
            </w:r>
          </w:p>
        </w:tc>
      </w:tr>
      <w:tr>
        <w:tc>
          <w:tcPr/>
          <w:p>
            <w:pPr>
              <w:pStyle w:val="Compact"/>
              <w:jc w:val="right"/>
            </w:pPr>
            <w:r>
              <w:t xml:space="preserve">2</w:t>
            </w:r>
          </w:p>
        </w:tc>
        <w:tc>
          <w:tcPr/>
          <w:p>
            <w:pPr>
              <w:pStyle w:val="Compact"/>
            </w:pPr>
            <w:r>
              <w:rPr>
                <w:rFonts w:hint="eastAsia"/>
              </w:rPr>
              <w:t xml:space="preserve">胜宏科技</w:t>
            </w:r>
          </w:p>
        </w:tc>
        <w:tc>
          <w:tcPr/>
          <w:p>
            <w:pPr>
              <w:pStyle w:val="Compact"/>
              <w:jc w:val="right"/>
            </w:pPr>
            <w:r>
              <w:t xml:space="preserve">300476</w:t>
            </w:r>
          </w:p>
        </w:tc>
        <w:tc>
          <w:tcPr/>
          <w:p>
            <w:pPr>
              <w:pStyle w:val="Compact"/>
              <w:jc w:val="right"/>
            </w:pPr>
            <w:r>
              <w:rPr>
                <w:rFonts w:hint="eastAsia"/>
              </w:rPr>
              <w:t xml:space="preserve">-7.91亿元</w:t>
            </w:r>
          </w:p>
        </w:tc>
      </w:tr>
      <w:tr>
        <w:tc>
          <w:tcPr/>
          <w:p>
            <w:pPr>
              <w:pStyle w:val="Compact"/>
              <w:jc w:val="right"/>
            </w:pPr>
            <w:r>
              <w:t xml:space="preserve">3</w:t>
            </w:r>
          </w:p>
        </w:tc>
        <w:tc>
          <w:tcPr/>
          <w:p>
            <w:pPr>
              <w:pStyle w:val="Compact"/>
            </w:pPr>
            <w:r>
              <w:rPr>
                <w:rFonts w:hint="eastAsia"/>
              </w:rPr>
              <w:t xml:space="preserve">天孚通信</w:t>
            </w:r>
          </w:p>
        </w:tc>
        <w:tc>
          <w:tcPr/>
          <w:p>
            <w:pPr>
              <w:pStyle w:val="Compact"/>
              <w:jc w:val="right"/>
            </w:pPr>
            <w:r>
              <w:t xml:space="preserve">300394</w:t>
            </w:r>
          </w:p>
        </w:tc>
        <w:tc>
          <w:tcPr/>
          <w:p>
            <w:pPr>
              <w:pStyle w:val="Compact"/>
              <w:jc w:val="right"/>
            </w:pPr>
            <w:r>
              <w:rPr>
                <w:rFonts w:hint="eastAsia"/>
              </w:rPr>
              <w:t xml:space="preserve">-7.14亿元</w:t>
            </w:r>
          </w:p>
        </w:tc>
      </w:tr>
      <w:tr>
        <w:tc>
          <w:tcPr/>
          <w:p>
            <w:pPr>
              <w:pStyle w:val="Compact"/>
              <w:jc w:val="right"/>
            </w:pPr>
            <w:r>
              <w:t xml:space="preserve">4</w:t>
            </w:r>
          </w:p>
        </w:tc>
        <w:tc>
          <w:tcPr/>
          <w:p>
            <w:pPr>
              <w:pStyle w:val="Compact"/>
            </w:pPr>
            <w:r>
              <w:rPr>
                <w:rFonts w:hint="eastAsia"/>
              </w:rPr>
              <w:t xml:space="preserve">中天科技</w:t>
            </w:r>
          </w:p>
        </w:tc>
        <w:tc>
          <w:tcPr/>
          <w:p>
            <w:pPr>
              <w:pStyle w:val="Compact"/>
              <w:jc w:val="right"/>
            </w:pPr>
            <w:r>
              <w:t xml:space="preserve">600522</w:t>
            </w:r>
          </w:p>
        </w:tc>
        <w:tc>
          <w:tcPr/>
          <w:p>
            <w:pPr>
              <w:pStyle w:val="Compact"/>
              <w:jc w:val="right"/>
            </w:pPr>
            <w:r>
              <w:rPr>
                <w:rFonts w:hint="eastAsia"/>
              </w:rPr>
              <w:t xml:space="preserve">-5.23亿元</w:t>
            </w:r>
          </w:p>
        </w:tc>
      </w:tr>
      <w:tr>
        <w:tc>
          <w:tcPr/>
          <w:p>
            <w:pPr>
              <w:pStyle w:val="Compact"/>
              <w:jc w:val="right"/>
            </w:pPr>
            <w:r>
              <w:t xml:space="preserve">5</w:t>
            </w:r>
          </w:p>
        </w:tc>
        <w:tc>
          <w:tcPr/>
          <w:p>
            <w:pPr>
              <w:pStyle w:val="Compact"/>
            </w:pPr>
            <w:r>
              <w:rPr>
                <w:rFonts w:hint="eastAsia"/>
              </w:rPr>
              <w:t xml:space="preserve">东山精密</w:t>
            </w:r>
          </w:p>
        </w:tc>
        <w:tc>
          <w:tcPr/>
          <w:p>
            <w:pPr>
              <w:pStyle w:val="Compact"/>
              <w:jc w:val="right"/>
            </w:pPr>
            <w:r>
              <w:t xml:space="preserve">002384</w:t>
            </w:r>
          </w:p>
        </w:tc>
        <w:tc>
          <w:tcPr/>
          <w:p>
            <w:pPr>
              <w:pStyle w:val="Compact"/>
              <w:jc w:val="right"/>
            </w:pPr>
            <w:r>
              <w:rPr>
                <w:rFonts w:hint="eastAsia"/>
              </w:rPr>
              <w:t xml:space="preserve">-4.33亿元</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上一交易日主力净流出</w:t>
            </w:r>
          </w:p>
        </w:tc>
      </w:tr>
      <w:tr>
        <w:tc>
          <w:tcPr/>
          <w:p>
            <w:pPr>
              <w:pStyle w:val="Compact"/>
              <w:jc w:val="right"/>
            </w:pPr>
            <w:r>
              <w:t xml:space="preserve">6</w:t>
            </w:r>
          </w:p>
        </w:tc>
        <w:tc>
          <w:tcPr/>
          <w:p>
            <w:pPr>
              <w:pStyle w:val="Compact"/>
            </w:pPr>
            <w:r>
              <w:rPr>
                <w:rFonts w:hint="eastAsia"/>
              </w:rPr>
              <w:t xml:space="preserve">佰维存储</w:t>
            </w:r>
          </w:p>
        </w:tc>
        <w:tc>
          <w:tcPr/>
          <w:p>
            <w:pPr>
              <w:pStyle w:val="Compact"/>
              <w:jc w:val="right"/>
            </w:pPr>
            <w:r>
              <w:t xml:space="preserve">688525</w:t>
            </w:r>
          </w:p>
        </w:tc>
        <w:tc>
          <w:tcPr/>
          <w:p>
            <w:pPr>
              <w:pStyle w:val="Compact"/>
              <w:jc w:val="right"/>
            </w:pPr>
            <w:r>
              <w:rPr>
                <w:rFonts w:hint="eastAsia"/>
              </w:rPr>
              <w:t xml:space="preserve">-4.17亿元</w:t>
            </w:r>
          </w:p>
        </w:tc>
      </w:tr>
      <w:tr>
        <w:tc>
          <w:tcPr/>
          <w:p>
            <w:pPr>
              <w:pStyle w:val="Compact"/>
              <w:jc w:val="right"/>
            </w:pPr>
            <w:r>
              <w:t xml:space="preserve">7</w:t>
            </w:r>
          </w:p>
        </w:tc>
        <w:tc>
          <w:tcPr/>
          <w:p>
            <w:pPr>
              <w:pStyle w:val="Compact"/>
            </w:pPr>
            <w:r>
              <w:rPr>
                <w:rFonts w:hint="eastAsia"/>
              </w:rPr>
              <w:t xml:space="preserve">京东方Ａ</w:t>
            </w:r>
          </w:p>
        </w:tc>
        <w:tc>
          <w:tcPr/>
          <w:p>
            <w:pPr>
              <w:pStyle w:val="Compact"/>
              <w:jc w:val="right"/>
            </w:pPr>
            <w:r>
              <w:t xml:space="preserve">000725</w:t>
            </w:r>
          </w:p>
        </w:tc>
        <w:tc>
          <w:tcPr/>
          <w:p>
            <w:pPr>
              <w:pStyle w:val="Compact"/>
              <w:jc w:val="right"/>
            </w:pPr>
            <w:r>
              <w:rPr>
                <w:rFonts w:hint="eastAsia"/>
              </w:rPr>
              <w:t xml:space="preserve">-4.16亿元</w:t>
            </w:r>
          </w:p>
        </w:tc>
      </w:tr>
      <w:tr>
        <w:tc>
          <w:tcPr/>
          <w:p>
            <w:pPr>
              <w:pStyle w:val="Compact"/>
              <w:jc w:val="right"/>
            </w:pPr>
            <w:r>
              <w:t xml:space="preserve">8</w:t>
            </w:r>
          </w:p>
        </w:tc>
        <w:tc>
          <w:tcPr/>
          <w:p>
            <w:pPr>
              <w:pStyle w:val="Compact"/>
            </w:pPr>
            <w:r>
              <w:rPr>
                <w:rFonts w:hint="eastAsia"/>
              </w:rPr>
              <w:t xml:space="preserve">罗博特科</w:t>
            </w:r>
          </w:p>
        </w:tc>
        <w:tc>
          <w:tcPr/>
          <w:p>
            <w:pPr>
              <w:pStyle w:val="Compact"/>
              <w:jc w:val="right"/>
            </w:pPr>
            <w:r>
              <w:t xml:space="preserve">300757</w:t>
            </w:r>
          </w:p>
        </w:tc>
        <w:tc>
          <w:tcPr/>
          <w:p>
            <w:pPr>
              <w:pStyle w:val="Compact"/>
              <w:jc w:val="right"/>
            </w:pPr>
            <w:r>
              <w:rPr>
                <w:rFonts w:hint="eastAsia"/>
              </w:rPr>
              <w:t xml:space="preserve">-4.01亿元</w:t>
            </w:r>
          </w:p>
        </w:tc>
      </w:tr>
      <w:tr>
        <w:tc>
          <w:tcPr/>
          <w:p>
            <w:pPr>
              <w:pStyle w:val="Compact"/>
              <w:jc w:val="right"/>
            </w:pPr>
            <w:r>
              <w:t xml:space="preserve">9</w:t>
            </w:r>
          </w:p>
        </w:tc>
        <w:tc>
          <w:tcPr/>
          <w:p>
            <w:pPr>
              <w:pStyle w:val="Compact"/>
            </w:pPr>
            <w:r>
              <w:rPr>
                <w:rFonts w:hint="eastAsia"/>
              </w:rPr>
              <w:t xml:space="preserve">东方财富</w:t>
            </w:r>
          </w:p>
        </w:tc>
        <w:tc>
          <w:tcPr/>
          <w:p>
            <w:pPr>
              <w:pStyle w:val="Compact"/>
              <w:jc w:val="right"/>
            </w:pPr>
            <w:r>
              <w:t xml:space="preserve">300059</w:t>
            </w:r>
          </w:p>
        </w:tc>
        <w:tc>
          <w:tcPr/>
          <w:p>
            <w:pPr>
              <w:pStyle w:val="Compact"/>
              <w:jc w:val="right"/>
            </w:pPr>
            <w:r>
              <w:rPr>
                <w:rFonts w:hint="eastAsia"/>
              </w:rPr>
              <w:t xml:space="preserve">-3.97亿元</w:t>
            </w:r>
          </w:p>
        </w:tc>
      </w:tr>
      <w:tr>
        <w:tc>
          <w:tcPr/>
          <w:p>
            <w:pPr>
              <w:pStyle w:val="Compact"/>
              <w:jc w:val="right"/>
            </w:pPr>
            <w:r>
              <w:t xml:space="preserve">10</w:t>
            </w:r>
          </w:p>
        </w:tc>
        <w:tc>
          <w:tcPr/>
          <w:p>
            <w:pPr>
              <w:pStyle w:val="Compact"/>
            </w:pPr>
            <w:r>
              <w:rPr>
                <w:rFonts w:hint="eastAsia"/>
              </w:rPr>
              <w:t xml:space="preserve">协创数据</w:t>
            </w:r>
          </w:p>
        </w:tc>
        <w:tc>
          <w:tcPr/>
          <w:p>
            <w:pPr>
              <w:pStyle w:val="Compact"/>
              <w:jc w:val="right"/>
            </w:pPr>
            <w:r>
              <w:t xml:space="preserve">300857</w:t>
            </w:r>
          </w:p>
        </w:tc>
        <w:tc>
          <w:tcPr/>
          <w:p>
            <w:pPr>
              <w:pStyle w:val="Compact"/>
              <w:jc w:val="right"/>
            </w:pPr>
            <w:r>
              <w:rPr>
                <w:rFonts w:hint="eastAsia"/>
              </w:rPr>
              <w:t xml:space="preserve">-3.73亿元</w:t>
            </w:r>
          </w:p>
        </w:tc>
      </w:tr>
    </w:tbl>
    <w:bookmarkEnd w:id="29"/>
    <w:bookmarkStart w:id="30" w:name="流入top10板块"/>
    <w:p>
      <w:pPr>
        <w:pStyle w:val="Heading3"/>
      </w:pPr>
      <w:r>
        <w:t xml:space="preserve">💰 </w:t>
      </w:r>
      <w:r>
        <w:rPr>
          <w:rFonts w:hint="eastAsia"/>
        </w:rPr>
        <w:t xml:space="preserve">流入TOP10板块</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上一交易日主力净流入</w:t>
            </w:r>
          </w:p>
        </w:tc>
      </w:tr>
      <w:tr>
        <w:tc>
          <w:tcPr/>
          <w:p>
            <w:pPr>
              <w:pStyle w:val="Compact"/>
              <w:jc w:val="right"/>
            </w:pPr>
            <w:r>
              <w:t xml:space="preserve">1</w:t>
            </w:r>
          </w:p>
        </w:tc>
        <w:tc>
          <w:tcPr/>
          <w:p>
            <w:pPr>
              <w:pStyle w:val="Compact"/>
            </w:pPr>
            <w:r>
              <w:rPr>
                <w:rFonts w:hint="eastAsia"/>
              </w:rPr>
              <w:t xml:space="preserve">白酒Ⅱ</w:t>
            </w:r>
          </w:p>
        </w:tc>
        <w:tc>
          <w:tcPr/>
          <w:p>
            <w:pPr>
              <w:pStyle w:val="Compact"/>
              <w:jc w:val="right"/>
            </w:pPr>
            <w:r>
              <w:rPr>
                <w:rFonts w:hint="eastAsia"/>
              </w:rPr>
              <w:t xml:space="preserve">+25.00亿元</w:t>
            </w:r>
          </w:p>
        </w:tc>
      </w:tr>
      <w:tr>
        <w:tc>
          <w:tcPr/>
          <w:p>
            <w:pPr>
              <w:pStyle w:val="Compact"/>
              <w:jc w:val="right"/>
            </w:pPr>
            <w:r>
              <w:t xml:space="preserve">2</w:t>
            </w:r>
          </w:p>
        </w:tc>
        <w:tc>
          <w:tcPr/>
          <w:p>
            <w:pPr>
              <w:pStyle w:val="Compact"/>
            </w:pPr>
            <w:r>
              <w:rPr>
                <w:rFonts w:hint="eastAsia"/>
              </w:rPr>
              <w:t xml:space="preserve">医疗服务</w:t>
            </w:r>
          </w:p>
        </w:tc>
        <w:tc>
          <w:tcPr/>
          <w:p>
            <w:pPr>
              <w:pStyle w:val="Compact"/>
              <w:jc w:val="right"/>
            </w:pPr>
            <w:r>
              <w:rPr>
                <w:rFonts w:hint="eastAsia"/>
              </w:rPr>
              <w:t xml:space="preserve">+16.36亿元</w:t>
            </w:r>
          </w:p>
        </w:tc>
      </w:tr>
      <w:tr>
        <w:tc>
          <w:tcPr/>
          <w:p>
            <w:pPr>
              <w:pStyle w:val="Compact"/>
              <w:jc w:val="right"/>
            </w:pPr>
            <w:r>
              <w:t xml:space="preserve">3</w:t>
            </w:r>
          </w:p>
        </w:tc>
        <w:tc>
          <w:tcPr/>
          <w:p>
            <w:pPr>
              <w:pStyle w:val="Compact"/>
            </w:pPr>
            <w:r>
              <w:rPr>
                <w:rFonts w:hint="eastAsia"/>
              </w:rPr>
              <w:t xml:space="preserve">电池</w:t>
            </w:r>
          </w:p>
        </w:tc>
        <w:tc>
          <w:tcPr/>
          <w:p>
            <w:pPr>
              <w:pStyle w:val="Compact"/>
              <w:jc w:val="right"/>
            </w:pPr>
            <w:r>
              <w:rPr>
                <w:rFonts w:hint="eastAsia"/>
              </w:rPr>
              <w:t xml:space="preserve">+6.33亿元</w:t>
            </w:r>
          </w:p>
        </w:tc>
      </w:tr>
      <w:tr>
        <w:tc>
          <w:tcPr/>
          <w:p>
            <w:pPr>
              <w:pStyle w:val="Compact"/>
              <w:jc w:val="right"/>
            </w:pPr>
            <w:r>
              <w:t xml:space="preserve">4</w:t>
            </w:r>
          </w:p>
        </w:tc>
        <w:tc>
          <w:tcPr/>
          <w:p>
            <w:pPr>
              <w:pStyle w:val="Compact"/>
            </w:pPr>
            <w:r>
              <w:rPr>
                <w:rFonts w:hint="eastAsia"/>
              </w:rPr>
              <w:t xml:space="preserve">生物制品</w:t>
            </w:r>
          </w:p>
        </w:tc>
        <w:tc>
          <w:tcPr/>
          <w:p>
            <w:pPr>
              <w:pStyle w:val="Compact"/>
              <w:jc w:val="right"/>
            </w:pPr>
            <w:r>
              <w:rPr>
                <w:rFonts w:hint="eastAsia"/>
              </w:rPr>
              <w:t xml:space="preserve">+5.58亿元</w:t>
            </w:r>
          </w:p>
        </w:tc>
      </w:tr>
      <w:tr>
        <w:tc>
          <w:tcPr/>
          <w:p>
            <w:pPr>
              <w:pStyle w:val="Compact"/>
              <w:jc w:val="right"/>
            </w:pPr>
            <w:r>
              <w:t xml:space="preserve">5</w:t>
            </w:r>
          </w:p>
        </w:tc>
        <w:tc>
          <w:tcPr/>
          <w:p>
            <w:pPr>
              <w:pStyle w:val="Compact"/>
            </w:pPr>
            <w:r>
              <w:rPr>
                <w:rFonts w:hint="eastAsia"/>
              </w:rPr>
              <w:t xml:space="preserve">白色家电</w:t>
            </w:r>
          </w:p>
        </w:tc>
        <w:tc>
          <w:tcPr/>
          <w:p>
            <w:pPr>
              <w:pStyle w:val="Compact"/>
              <w:jc w:val="right"/>
            </w:pPr>
            <w:r>
              <w:rPr>
                <w:rFonts w:hint="eastAsia"/>
              </w:rPr>
              <w:t xml:space="preserve">+5.37亿元</w:t>
            </w: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rFonts w:hint="eastAsia"/>
              </w:rPr>
              <w:t xml:space="preserve">排名</w:t>
            </w:r>
          </w:p>
        </w:tc>
        <w:tc>
          <w:tcPr/>
          <w:p>
            <w:pPr>
              <w:pStyle w:val="Compact"/>
            </w:pPr>
            <w:r>
              <w:rPr>
                <w:rFonts w:hint="eastAsia"/>
              </w:rPr>
              <w:t xml:space="preserve">板块</w:t>
            </w:r>
          </w:p>
        </w:tc>
        <w:tc>
          <w:tcPr/>
          <w:p>
            <w:pPr>
              <w:pStyle w:val="Compact"/>
              <w:jc w:val="right"/>
            </w:pPr>
            <w:r>
              <w:rPr>
                <w:rFonts w:hint="eastAsia"/>
              </w:rPr>
              <w:t xml:space="preserve">上一交易日主力净流入</w:t>
            </w:r>
          </w:p>
        </w:tc>
      </w:tr>
      <w:tr>
        <w:tc>
          <w:tcPr/>
          <w:p>
            <w:pPr>
              <w:pStyle w:val="Compact"/>
              <w:jc w:val="right"/>
            </w:pPr>
            <w:r>
              <w:t xml:space="preserve">6</w:t>
            </w:r>
          </w:p>
        </w:tc>
        <w:tc>
          <w:tcPr/>
          <w:p>
            <w:pPr>
              <w:pStyle w:val="Compact"/>
            </w:pPr>
            <w:r>
              <w:rPr>
                <w:rFonts w:hint="eastAsia"/>
              </w:rPr>
              <w:t xml:space="preserve">医疗器械</w:t>
            </w:r>
          </w:p>
        </w:tc>
        <w:tc>
          <w:tcPr/>
          <w:p>
            <w:pPr>
              <w:pStyle w:val="Compact"/>
              <w:jc w:val="right"/>
            </w:pPr>
            <w:r>
              <w:rPr>
                <w:rFonts w:hint="eastAsia"/>
              </w:rPr>
              <w:t xml:space="preserve">+2.97亿元</w:t>
            </w:r>
          </w:p>
        </w:tc>
      </w:tr>
      <w:tr>
        <w:tc>
          <w:tcPr/>
          <w:p>
            <w:pPr>
              <w:pStyle w:val="Compact"/>
              <w:jc w:val="right"/>
            </w:pPr>
            <w:r>
              <w:t xml:space="preserve">7</w:t>
            </w:r>
          </w:p>
        </w:tc>
        <w:tc>
          <w:tcPr/>
          <w:p>
            <w:pPr>
              <w:pStyle w:val="Compact"/>
            </w:pPr>
            <w:r>
              <w:rPr>
                <w:rFonts w:hint="eastAsia"/>
              </w:rPr>
              <w:t xml:space="preserve">炼化及贸易</w:t>
            </w:r>
          </w:p>
        </w:tc>
        <w:tc>
          <w:tcPr/>
          <w:p>
            <w:pPr>
              <w:pStyle w:val="Compact"/>
              <w:jc w:val="right"/>
            </w:pPr>
            <w:r>
              <w:rPr>
                <w:rFonts w:hint="eastAsia"/>
              </w:rPr>
              <w:t xml:space="preserve">+2.84亿元</w:t>
            </w:r>
          </w:p>
        </w:tc>
      </w:tr>
      <w:tr>
        <w:tc>
          <w:tcPr/>
          <w:p>
            <w:pPr>
              <w:pStyle w:val="Compact"/>
              <w:jc w:val="right"/>
            </w:pPr>
            <w:r>
              <w:t xml:space="preserve">8</w:t>
            </w:r>
          </w:p>
        </w:tc>
        <w:tc>
          <w:tcPr/>
          <w:p>
            <w:pPr>
              <w:pStyle w:val="Compact"/>
            </w:pPr>
            <w:r>
              <w:rPr>
                <w:rFonts w:hint="eastAsia"/>
              </w:rPr>
              <w:t xml:space="preserve">休闲食品</w:t>
            </w:r>
          </w:p>
        </w:tc>
        <w:tc>
          <w:tcPr/>
          <w:p>
            <w:pPr>
              <w:pStyle w:val="Compact"/>
              <w:jc w:val="right"/>
            </w:pPr>
            <w:r>
              <w:rPr>
                <w:rFonts w:hint="eastAsia"/>
              </w:rPr>
              <w:t xml:space="preserve">+2.84亿元</w:t>
            </w:r>
          </w:p>
        </w:tc>
      </w:tr>
      <w:tr>
        <w:tc>
          <w:tcPr/>
          <w:p>
            <w:pPr>
              <w:pStyle w:val="Compact"/>
              <w:jc w:val="right"/>
            </w:pPr>
            <w:r>
              <w:t xml:space="preserve">9</w:t>
            </w:r>
          </w:p>
        </w:tc>
        <w:tc>
          <w:tcPr/>
          <w:p>
            <w:pPr>
              <w:pStyle w:val="Compact"/>
            </w:pPr>
            <w:r>
              <w:rPr>
                <w:rFonts w:hint="eastAsia"/>
              </w:rPr>
              <w:t xml:space="preserve">油气开采Ⅱ</w:t>
            </w:r>
          </w:p>
        </w:tc>
        <w:tc>
          <w:tcPr/>
          <w:p>
            <w:pPr>
              <w:pStyle w:val="Compact"/>
              <w:jc w:val="right"/>
            </w:pPr>
            <w:r>
              <w:rPr>
                <w:rFonts w:hint="eastAsia"/>
              </w:rPr>
              <w:t xml:space="preserve">+2.78亿元</w:t>
            </w:r>
          </w:p>
        </w:tc>
      </w:tr>
      <w:tr>
        <w:tc>
          <w:tcPr/>
          <w:p>
            <w:pPr>
              <w:pStyle w:val="Compact"/>
              <w:jc w:val="right"/>
            </w:pPr>
            <w:r>
              <w:t xml:space="preserve">10</w:t>
            </w:r>
          </w:p>
        </w:tc>
        <w:tc>
          <w:tcPr/>
          <w:p>
            <w:pPr>
              <w:pStyle w:val="Compact"/>
            </w:pPr>
            <w:r>
              <w:rPr>
                <w:rFonts w:hint="eastAsia"/>
              </w:rPr>
              <w:t xml:space="preserve">个护用品</w:t>
            </w:r>
          </w:p>
        </w:tc>
        <w:tc>
          <w:tcPr/>
          <w:p>
            <w:pPr>
              <w:pStyle w:val="Compact"/>
              <w:jc w:val="right"/>
            </w:pPr>
            <w:r>
              <w:rPr>
                <w:rFonts w:hint="eastAsia"/>
              </w:rPr>
              <w:t xml:space="preserve">+2.24亿元</w:t>
            </w:r>
          </w:p>
        </w:tc>
      </w:tr>
    </w:tbl>
    <w:bookmarkEnd w:id="30"/>
    <w:bookmarkStart w:id="31" w:name="流入top10个股"/>
    <w:p>
      <w:pPr>
        <w:pStyle w:val="Heading3"/>
      </w:pPr>
      <w:r>
        <w:t xml:space="preserve">💰 </w:t>
      </w:r>
      <w:r>
        <w:rPr>
          <w:rFonts w:hint="eastAsia"/>
        </w:rPr>
        <w:t xml:space="preserve">流入TOP10个股</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上一交易日主力净流入</w:t>
            </w:r>
          </w:p>
        </w:tc>
      </w:tr>
      <w:tr>
        <w:tc>
          <w:tcPr/>
          <w:p>
            <w:pPr>
              <w:pStyle w:val="Compact"/>
              <w:jc w:val="right"/>
            </w:pPr>
            <w:r>
              <w:t xml:space="preserve">1</w:t>
            </w:r>
          </w:p>
        </w:tc>
        <w:tc>
          <w:tcPr/>
          <w:p>
            <w:pPr>
              <w:pStyle w:val="Compact"/>
            </w:pPr>
            <w:r>
              <w:rPr>
                <w:rFonts w:hint="eastAsia"/>
              </w:rPr>
              <w:t xml:space="preserve">宁德时代</w:t>
            </w:r>
          </w:p>
        </w:tc>
        <w:tc>
          <w:tcPr/>
          <w:p>
            <w:pPr>
              <w:pStyle w:val="Compact"/>
              <w:jc w:val="right"/>
            </w:pPr>
            <w:r>
              <w:t xml:space="preserve">300750</w:t>
            </w:r>
          </w:p>
        </w:tc>
        <w:tc>
          <w:tcPr/>
          <w:p>
            <w:pPr>
              <w:pStyle w:val="Compact"/>
              <w:jc w:val="right"/>
            </w:pPr>
            <w:r>
              <w:rPr>
                <w:rFonts w:hint="eastAsia"/>
              </w:rPr>
              <w:t xml:space="preserve">+9.83亿元</w:t>
            </w:r>
          </w:p>
        </w:tc>
      </w:tr>
      <w:tr>
        <w:tc>
          <w:tcPr/>
          <w:p>
            <w:pPr>
              <w:pStyle w:val="Compact"/>
              <w:jc w:val="right"/>
            </w:pPr>
            <w:r>
              <w:t xml:space="preserve">2</w:t>
            </w:r>
          </w:p>
        </w:tc>
        <w:tc>
          <w:tcPr/>
          <w:p>
            <w:pPr>
              <w:pStyle w:val="Compact"/>
            </w:pPr>
            <w:r>
              <w:rPr>
                <w:rFonts w:hint="eastAsia"/>
              </w:rPr>
              <w:t xml:space="preserve">金安国纪</w:t>
            </w:r>
          </w:p>
        </w:tc>
        <w:tc>
          <w:tcPr/>
          <w:p>
            <w:pPr>
              <w:pStyle w:val="Compact"/>
              <w:jc w:val="right"/>
            </w:pPr>
            <w:r>
              <w:t xml:space="preserve">002636</w:t>
            </w:r>
          </w:p>
        </w:tc>
        <w:tc>
          <w:tcPr/>
          <w:p>
            <w:pPr>
              <w:pStyle w:val="Compact"/>
              <w:jc w:val="right"/>
            </w:pPr>
            <w:r>
              <w:rPr>
                <w:rFonts w:hint="eastAsia"/>
              </w:rPr>
              <w:t xml:space="preserve">+8.48亿元</w:t>
            </w:r>
          </w:p>
        </w:tc>
      </w:tr>
      <w:tr>
        <w:tc>
          <w:tcPr/>
          <w:p>
            <w:pPr>
              <w:pStyle w:val="Compact"/>
              <w:jc w:val="right"/>
            </w:pPr>
            <w:r>
              <w:t xml:space="preserve">3</w:t>
            </w:r>
          </w:p>
        </w:tc>
        <w:tc>
          <w:tcPr/>
          <w:p>
            <w:pPr>
              <w:pStyle w:val="Compact"/>
            </w:pPr>
            <w:r>
              <w:rPr>
                <w:rFonts w:hint="eastAsia"/>
              </w:rPr>
              <w:t xml:space="preserve">五粮液</w:t>
            </w:r>
          </w:p>
        </w:tc>
        <w:tc>
          <w:tcPr/>
          <w:p>
            <w:pPr>
              <w:pStyle w:val="Compact"/>
              <w:jc w:val="right"/>
            </w:pPr>
            <w:r>
              <w:t xml:space="preserve">000858</w:t>
            </w:r>
          </w:p>
        </w:tc>
        <w:tc>
          <w:tcPr/>
          <w:p>
            <w:pPr>
              <w:pStyle w:val="Compact"/>
              <w:jc w:val="right"/>
            </w:pPr>
            <w:r>
              <w:rPr>
                <w:rFonts w:hint="eastAsia"/>
              </w:rPr>
              <w:t xml:space="preserve">+6.93亿元</w:t>
            </w:r>
          </w:p>
        </w:tc>
      </w:tr>
      <w:tr>
        <w:tc>
          <w:tcPr/>
          <w:p>
            <w:pPr>
              <w:pStyle w:val="Compact"/>
              <w:jc w:val="right"/>
            </w:pPr>
            <w:r>
              <w:t xml:space="preserve">4</w:t>
            </w:r>
          </w:p>
        </w:tc>
        <w:tc>
          <w:tcPr/>
          <w:p>
            <w:pPr>
              <w:pStyle w:val="Compact"/>
            </w:pPr>
            <w:r>
              <w:rPr>
                <w:rFonts w:hint="eastAsia"/>
              </w:rPr>
              <w:t xml:space="preserve">埃斯顿</w:t>
            </w:r>
          </w:p>
        </w:tc>
        <w:tc>
          <w:tcPr/>
          <w:p>
            <w:pPr>
              <w:pStyle w:val="Compact"/>
              <w:jc w:val="right"/>
            </w:pPr>
            <w:r>
              <w:t xml:space="preserve">002747</w:t>
            </w:r>
          </w:p>
        </w:tc>
        <w:tc>
          <w:tcPr/>
          <w:p>
            <w:pPr>
              <w:pStyle w:val="Compact"/>
              <w:jc w:val="right"/>
            </w:pPr>
            <w:r>
              <w:rPr>
                <w:rFonts w:hint="eastAsia"/>
              </w:rPr>
              <w:t xml:space="preserve">+5.67亿元</w:t>
            </w:r>
          </w:p>
        </w:tc>
      </w:tr>
      <w:tr>
        <w:tc>
          <w:tcPr/>
          <w:p>
            <w:pPr>
              <w:pStyle w:val="Compact"/>
              <w:jc w:val="right"/>
            </w:pPr>
            <w:r>
              <w:t xml:space="preserve">5</w:t>
            </w:r>
          </w:p>
        </w:tc>
        <w:tc>
          <w:tcPr/>
          <w:p>
            <w:pPr>
              <w:pStyle w:val="Compact"/>
            </w:pPr>
            <w:r>
              <w:rPr>
                <w:rFonts w:hint="eastAsia"/>
              </w:rPr>
              <w:t xml:space="preserve">泸州老窖</w:t>
            </w:r>
          </w:p>
        </w:tc>
        <w:tc>
          <w:tcPr/>
          <w:p>
            <w:pPr>
              <w:pStyle w:val="Compact"/>
              <w:jc w:val="right"/>
            </w:pPr>
            <w:r>
              <w:t xml:space="preserve">000568</w:t>
            </w:r>
          </w:p>
        </w:tc>
        <w:tc>
          <w:tcPr/>
          <w:p>
            <w:pPr>
              <w:pStyle w:val="Compact"/>
              <w:jc w:val="right"/>
            </w:pPr>
            <w:r>
              <w:rPr>
                <w:rFonts w:hint="eastAsia"/>
              </w:rPr>
              <w:t xml:space="preserve">+5.15亿元</w:t>
            </w: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rFonts w:hint="eastAsia"/>
              </w:rPr>
              <w:t xml:space="preserve">排名</w:t>
            </w:r>
          </w:p>
        </w:tc>
        <w:tc>
          <w:tcPr/>
          <w:p>
            <w:pPr>
              <w:pStyle w:val="Compact"/>
            </w:pPr>
            <w:r>
              <w:rPr>
                <w:rFonts w:hint="eastAsia"/>
              </w:rPr>
              <w:t xml:space="preserve">股票</w:t>
            </w:r>
          </w:p>
        </w:tc>
        <w:tc>
          <w:tcPr/>
          <w:p>
            <w:pPr>
              <w:pStyle w:val="Compact"/>
              <w:jc w:val="right"/>
            </w:pPr>
            <w:r>
              <w:rPr>
                <w:rFonts w:hint="eastAsia"/>
              </w:rPr>
              <w:t xml:space="preserve">代码</w:t>
            </w:r>
          </w:p>
        </w:tc>
        <w:tc>
          <w:tcPr/>
          <w:p>
            <w:pPr>
              <w:pStyle w:val="Compact"/>
              <w:jc w:val="right"/>
            </w:pPr>
            <w:r>
              <w:rPr>
                <w:rFonts w:hint="eastAsia"/>
              </w:rPr>
              <w:t xml:space="preserve">上一交易日主力净流入</w:t>
            </w:r>
          </w:p>
        </w:tc>
      </w:tr>
      <w:tr>
        <w:tc>
          <w:tcPr/>
          <w:p>
            <w:pPr>
              <w:pStyle w:val="Compact"/>
              <w:jc w:val="right"/>
            </w:pPr>
            <w:r>
              <w:t xml:space="preserve">6</w:t>
            </w:r>
          </w:p>
        </w:tc>
        <w:tc>
          <w:tcPr/>
          <w:p>
            <w:pPr>
              <w:pStyle w:val="Compact"/>
            </w:pPr>
            <w:r>
              <w:rPr>
                <w:rFonts w:hint="eastAsia"/>
              </w:rPr>
              <w:t xml:space="preserve">宏昌电子</w:t>
            </w:r>
          </w:p>
        </w:tc>
        <w:tc>
          <w:tcPr/>
          <w:p>
            <w:pPr>
              <w:pStyle w:val="Compact"/>
              <w:jc w:val="right"/>
            </w:pPr>
            <w:r>
              <w:t xml:space="preserve">603002</w:t>
            </w:r>
          </w:p>
        </w:tc>
        <w:tc>
          <w:tcPr/>
          <w:p>
            <w:pPr>
              <w:pStyle w:val="Compact"/>
              <w:jc w:val="right"/>
            </w:pPr>
            <w:r>
              <w:rPr>
                <w:rFonts w:hint="eastAsia"/>
              </w:rPr>
              <w:t xml:space="preserve">+3.82亿元</w:t>
            </w:r>
          </w:p>
        </w:tc>
      </w:tr>
      <w:tr>
        <w:tc>
          <w:tcPr/>
          <w:p>
            <w:pPr>
              <w:pStyle w:val="Compact"/>
              <w:jc w:val="right"/>
            </w:pPr>
            <w:r>
              <w:t xml:space="preserve">7</w:t>
            </w:r>
          </w:p>
        </w:tc>
        <w:tc>
          <w:tcPr/>
          <w:p>
            <w:pPr>
              <w:pStyle w:val="Compact"/>
            </w:pPr>
            <w:r>
              <w:rPr>
                <w:rFonts w:hint="eastAsia"/>
              </w:rPr>
              <w:t xml:space="preserve">君正股份</w:t>
            </w:r>
          </w:p>
        </w:tc>
        <w:tc>
          <w:tcPr/>
          <w:p>
            <w:pPr>
              <w:pStyle w:val="Compact"/>
              <w:jc w:val="right"/>
            </w:pPr>
            <w:r>
              <w:t xml:space="preserve">300223</w:t>
            </w:r>
          </w:p>
        </w:tc>
        <w:tc>
          <w:tcPr/>
          <w:p>
            <w:pPr>
              <w:pStyle w:val="Compact"/>
              <w:jc w:val="right"/>
            </w:pPr>
            <w:r>
              <w:rPr>
                <w:rFonts w:hint="eastAsia"/>
              </w:rPr>
              <w:t xml:space="preserve">+3.80亿元</w:t>
            </w:r>
          </w:p>
        </w:tc>
      </w:tr>
      <w:tr>
        <w:tc>
          <w:tcPr/>
          <w:p>
            <w:pPr>
              <w:pStyle w:val="Compact"/>
              <w:jc w:val="right"/>
            </w:pPr>
            <w:r>
              <w:t xml:space="preserve">8</w:t>
            </w:r>
          </w:p>
        </w:tc>
        <w:tc>
          <w:tcPr/>
          <w:p>
            <w:pPr>
              <w:pStyle w:val="Compact"/>
            </w:pPr>
            <w:r>
              <w:rPr>
                <w:rFonts w:hint="eastAsia"/>
              </w:rPr>
              <w:t xml:space="preserve">巨轮智能</w:t>
            </w:r>
          </w:p>
        </w:tc>
        <w:tc>
          <w:tcPr/>
          <w:p>
            <w:pPr>
              <w:pStyle w:val="Compact"/>
              <w:jc w:val="right"/>
            </w:pPr>
            <w:r>
              <w:t xml:space="preserve">002031</w:t>
            </w:r>
          </w:p>
        </w:tc>
        <w:tc>
          <w:tcPr/>
          <w:p>
            <w:pPr>
              <w:pStyle w:val="Compact"/>
              <w:jc w:val="right"/>
            </w:pPr>
            <w:r>
              <w:rPr>
                <w:rFonts w:hint="eastAsia"/>
              </w:rPr>
              <w:t xml:space="preserve">+3.30亿元</w:t>
            </w:r>
          </w:p>
        </w:tc>
      </w:tr>
      <w:tr>
        <w:tc>
          <w:tcPr/>
          <w:p>
            <w:pPr>
              <w:pStyle w:val="Compact"/>
              <w:jc w:val="right"/>
            </w:pPr>
            <w:r>
              <w:t xml:space="preserve">9</w:t>
            </w:r>
          </w:p>
        </w:tc>
        <w:tc>
          <w:tcPr/>
          <w:p>
            <w:pPr>
              <w:pStyle w:val="Compact"/>
            </w:pPr>
            <w:r>
              <w:rPr>
                <w:rFonts w:hint="eastAsia"/>
              </w:rPr>
              <w:t xml:space="preserve">中国石化</w:t>
            </w:r>
          </w:p>
        </w:tc>
        <w:tc>
          <w:tcPr/>
          <w:p>
            <w:pPr>
              <w:pStyle w:val="Compact"/>
              <w:jc w:val="right"/>
            </w:pPr>
            <w:r>
              <w:t xml:space="preserve">600028</w:t>
            </w:r>
          </w:p>
        </w:tc>
        <w:tc>
          <w:tcPr/>
          <w:p>
            <w:pPr>
              <w:pStyle w:val="Compact"/>
              <w:jc w:val="right"/>
            </w:pPr>
            <w:r>
              <w:rPr>
                <w:rFonts w:hint="eastAsia"/>
              </w:rPr>
              <w:t xml:space="preserve">+3.26亿元</w:t>
            </w:r>
          </w:p>
        </w:tc>
      </w:tr>
      <w:tr>
        <w:tc>
          <w:tcPr/>
          <w:p>
            <w:pPr>
              <w:pStyle w:val="Compact"/>
              <w:jc w:val="right"/>
            </w:pPr>
            <w:r>
              <w:t xml:space="preserve">10</w:t>
            </w:r>
          </w:p>
        </w:tc>
        <w:tc>
          <w:tcPr/>
          <w:p>
            <w:pPr>
              <w:pStyle w:val="Compact"/>
            </w:pPr>
            <w:r>
              <w:rPr>
                <w:rFonts w:hint="eastAsia"/>
              </w:rPr>
              <w:t xml:space="preserve">天洋新材</w:t>
            </w:r>
          </w:p>
        </w:tc>
        <w:tc>
          <w:tcPr/>
          <w:p>
            <w:pPr>
              <w:pStyle w:val="Compact"/>
              <w:jc w:val="right"/>
            </w:pPr>
            <w:r>
              <w:t xml:space="preserve">603330</w:t>
            </w:r>
          </w:p>
        </w:tc>
        <w:tc>
          <w:tcPr/>
          <w:p>
            <w:pPr>
              <w:pStyle w:val="Compact"/>
              <w:jc w:val="right"/>
            </w:pPr>
            <w:r>
              <w:rPr>
                <w:rFonts w:hint="eastAsia"/>
              </w:rPr>
              <w:t xml:space="preserve">+3.22亿元</w:t>
            </w:r>
          </w:p>
        </w:tc>
      </w:tr>
    </w:tbl>
    <w:p>
      <w:r>
        <w:pict>
          <v:rect style="width:0;height:1.5pt" o:hralign="center" o:hrstd="t" o:hr="t"/>
        </w:pict>
      </w:r>
    </w:p>
    <w:bookmarkEnd w:id="31"/>
    <w:bookmarkEnd w:id="32"/>
    <w:bookmarkStart w:id="38" w:name="两融宽基etf成交额恐慌联合信号"/>
    <w:p>
      <w:pPr>
        <w:pStyle w:val="Heading2"/>
      </w:pPr>
      <w:r>
        <w:t xml:space="preserve">💧 </w:t>
      </w:r>
      <w:r>
        <w:rPr>
          <w:rFonts w:hint="eastAsia"/>
        </w:rPr>
        <w:t xml:space="preserve">两融·宽基ETF·成交额·恐慌联合信号</w:t>
      </w:r>
    </w:p>
    <w:bookmarkStart w:id="33" w:name="两融余额"/>
    <w:p>
      <w:pPr>
        <w:pStyle w:val="Heading3"/>
      </w:pPr>
      <w:r>
        <w:t xml:space="preserve">💧 </w:t>
      </w:r>
      <w:r>
        <w:rPr>
          <w:rFonts w:hint="eastAsia"/>
        </w:rPr>
        <w:t xml:space="preserve">两融余额</w:t>
      </w:r>
    </w:p>
    <w:p>
      <w:pPr>
        <w:pStyle w:val="FirstParagraph"/>
      </w:pPr>
      <w:r>
        <w:rPr>
          <w:rFonts w:hint="eastAsia"/>
        </w:rPr>
        <w:t xml:space="preserve">最新实际结算日为2026-10-29，前一结算日为2026-10-28。</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指标</w:t>
            </w:r>
          </w:p>
        </w:tc>
        <w:tc>
          <w:tcPr/>
          <w:p>
            <w:pPr>
              <w:pStyle w:val="Compact"/>
              <w:jc w:val="right"/>
            </w:pPr>
            <w:r>
              <w:t xml:space="preserve">2026-10-29</w:t>
            </w:r>
          </w:p>
        </w:tc>
        <w:tc>
          <w:tcPr/>
          <w:p>
            <w:pPr>
              <w:pStyle w:val="Compact"/>
              <w:jc w:val="right"/>
            </w:pPr>
            <w:r>
              <w:t xml:space="preserve">2026-10-28</w:t>
            </w:r>
          </w:p>
        </w:tc>
        <w:tc>
          <w:tcPr/>
          <w:p>
            <w:pPr>
              <w:pStyle w:val="Compact"/>
              <w:jc w:val="right"/>
            </w:pPr>
            <w:r>
              <w:rPr>
                <w:rFonts w:hint="eastAsia"/>
              </w:rPr>
              <w:t xml:space="preserve">变化</w:t>
            </w:r>
          </w:p>
        </w:tc>
      </w:tr>
      <w:tr>
        <w:tc>
          <w:tcPr/>
          <w:p>
            <w:pPr>
              <w:pStyle w:val="Compact"/>
            </w:pPr>
            <w:r>
              <w:rPr>
                <w:rFonts w:hint="eastAsia"/>
              </w:rPr>
              <w:t xml:space="preserve">两融余额</w:t>
            </w:r>
          </w:p>
        </w:tc>
        <w:tc>
          <w:tcPr/>
          <w:p>
            <w:pPr>
              <w:pStyle w:val="Compact"/>
              <w:jc w:val="right"/>
            </w:pPr>
            <w:r>
              <w:rPr>
                <w:rFonts w:hint="eastAsia"/>
              </w:rPr>
              <w:t xml:space="preserve">23849.61亿元</w:t>
            </w:r>
          </w:p>
        </w:tc>
        <w:tc>
          <w:tcPr/>
          <w:p>
            <w:pPr>
              <w:pStyle w:val="Compact"/>
              <w:jc w:val="right"/>
            </w:pPr>
            <w:r>
              <w:rPr>
                <w:rFonts w:hint="eastAsia"/>
              </w:rPr>
              <w:t xml:space="preserve">24120.41亿元</w:t>
            </w:r>
          </w:p>
        </w:tc>
        <w:tc>
          <w:tcPr/>
          <w:p>
            <w:pPr>
              <w:pStyle w:val="Compact"/>
              <w:jc w:val="right"/>
            </w:pPr>
            <w:r>
              <w:rPr>
                <w:rFonts w:hint="eastAsia"/>
              </w:rPr>
              <w:t xml:space="preserve">-270.81亿元</w:t>
            </w:r>
          </w:p>
        </w:tc>
      </w:tr>
      <w:tr>
        <w:tc>
          <w:tcPr/>
          <w:p>
            <w:pPr>
              <w:pStyle w:val="Compact"/>
            </w:pPr>
            <w:r>
              <w:rPr>
                <w:rFonts w:hint="eastAsia"/>
              </w:rPr>
              <w:t xml:space="preserve">融资余额</w:t>
            </w:r>
          </w:p>
        </w:tc>
        <w:tc>
          <w:tcPr/>
          <w:p>
            <w:pPr>
              <w:pStyle w:val="Compact"/>
              <w:jc w:val="right"/>
            </w:pPr>
            <w:r>
              <w:rPr>
                <w:rFonts w:hint="eastAsia"/>
              </w:rPr>
              <w:t xml:space="preserve">23567.38亿元</w:t>
            </w:r>
          </w:p>
        </w:tc>
        <w:tc>
          <w:tcPr/>
          <w:p>
            <w:pPr>
              <w:pStyle w:val="Compact"/>
              <w:jc w:val="right"/>
            </w:pPr>
            <w:r>
              <w:rPr>
                <w:rFonts w:hint="eastAsia"/>
              </w:rPr>
              <w:t xml:space="preserve">23830.19亿元</w:t>
            </w:r>
          </w:p>
        </w:tc>
        <w:tc>
          <w:tcPr/>
          <w:p>
            <w:pPr>
              <w:pStyle w:val="Compact"/>
              <w:jc w:val="right"/>
            </w:pPr>
            <w:r>
              <w:rPr>
                <w:rFonts w:hint="eastAsia"/>
              </w:rPr>
              <w:t xml:space="preserve">-262.80亿元</w:t>
            </w:r>
          </w:p>
        </w:tc>
      </w:tr>
      <w:tr>
        <w:tc>
          <w:tcPr/>
          <w:p>
            <w:pPr>
              <w:pStyle w:val="Compact"/>
            </w:pPr>
            <w:r>
              <w:rPr>
                <w:rFonts w:hint="eastAsia"/>
              </w:rPr>
              <w:t xml:space="preserve">融券余额</w:t>
            </w:r>
          </w:p>
        </w:tc>
        <w:tc>
          <w:tcPr/>
          <w:p>
            <w:pPr>
              <w:pStyle w:val="Compact"/>
              <w:jc w:val="right"/>
            </w:pPr>
            <w:r>
              <w:rPr>
                <w:rFonts w:hint="eastAsia"/>
              </w:rPr>
              <w:t xml:space="preserve">282.23亿元</w:t>
            </w:r>
          </w:p>
        </w:tc>
        <w:tc>
          <w:tcPr/>
          <w:p>
            <w:pPr>
              <w:pStyle w:val="Compact"/>
              <w:jc w:val="right"/>
            </w:pPr>
            <w:r>
              <w:rPr>
                <w:rFonts w:hint="eastAsia"/>
              </w:rPr>
              <w:t xml:space="preserve">290.23亿元</w:t>
            </w:r>
          </w:p>
        </w:tc>
        <w:tc>
          <w:tcPr/>
          <w:p>
            <w:pPr>
              <w:pStyle w:val="Compact"/>
              <w:jc w:val="right"/>
            </w:pPr>
            <w:r>
              <w:rPr>
                <w:rFonts w:hint="eastAsia"/>
              </w:rPr>
              <w:t xml:space="preserve">-8.00亿元</w:t>
            </w:r>
          </w:p>
        </w:tc>
      </w:tr>
    </w:tbl>
    <w:p>
      <w:pPr>
        <w:pStyle w:val="Compact"/>
        <w:numPr>
          <w:ilvl w:val="0"/>
          <w:numId w:val="1011"/>
        </w:numPr>
      </w:pPr>
      <w:r>
        <w:rPr>
          <w:rFonts w:hint="eastAsia"/>
        </w:rPr>
        <w:t xml:space="preserve">两融余额下降270.81亿元，降幅1.1227%。</w:t>
      </w:r>
    </w:p>
    <w:p>
      <w:pPr>
        <w:pStyle w:val="Compact"/>
        <w:numPr>
          <w:ilvl w:val="0"/>
          <w:numId w:val="1011"/>
        </w:numPr>
      </w:pPr>
      <w:r>
        <w:rPr>
          <w:rFonts w:hint="eastAsia"/>
        </w:rPr>
        <w:t xml:space="preserve">本轮下降主要由融资余额减少262.80亿元驱动，反映杠杆多头风险偏好收缩；融券余额同步减少8.00亿元。</w:t>
      </w:r>
    </w:p>
    <w:p>
      <w:pPr>
        <w:pStyle w:val="Compact"/>
        <w:numPr>
          <w:ilvl w:val="0"/>
          <w:numId w:val="1011"/>
        </w:numPr>
      </w:pPr>
      <w:r>
        <w:rPr>
          <w:rFonts w:hint="eastAsia"/>
          <w:b/>
          <w:bCs/>
        </w:rPr>
        <w:t xml:space="preserve">T+1滞后，报告日当日两融尚未发布</w:t>
      </w:r>
      <w:r>
        <w:rPr>
          <w:rFonts w:hint="eastAsia"/>
        </w:rPr>
        <w:t xml:space="preserve">。实际结算日早于报告日，不能写成“今日两融减少”。</w:t>
      </w:r>
    </w:p>
    <w:bookmarkEnd w:id="33"/>
    <w:bookmarkStart w:id="34" w:name="宽基etf份额"/>
    <w:p>
      <w:pPr>
        <w:pStyle w:val="Heading3"/>
      </w:pPr>
      <w:r>
        <w:t xml:space="preserve">💧 </w:t>
      </w:r>
      <w:r>
        <w:rPr>
          <w:rFonts w:hint="eastAsia"/>
        </w:rPr>
        <w:t xml:space="preserve">宽基ETF份额</w:t>
      </w:r>
    </w:p>
    <w:p>
      <w:pPr>
        <w:pStyle w:val="Compact"/>
        <w:numPr>
          <w:ilvl w:val="0"/>
          <w:numId w:val="1012"/>
        </w:numPr>
      </w:pPr>
      <w:r>
        <w:rPr>
          <w:rStyle w:val="VerbatimChar"/>
        </w:rPr>
        <w:t xml:space="preserve">sources.broad_etf_flow</w:t>
      </w:r>
      <w:r>
        <w:rPr>
          <w:rFonts w:hint="eastAsia"/>
        </w:rPr>
        <w:t xml:space="preserve">运行90秒后超时，没有取得宽基ETF最新份额变化、估算净申购及连续流入序列。</w:t>
      </w:r>
    </w:p>
    <w:p>
      <w:pPr>
        <w:pStyle w:val="Compact"/>
        <w:numPr>
          <w:ilvl w:val="0"/>
          <w:numId w:val="1012"/>
        </w:numPr>
      </w:pPr>
      <w:r>
        <w:rPr>
          <w:rFonts w:hint="eastAsia"/>
        </w:rPr>
        <w:t xml:space="preserve">华泰ETF查询只返回科创新材料ETF南方（588160）2026-10-30净申购443.28万元，该标的不是宽基ETF，不能替代沪深300、科创50等宽基资金判断。</w:t>
      </w:r>
    </w:p>
    <w:p>
      <w:pPr>
        <w:pStyle w:val="Compact"/>
        <w:numPr>
          <w:ilvl w:val="0"/>
          <w:numId w:val="1012"/>
        </w:numPr>
      </w:pPr>
      <w:r>
        <w:rPr>
          <w:rFonts w:hint="eastAsia"/>
        </w:rPr>
        <w:t xml:space="preserve">本节不估算宽基ETF份额变化，也不将固定ETF行情池的成交额误写为净申购金额。</w:t>
      </w:r>
    </w:p>
    <w:bookmarkEnd w:id="34"/>
    <w:bookmarkStart w:id="35" w:name="成交额"/>
    <w:p>
      <w:pPr>
        <w:pStyle w:val="Heading3"/>
      </w:pPr>
      <w:r>
        <w:t xml:space="preserve">💧 </w:t>
      </w:r>
      <w:r>
        <w:rPr>
          <w:rFonts w:hint="eastAsia"/>
        </w:rPr>
        <w:t xml:space="preserve">成交额</w:t>
      </w:r>
    </w:p>
    <w:p>
      <w:pPr>
        <w:pStyle w:val="Compact"/>
        <w:numPr>
          <w:ilvl w:val="0"/>
          <w:numId w:val="1013"/>
        </w:numPr>
      </w:pPr>
      <w:r>
        <w:rPr>
          <w:rFonts w:hint="eastAsia"/>
        </w:rPr>
        <w:t xml:space="preserve">2026-10-30全市场成交额16877.07亿元。</w:t>
      </w:r>
    </w:p>
    <w:p>
      <w:pPr>
        <w:pStyle w:val="Compact"/>
        <w:numPr>
          <w:ilvl w:val="0"/>
          <w:numId w:val="1013"/>
        </w:numPr>
      </w:pPr>
      <w:r>
        <w:rPr>
          <w:rFonts w:hint="eastAsia"/>
        </w:rPr>
        <w:t xml:space="preserve">前一交易日成交额15707.04亿元，增加1170.03亿元，增幅7.45%。</w:t>
      </w:r>
    </w:p>
    <w:p>
      <w:pPr>
        <w:pStyle w:val="Compact"/>
        <w:numPr>
          <w:ilvl w:val="0"/>
          <w:numId w:val="1013"/>
        </w:numPr>
      </w:pPr>
      <w:r>
        <w:rPr>
          <w:rFonts w:hint="eastAsia"/>
        </w:rPr>
        <w:t xml:space="preserve">成交额显著增加，但市场广度偏弱、科技核心股放量下跌，成交质量更接近风险释放而非普遍增量做多。</w:t>
      </w:r>
    </w:p>
    <w:bookmarkEnd w:id="35"/>
    <w:bookmarkStart w:id="36" w:name="恐慌代理"/>
    <w:p>
      <w:pPr>
        <w:pStyle w:val="Heading3"/>
      </w:pPr>
      <w:r>
        <w:t xml:space="preserve">💧 </w:t>
      </w:r>
      <w:r>
        <w:rPr>
          <w:rFonts w:hint="eastAsia"/>
        </w:rPr>
        <w:t xml:space="preserve">恐慌代理</w:t>
      </w:r>
    </w:p>
    <w:p>
      <w:pPr>
        <w:pStyle w:val="Compact"/>
        <w:numPr>
          <w:ilvl w:val="0"/>
          <w:numId w:val="1014"/>
        </w:numPr>
      </w:pPr>
      <w:r>
        <w:rPr>
          <w:rStyle w:val="VerbatimChar"/>
        </w:rPr>
        <w:t xml:space="preserve">sources.panic_proxy</w:t>
      </w:r>
      <w:r>
        <w:rPr>
          <w:rFonts w:hint="eastAsia"/>
        </w:rPr>
        <w:t xml:space="preserve">运行30秒后超时，300ETF</w:t>
      </w:r>
      <w:r>
        <w:t xml:space="preserve"> </w:t>
      </w:r>
      <w:r>
        <w:rPr>
          <w:rFonts w:hint="eastAsia"/>
        </w:rPr>
        <w:t xml:space="preserve">QVIX最新结算值、前收盘及相对20日峰值回落幅度均未取得。</w:t>
      </w:r>
    </w:p>
    <w:p>
      <w:pPr>
        <w:pStyle w:val="Compact"/>
        <w:numPr>
          <w:ilvl w:val="0"/>
          <w:numId w:val="1014"/>
        </w:numPr>
      </w:pPr>
      <w:r>
        <w:rPr>
          <w:rFonts w:hint="eastAsia"/>
        </w:rPr>
        <w:t xml:space="preserve">不对QVIX数值作估算，不用黄金、指数跌幅或跌停家数替代正式恐慌代理。</w:t>
      </w:r>
    </w:p>
    <w:bookmarkEnd w:id="36"/>
    <w:bookmarkStart w:id="37" w:name="联合信号结论"/>
    <w:p>
      <w:pPr>
        <w:pStyle w:val="Heading3"/>
      </w:pPr>
      <w:r>
        <w:t xml:space="preserve">⚠️ </w:t>
      </w:r>
      <w:r>
        <w:rPr>
          <w:rFonts w:hint="eastAsia"/>
        </w:rPr>
        <w:t xml:space="preserve">联合信号结论</w:t>
      </w:r>
    </w:p>
    <w:p>
      <w:pPr>
        <w:pStyle w:val="FirstParagraph"/>
      </w:pPr>
      <w:r>
        <w:rPr>
          <w:rStyle w:val="VerbatimChar"/>
        </w:rPr>
        <w:t xml:space="preserve">derived.liquidity_panic_signal.status = insufficient_data</w:t>
      </w:r>
      <w:r>
        <w:t xml:space="preserve">。</w:t>
      </w:r>
    </w:p>
    <w:p>
      <w:pPr>
        <w:pStyle w:val="Compact"/>
        <w:numPr>
          <w:ilvl w:val="0"/>
          <w:numId w:val="1015"/>
        </w:numPr>
      </w:pPr>
      <w:r>
        <w:rPr>
          <w:rFonts w:hint="eastAsia"/>
          <w:b/>
          <w:bCs/>
        </w:rPr>
        <w:t xml:space="preserve">联合信号数据不足，结论不可判定。</w:t>
      </w:r>
    </w:p>
    <w:p>
      <w:pPr>
        <w:pStyle w:val="Compact"/>
        <w:numPr>
          <w:ilvl w:val="0"/>
          <w:numId w:val="1015"/>
        </w:numPr>
      </w:pPr>
      <w:r>
        <w:rPr>
          <w:rFonts w:hint="eastAsia"/>
        </w:rPr>
        <w:t xml:space="preserve">宽基ETF连续流入和QVIX高位回落两个必要条件均缺少正式数据，因此不纳入确认。</w:t>
      </w:r>
    </w:p>
    <w:p>
      <w:pPr>
        <w:pStyle w:val="Compact"/>
        <w:numPr>
          <w:ilvl w:val="0"/>
          <w:numId w:val="1015"/>
        </w:numPr>
      </w:pPr>
      <w:r>
        <w:rPr>
          <w:rFonts w:hint="eastAsia"/>
        </w:rPr>
        <w:t xml:space="preserve">两融下降由融资端主导，与风险偏好回升并不一致；盘前仓位必须保留现金缓冲。</w:t>
      </w:r>
    </w:p>
    <w:p>
      <w:r>
        <w:pict>
          <v:rect style="width:0;height:1.5pt" o:hralign="center" o:hrstd="t" o:hr="t"/>
        </w:pict>
      </w:r>
    </w:p>
    <w:bookmarkEnd w:id="37"/>
    <w:bookmarkEnd w:id="38"/>
    <w:bookmarkStart w:id="42" w:name="行为金融与重点股质量"/>
    <w:p>
      <w:pPr>
        <w:pStyle w:val="Heading2"/>
      </w:pPr>
      <w:r>
        <w:t xml:space="preserve">🧠 </w:t>
      </w:r>
      <w:r>
        <w:rPr>
          <w:rFonts w:hint="eastAsia"/>
        </w:rPr>
        <w:t xml:space="preserve">行为金融与重点股质量</w:t>
      </w:r>
    </w:p>
    <w:bookmarkStart w:id="39" w:name="行为金融信号"/>
    <w:p>
      <w:pPr>
        <w:pStyle w:val="Heading3"/>
      </w:pPr>
      <w:r>
        <w:t xml:space="preserve">🧠 </w:t>
      </w:r>
      <w:r>
        <w:rPr>
          <w:rFonts w:hint="eastAsia"/>
        </w:rPr>
        <w:t xml:space="preserve">行为金融信号</w:t>
      </w:r>
    </w:p>
    <w:p>
      <w:pPr>
        <w:pStyle w:val="FirstParagraph"/>
      </w:pPr>
      <w:r>
        <w:rPr>
          <w:rStyle w:val="VerbatimChar"/>
        </w:rPr>
        <w:t xml:space="preserve">derived.behavioral_finance_signals</w:t>
      </w:r>
      <w:r>
        <w:rPr>
          <w:rFonts w:hint="eastAsia"/>
        </w:rPr>
        <w:t xml:space="preserve">输出：</w:t>
      </w:r>
    </w:p>
    <w:p>
      <w:pPr>
        <w:pStyle w:val="Compact"/>
        <w:numPr>
          <w:ilvl w:val="0"/>
          <w:numId w:val="1016"/>
        </w:numPr>
      </w:pPr>
      <w:r>
        <w:rPr>
          <w:rFonts w:hint="eastAsia"/>
          <w:b/>
          <w:bCs/>
        </w:rPr>
        <w:t xml:space="preserve">确认信号</w:t>
      </w:r>
      <w:r>
        <w:rPr>
          <w:rFonts w:hint="eastAsia"/>
        </w:rPr>
        <w:t xml:space="preserve">：亏损厌恶扩散。</w:t>
      </w:r>
    </w:p>
    <w:p>
      <w:pPr>
        <w:pStyle w:val="Compact"/>
        <w:numPr>
          <w:ilvl w:val="0"/>
          <w:numId w:val="1016"/>
        </w:numPr>
      </w:pPr>
      <w:r>
        <w:rPr>
          <w:rFonts w:hint="eastAsia"/>
          <w:b/>
          <w:bCs/>
        </w:rPr>
        <w:t xml:space="preserve">等级</w:t>
      </w:r>
      <w:r>
        <w:rPr>
          <w:rFonts w:hint="eastAsia"/>
        </w:rPr>
        <w:t xml:space="preserve">：中等。</w:t>
      </w:r>
    </w:p>
    <w:p>
      <w:pPr>
        <w:pStyle w:val="Compact"/>
        <w:numPr>
          <w:ilvl w:val="0"/>
          <w:numId w:val="1016"/>
        </w:numPr>
      </w:pPr>
      <w:r>
        <w:rPr>
          <w:rFonts w:hint="eastAsia"/>
          <w:b/>
          <w:bCs/>
        </w:rPr>
        <w:t xml:space="preserve">证据</w:t>
      </w:r>
      <w:r>
        <w:rPr>
          <w:rFonts w:hint="eastAsia"/>
        </w:rPr>
        <w:t xml:space="preserve">：涨跌比0.194，上一交易日跌停86只。</w:t>
      </w:r>
    </w:p>
    <w:p>
      <w:pPr>
        <w:pStyle w:val="Compact"/>
        <w:numPr>
          <w:ilvl w:val="0"/>
          <w:numId w:val="1016"/>
        </w:numPr>
      </w:pPr>
      <w:r>
        <w:rPr>
          <w:rFonts w:hint="eastAsia"/>
          <w:b/>
          <w:bCs/>
        </w:rPr>
        <w:t xml:space="preserve">成交背景</w:t>
      </w:r>
      <w:r>
        <w:rPr>
          <w:rFonts w:hint="eastAsia"/>
        </w:rPr>
        <w:t xml:space="preserve">：成交额增加7.45%，但下跌家数4602只，放量没有改善市场广度。</w:t>
      </w:r>
    </w:p>
    <w:p>
      <w:pPr>
        <w:pStyle w:val="Compact"/>
        <w:numPr>
          <w:ilvl w:val="0"/>
          <w:numId w:val="1016"/>
        </w:numPr>
      </w:pPr>
      <w:r>
        <w:rPr>
          <w:rFonts w:hint="eastAsia"/>
        </w:rPr>
        <w:t xml:space="preserve">模块没有输出FOMO追涨、高位分歧或估值/换手拥挤信号，因此不自行增加这些标签。</w:t>
      </w:r>
    </w:p>
    <w:bookmarkEnd w:id="39"/>
    <w:bookmarkStart w:id="40" w:name="重点股估值与业绩质量"/>
    <w:p>
      <w:pPr>
        <w:pStyle w:val="Heading3"/>
      </w:pPr>
      <w:r>
        <w:t xml:space="preserve">📊 </w:t>
      </w:r>
      <w:r>
        <w:rPr>
          <w:rFonts w:hint="eastAsia"/>
        </w:rPr>
        <w:t xml:space="preserve">重点股估值与业绩质量</w:t>
      </w:r>
    </w:p>
    <w:p>
      <w:pPr>
        <w:pStyle w:val="FirstParagraph"/>
      </w:pPr>
      <w:r>
        <w:rPr>
          <w:rFonts w:hint="eastAsia"/>
        </w:rPr>
        <w:t xml:space="preserve">以下数据来自东方财富妙想mx-data，行情日期为2026-10-30，财务口径为2026年三季报。</w:t>
      </w:r>
    </w:p>
    <w:tbl>
      <w:tblPr>
        <w:tblStyle w:val="Table"/>
        <w:tblW w:type="pct" w:w="5000"/>
        <w:tblLayout w:type="fixed"/>
        <w:tblLook w:firstRow="1" w:lastRow="0" w:firstColumn="0" w:lastColumn="0" w:noHBand="0" w:noVBand="0" w:val="0020"/>
      </w:tblPr>
      <w:tblGrid>
        <w:gridCol w:w="1033"/>
        <w:gridCol w:w="1377"/>
        <w:gridCol w:w="1377"/>
        <w:gridCol w:w="1377"/>
        <w:gridCol w:w="1377"/>
        <w:gridCol w:w="1377"/>
      </w:tblGrid>
      <w:tr>
        <w:trPr>
          <w:tblHeader w:val="on"/>
        </w:trPr>
        <w:tc>
          <w:tcPr/>
          <w:p>
            <w:pPr>
              <w:pStyle w:val="Compact"/>
            </w:pPr>
            <w:r>
              <w:rPr>
                <w:rFonts w:hint="eastAsia"/>
              </w:rPr>
              <w:t xml:space="preserve">股票</w:t>
            </w:r>
          </w:p>
        </w:tc>
        <w:tc>
          <w:tcPr/>
          <w:p>
            <w:pPr>
              <w:pStyle w:val="Compact"/>
              <w:jc w:val="right"/>
            </w:pPr>
            <w:r>
              <w:rPr>
                <w:rFonts w:hint="eastAsia"/>
              </w:rPr>
              <w:t xml:space="preserve">总市值</w:t>
            </w:r>
          </w:p>
        </w:tc>
        <w:tc>
          <w:tcPr/>
          <w:p>
            <w:pPr>
              <w:pStyle w:val="Compact"/>
              <w:jc w:val="right"/>
            </w:pPr>
            <w:r>
              <w:t xml:space="preserve">PE / PB</w:t>
            </w:r>
          </w:p>
        </w:tc>
        <w:tc>
          <w:tcPr/>
          <w:p>
            <w:pPr>
              <w:pStyle w:val="Compact"/>
              <w:jc w:val="right"/>
            </w:pPr>
            <w:r>
              <w:rPr>
                <w:rFonts w:hint="eastAsia"/>
              </w:rPr>
              <w:t xml:space="preserve">换手率</w:t>
            </w:r>
          </w:p>
        </w:tc>
        <w:tc>
          <w:tcPr/>
          <w:p>
            <w:pPr>
              <w:pStyle w:val="Compact"/>
              <w:jc w:val="right"/>
            </w:pPr>
            <w:r>
              <w:rPr>
                <w:rFonts w:hint="eastAsia"/>
              </w:rPr>
              <w:t xml:space="preserve">营收同比</w:t>
            </w:r>
            <w:r>
              <w:t xml:space="preserve"> / </w:t>
            </w:r>
            <w:r>
              <w:rPr>
                <w:rFonts w:hint="eastAsia"/>
              </w:rPr>
              <w:t xml:space="preserve">净利润同比</w:t>
            </w:r>
          </w:p>
        </w:tc>
        <w:tc>
          <w:tcPr/>
          <w:p>
            <w:pPr>
              <w:pStyle w:val="Compact"/>
              <w:jc w:val="right"/>
            </w:pPr>
            <w:r>
              <w:t xml:space="preserve">ROE</w:t>
            </w:r>
          </w:p>
        </w:tc>
      </w:tr>
      <w:tr>
        <w:tc>
          <w:tcPr/>
          <w:p>
            <w:pPr>
              <w:pStyle w:val="Compact"/>
            </w:pPr>
            <w:r>
              <w:rPr>
                <w:rFonts w:hint="eastAsia"/>
              </w:rPr>
              <w:t xml:space="preserve">新易盛</w:t>
            </w:r>
          </w:p>
        </w:tc>
        <w:tc>
          <w:tcPr/>
          <w:p>
            <w:pPr>
              <w:pStyle w:val="Compact"/>
              <w:jc w:val="right"/>
            </w:pPr>
            <w:r>
              <w:rPr>
                <w:rFonts w:hint="eastAsia"/>
              </w:rPr>
              <w:t xml:space="preserve">2734亿元</w:t>
            </w:r>
          </w:p>
        </w:tc>
        <w:tc>
          <w:tcPr/>
          <w:p>
            <w:pPr>
              <w:pStyle w:val="Compact"/>
              <w:jc w:val="right"/>
            </w:pPr>
            <w:r>
              <w:t xml:space="preserve">18.75 / 9.778</w:t>
            </w:r>
          </w:p>
        </w:tc>
        <w:tc>
          <w:tcPr/>
          <w:p>
            <w:pPr>
              <w:pStyle w:val="Compact"/>
              <w:jc w:val="right"/>
            </w:pPr>
            <w:r>
              <w:t xml:space="preserve">8.451%</w:t>
            </w:r>
          </w:p>
        </w:tc>
        <w:tc>
          <w:tcPr/>
          <w:p>
            <w:pPr>
              <w:pStyle w:val="Compact"/>
              <w:jc w:val="right"/>
            </w:pPr>
            <w:r>
              <w:t xml:space="preserve">+92.97% / +81.24%</w:t>
            </w:r>
          </w:p>
        </w:tc>
        <w:tc>
          <w:tcPr/>
          <w:p>
            <w:pPr>
              <w:pStyle w:val="Compact"/>
              <w:jc w:val="right"/>
            </w:pPr>
            <w:r>
              <w:t xml:space="preserve">49.22%</w:t>
            </w:r>
          </w:p>
        </w:tc>
      </w:tr>
      <w:tr>
        <w:tc>
          <w:tcPr/>
          <w:p>
            <w:pPr>
              <w:pStyle w:val="Compact"/>
            </w:pPr>
            <w:r>
              <w:rPr>
                <w:rFonts w:hint="eastAsia"/>
              </w:rPr>
              <w:t xml:space="preserve">中际旭创</w:t>
            </w:r>
          </w:p>
        </w:tc>
        <w:tc>
          <w:tcPr/>
          <w:p>
            <w:pPr>
              <w:pStyle w:val="Compact"/>
              <w:jc w:val="right"/>
            </w:pPr>
            <w:r>
              <w:rPr>
                <w:rFonts w:hint="eastAsia"/>
              </w:rPr>
              <w:t xml:space="preserve">6514亿元</w:t>
            </w:r>
          </w:p>
        </w:tc>
        <w:tc>
          <w:tcPr/>
          <w:p>
            <w:pPr>
              <w:pStyle w:val="Compact"/>
              <w:jc w:val="right"/>
            </w:pPr>
            <w:r>
              <w:t xml:space="preserve">25.15 / 6.903</w:t>
            </w:r>
          </w:p>
        </w:tc>
        <w:tc>
          <w:tcPr/>
          <w:p>
            <w:pPr>
              <w:pStyle w:val="Compact"/>
              <w:jc w:val="right"/>
            </w:pPr>
            <w:r>
              <w:t xml:space="preserve">3.306%</w:t>
            </w:r>
          </w:p>
        </w:tc>
        <w:tc>
          <w:tcPr/>
          <w:p>
            <w:pPr>
              <w:pStyle w:val="Compact"/>
              <w:jc w:val="right"/>
            </w:pPr>
            <w:r>
              <w:t xml:space="preserve">+178.1% / +218.3%</w:t>
            </w:r>
          </w:p>
        </w:tc>
        <w:tc>
          <w:tcPr/>
          <w:p>
            <w:pPr>
              <w:pStyle w:val="Compact"/>
              <w:jc w:val="right"/>
            </w:pPr>
            <w:r>
              <w:t xml:space="preserve">44.26%</w:t>
            </w:r>
          </w:p>
        </w:tc>
      </w:tr>
      <w:tr>
        <w:tc>
          <w:tcPr/>
          <w:p>
            <w:pPr>
              <w:pStyle w:val="Compact"/>
            </w:pPr>
            <w:r>
              <w:rPr>
                <w:rFonts w:hint="eastAsia"/>
              </w:rPr>
              <w:t xml:space="preserve">长鑫科技</w:t>
            </w:r>
          </w:p>
        </w:tc>
        <w:tc>
          <w:tcPr/>
          <w:p>
            <w:pPr>
              <w:pStyle w:val="Compact"/>
              <w:jc w:val="right"/>
            </w:pPr>
            <w:r>
              <w:rPr>
                <w:rFonts w:hint="eastAsia"/>
              </w:rPr>
              <w:t xml:space="preserve">2.838万亿元</w:t>
            </w:r>
          </w:p>
        </w:tc>
        <w:tc>
          <w:tcPr/>
          <w:p>
            <w:pPr>
              <w:pStyle w:val="Compact"/>
              <w:jc w:val="right"/>
            </w:pPr>
            <w:r>
              <w:t xml:space="preserve">34.68 / 11.05</w:t>
            </w:r>
          </w:p>
        </w:tc>
        <w:tc>
          <w:tcPr/>
          <w:p>
            <w:pPr>
              <w:pStyle w:val="Compact"/>
              <w:jc w:val="right"/>
            </w:pPr>
            <w:r>
              <w:t xml:space="preserve">6.341%</w:t>
            </w:r>
          </w:p>
        </w:tc>
        <w:tc>
          <w:tcPr/>
          <w:p>
            <w:pPr>
              <w:pStyle w:val="Compact"/>
              <w:jc w:val="right"/>
            </w:pPr>
            <w:r>
              <w:t xml:space="preserve">+738.5% / +3386%</w:t>
            </w:r>
          </w:p>
        </w:tc>
        <w:tc>
          <w:tcPr/>
          <w:p>
            <w:pPr>
              <w:pStyle w:val="Compact"/>
              <w:jc w:val="right"/>
            </w:pPr>
            <w:r>
              <w:t xml:space="preserve">96.46%</w:t>
            </w:r>
          </w:p>
        </w:tc>
      </w:tr>
      <w:tr>
        <w:tc>
          <w:tcPr/>
          <w:p>
            <w:pPr>
              <w:pStyle w:val="Compact"/>
            </w:pPr>
            <w:r>
              <w:rPr>
                <w:rFonts w:hint="eastAsia"/>
              </w:rPr>
              <w:t xml:space="preserve">宁德时代</w:t>
            </w:r>
          </w:p>
        </w:tc>
        <w:tc>
          <w:tcPr/>
          <w:p>
            <w:pPr>
              <w:pStyle w:val="Compact"/>
              <w:jc w:val="right"/>
            </w:pPr>
            <w:r>
              <w:rPr>
                <w:rFonts w:hint="eastAsia"/>
              </w:rPr>
              <w:t xml:space="preserve">1.078万亿元</w:t>
            </w:r>
          </w:p>
        </w:tc>
        <w:tc>
          <w:tcPr/>
          <w:p>
            <w:pPr>
              <w:pStyle w:val="Compact"/>
              <w:jc w:val="right"/>
            </w:pPr>
            <w:r>
              <w:t xml:space="preserve">12.29 / 2.786</w:t>
            </w:r>
          </w:p>
        </w:tc>
        <w:tc>
          <w:tcPr/>
          <w:p>
            <w:pPr>
              <w:pStyle w:val="Compact"/>
              <w:jc w:val="right"/>
            </w:pPr>
            <w:r>
              <w:t xml:space="preserve">1.036%</w:t>
            </w:r>
          </w:p>
        </w:tc>
        <w:tc>
          <w:tcPr/>
          <w:p>
            <w:pPr>
              <w:pStyle w:val="Compact"/>
              <w:jc w:val="right"/>
            </w:pPr>
            <w:r>
              <w:t xml:space="preserve">+56.19% / +32.89%</w:t>
            </w:r>
          </w:p>
        </w:tc>
        <w:tc>
          <w:tcPr/>
          <w:p>
            <w:pPr>
              <w:pStyle w:val="Compact"/>
              <w:jc w:val="right"/>
            </w:pPr>
            <w:r>
              <w:t xml:space="preserve">17.64%</w:t>
            </w:r>
          </w:p>
        </w:tc>
      </w:tr>
      <w:tr>
        <w:tc>
          <w:tcPr/>
          <w:p>
            <w:pPr>
              <w:pStyle w:val="Compact"/>
            </w:pPr>
            <w:r>
              <w:rPr>
                <w:rFonts w:hint="eastAsia"/>
              </w:rPr>
              <w:t xml:space="preserve">兆易创新</w:t>
            </w:r>
          </w:p>
        </w:tc>
        <w:tc>
          <w:tcPr/>
          <w:p>
            <w:pPr>
              <w:pStyle w:val="Compact"/>
              <w:jc w:val="right"/>
            </w:pPr>
            <w:r>
              <w:rPr>
                <w:rFonts w:hint="eastAsia"/>
              </w:rPr>
              <w:t xml:space="preserve">1815亿元</w:t>
            </w:r>
          </w:p>
        </w:tc>
        <w:tc>
          <w:tcPr/>
          <w:p>
            <w:pPr>
              <w:pStyle w:val="Compact"/>
              <w:jc w:val="right"/>
            </w:pPr>
            <w:r>
              <w:t xml:space="preserve">15.60 / 2.362</w:t>
            </w:r>
          </w:p>
        </w:tc>
        <w:tc>
          <w:tcPr/>
          <w:p>
            <w:pPr>
              <w:pStyle w:val="Compact"/>
              <w:jc w:val="right"/>
            </w:pPr>
            <w:r>
              <w:t xml:space="preserve">5.617%</w:t>
            </w:r>
          </w:p>
        </w:tc>
        <w:tc>
          <w:tcPr/>
          <w:p>
            <w:pPr>
              <w:pStyle w:val="Compact"/>
              <w:jc w:val="right"/>
            </w:pPr>
            <w:r>
              <w:t xml:space="preserve">+197.1% / +907%</w:t>
            </w:r>
          </w:p>
        </w:tc>
        <w:tc>
          <w:tcPr/>
          <w:p>
            <w:pPr>
              <w:pStyle w:val="Compact"/>
              <w:jc w:val="right"/>
            </w:pPr>
            <w:r>
              <w:t xml:space="preserve">22.15%</w:t>
            </w:r>
          </w:p>
        </w:tc>
      </w:tr>
    </w:tbl>
    <w:p>
      <w:pPr>
        <w:pStyle w:val="Compact"/>
        <w:numPr>
          <w:ilvl w:val="0"/>
          <w:numId w:val="1017"/>
        </w:numPr>
      </w:pPr>
      <w:r>
        <w:rPr>
          <w:rFonts w:hint="eastAsia"/>
        </w:rPr>
        <w:t xml:space="preserve">业绩高增长没有阻止新易盛、中际旭创、长鑫科技和兆易创新出现技术破位，说明市场当前更关注预期差和持仓风险。</w:t>
      </w:r>
    </w:p>
    <w:p>
      <w:pPr>
        <w:pStyle w:val="Compact"/>
        <w:numPr>
          <w:ilvl w:val="0"/>
          <w:numId w:val="1017"/>
        </w:numPr>
      </w:pPr>
      <w:r>
        <w:rPr>
          <w:rStyle w:val="VerbatimChar"/>
        </w:rPr>
        <w:t xml:space="preserve">focus_stock_quality</w:t>
      </w:r>
      <w:r>
        <w:rPr>
          <w:rFonts w:hint="eastAsia"/>
        </w:rPr>
        <w:t xml:space="preserve">只形成上述5只股票的结构化估值与财务条目，其余重点股不补充估值数据。</w:t>
      </w:r>
    </w:p>
    <w:p>
      <w:pPr>
        <w:pStyle w:val="Compact"/>
        <w:numPr>
          <w:ilvl w:val="0"/>
          <w:numId w:val="1017"/>
        </w:numPr>
      </w:pPr>
      <w:r>
        <w:rPr>
          <w:rFonts w:hint="eastAsia"/>
        </w:rPr>
        <w:t xml:space="preserve">financial_rigor本轮没有形成可引用的独立验算结论，因此不据此提高这些财务数字的确认等级。</w:t>
      </w:r>
    </w:p>
    <w:bookmarkEnd w:id="40"/>
    <w:bookmarkStart w:id="41" w:name="tickflow重点股日k校验"/>
    <w:p>
      <w:pPr>
        <w:pStyle w:val="Heading3"/>
      </w:pPr>
      <w:r>
        <w:t xml:space="preserve">📐 </w:t>
      </w:r>
      <w:r>
        <w:rPr>
          <w:rFonts w:hint="eastAsia"/>
        </w:rPr>
        <w:t xml:space="preserve">TickFlow重点股日K校验</w:t>
      </w:r>
    </w:p>
    <w:p>
      <w:pPr>
        <w:pStyle w:val="FirstParagraph"/>
      </w:pPr>
      <w:r>
        <w:rPr>
          <w:rFonts w:hint="eastAsia"/>
        </w:rPr>
        <w:t xml:space="preserve">TickFlow技术指标基准日为2026-10-29，仅用于重点股样本日K技术校验，不是2026-11-02实时分时行情。</w:t>
      </w:r>
    </w:p>
    <w:tbl>
      <w:tblPr>
        <w:tblStyle w:val="Table"/>
        <w:tblW w:type="pct" w:w="5000"/>
        <w:tblLayout w:type="fixed"/>
        <w:tblLook w:firstRow="1" w:lastRow="0" w:firstColumn="0" w:lastColumn="0" w:noHBand="0" w:noVBand="0" w:val="0020"/>
      </w:tblPr>
      <w:tblGrid>
        <w:gridCol w:w="950"/>
        <w:gridCol w:w="950"/>
        <w:gridCol w:w="1267"/>
        <w:gridCol w:w="1267"/>
        <w:gridCol w:w="1267"/>
        <w:gridCol w:w="1267"/>
        <w:gridCol w:w="950"/>
      </w:tblGrid>
      <w:tr>
        <w:trPr>
          <w:tblHeader w:val="on"/>
        </w:trPr>
        <w:tc>
          <w:tcPr/>
          <w:p>
            <w:pPr>
              <w:pStyle w:val="Compact"/>
            </w:pPr>
            <w:r>
              <w:rPr>
                <w:rFonts w:hint="eastAsia"/>
              </w:rPr>
              <w:t xml:space="preserve">股票</w:t>
            </w:r>
          </w:p>
        </w:tc>
        <w:tc>
          <w:tcPr/>
          <w:p>
            <w:pPr>
              <w:pStyle w:val="Compact"/>
            </w:pPr>
            <w:r>
              <w:rPr>
                <w:rFonts w:hint="eastAsia"/>
              </w:rPr>
              <w:t xml:space="preserve">评级</w:t>
            </w:r>
          </w:p>
        </w:tc>
        <w:tc>
          <w:tcPr/>
          <w:p>
            <w:pPr>
              <w:pStyle w:val="Compact"/>
              <w:jc w:val="right"/>
            </w:pPr>
            <w:r>
              <w:t xml:space="preserve">MA20 / MA60</w:t>
            </w:r>
          </w:p>
        </w:tc>
        <w:tc>
          <w:tcPr/>
          <w:p>
            <w:pPr>
              <w:pStyle w:val="Compact"/>
              <w:jc w:val="right"/>
            </w:pPr>
            <w:r>
              <w:rPr>
                <w:rFonts w:hint="eastAsia"/>
              </w:rPr>
              <w:t xml:space="preserve">距60日高点</w:t>
            </w:r>
          </w:p>
        </w:tc>
        <w:tc>
          <w:tcPr/>
          <w:p>
            <w:pPr>
              <w:pStyle w:val="Compact"/>
              <w:jc w:val="right"/>
            </w:pPr>
            <w:r>
              <w:rPr>
                <w:rFonts w:hint="eastAsia"/>
              </w:rPr>
              <w:t xml:space="preserve">5日量比</w:t>
            </w:r>
          </w:p>
        </w:tc>
        <w:tc>
          <w:tcPr/>
          <w:p>
            <w:pPr>
              <w:pStyle w:val="Compact"/>
              <w:jc w:val="right"/>
            </w:pPr>
            <w:r>
              <w:rPr>
                <w:rFonts w:hint="eastAsia"/>
              </w:rPr>
              <w:t xml:space="preserve">ATR证伪参考</w:t>
            </w:r>
          </w:p>
        </w:tc>
        <w:tc>
          <w:tcPr/>
          <w:p>
            <w:pPr>
              <w:pStyle w:val="Compact"/>
            </w:pPr>
            <w:r>
              <w:rPr>
                <w:rFonts w:hint="eastAsia"/>
              </w:rPr>
              <w:t xml:space="preserve">行动</w:t>
            </w:r>
          </w:p>
        </w:tc>
      </w:tr>
      <w:tr>
        <w:tc>
          <w:tcPr/>
          <w:p>
            <w:pPr>
              <w:pStyle w:val="Compact"/>
            </w:pPr>
            <w:r>
              <w:rPr>
                <w:rFonts w:hint="eastAsia"/>
              </w:rPr>
              <w:t xml:space="preserve">新易盛</w:t>
            </w:r>
          </w:p>
        </w:tc>
        <w:tc>
          <w:tcPr/>
          <w:p>
            <w:pPr>
              <w:pStyle w:val="Compact"/>
            </w:pPr>
            <w:r>
              <w:t xml:space="preserve">D</w:t>
            </w:r>
          </w:p>
        </w:tc>
        <w:tc>
          <w:tcPr/>
          <w:p>
            <w:pPr>
              <w:pStyle w:val="Compact"/>
              <w:jc w:val="right"/>
            </w:pPr>
            <w:r>
              <w:t xml:space="preserve">320.085 / 385.076</w:t>
            </w:r>
          </w:p>
        </w:tc>
        <w:tc>
          <w:tcPr/>
          <w:p>
            <w:pPr>
              <w:pStyle w:val="Compact"/>
              <w:jc w:val="right"/>
            </w:pPr>
            <w:r>
              <w:t xml:space="preserve">-51.06%</w:t>
            </w:r>
          </w:p>
        </w:tc>
        <w:tc>
          <w:tcPr/>
          <w:p>
            <w:pPr>
              <w:pStyle w:val="Compact"/>
              <w:jc w:val="right"/>
            </w:pPr>
            <w:r>
              <w:t xml:space="preserve">0.905</w:t>
            </w:r>
          </w:p>
        </w:tc>
        <w:tc>
          <w:tcPr/>
          <w:p>
            <w:pPr>
              <w:pStyle w:val="Compact"/>
              <w:jc w:val="right"/>
            </w:pPr>
            <w:r>
              <w:t xml:space="preserve">307.969</w:t>
            </w:r>
          </w:p>
        </w:tc>
        <w:tc>
          <w:tcPr/>
          <w:p>
            <w:pPr>
              <w:pStyle w:val="Compact"/>
            </w:pPr>
            <w:r>
              <w:rPr>
                <w:rFonts w:hint="eastAsia"/>
              </w:rPr>
              <w:t xml:space="preserve">回避，重回MA20和MA60后复评</w:t>
            </w:r>
          </w:p>
        </w:tc>
      </w:tr>
      <w:tr>
        <w:tc>
          <w:tcPr/>
          <w:p>
            <w:pPr>
              <w:pStyle w:val="Compact"/>
            </w:pPr>
            <w:r>
              <w:rPr>
                <w:rFonts w:hint="eastAsia"/>
              </w:rPr>
              <w:t xml:space="preserve">中际旭创</w:t>
            </w:r>
          </w:p>
        </w:tc>
        <w:tc>
          <w:tcPr/>
          <w:p>
            <w:pPr>
              <w:pStyle w:val="Compact"/>
            </w:pPr>
            <w:r>
              <w:t xml:space="preserve">D</w:t>
            </w:r>
          </w:p>
        </w:tc>
        <w:tc>
          <w:tcPr/>
          <w:p>
            <w:pPr>
              <w:pStyle w:val="Compact"/>
              <w:jc w:val="right"/>
            </w:pPr>
            <w:r>
              <w:t xml:space="preserve">695.894 / 832.266</w:t>
            </w:r>
          </w:p>
        </w:tc>
        <w:tc>
          <w:tcPr/>
          <w:p>
            <w:pPr>
              <w:pStyle w:val="Compact"/>
              <w:jc w:val="right"/>
            </w:pPr>
            <w:r>
              <w:t xml:space="preserve">-43.05%</w:t>
            </w:r>
          </w:p>
        </w:tc>
        <w:tc>
          <w:tcPr/>
          <w:p>
            <w:pPr>
              <w:pStyle w:val="Compact"/>
              <w:jc w:val="right"/>
            </w:pPr>
            <w:r>
              <w:t xml:space="preserve">0.909</w:t>
            </w:r>
          </w:p>
        </w:tc>
        <w:tc>
          <w:tcPr/>
          <w:p>
            <w:pPr>
              <w:pStyle w:val="Compact"/>
              <w:jc w:val="right"/>
            </w:pPr>
            <w:r>
              <w:t xml:space="preserve">672.265</w:t>
            </w:r>
          </w:p>
        </w:tc>
        <w:tc>
          <w:tcPr/>
          <w:p>
            <w:pPr>
              <w:pStyle w:val="Compact"/>
            </w:pPr>
            <w:r>
              <w:rPr>
                <w:rFonts w:hint="eastAsia"/>
              </w:rPr>
              <w:t xml:space="preserve">回避，重回MA20和MA60后复评</w:t>
            </w:r>
          </w:p>
        </w:tc>
      </w:tr>
      <w:tr>
        <w:tc>
          <w:tcPr/>
          <w:p>
            <w:pPr>
              <w:pStyle w:val="Compact"/>
            </w:pPr>
            <w:r>
              <w:rPr>
                <w:rFonts w:hint="eastAsia"/>
              </w:rPr>
              <w:t xml:space="preserve">长鑫科技</w:t>
            </w:r>
          </w:p>
        </w:tc>
        <w:tc>
          <w:tcPr/>
          <w:p>
            <w:pPr>
              <w:pStyle w:val="Compact"/>
            </w:pPr>
            <w:r>
              <w:t xml:space="preserve">D</w:t>
            </w:r>
          </w:p>
        </w:tc>
        <w:tc>
          <w:tcPr/>
          <w:p>
            <w:pPr>
              <w:pStyle w:val="Compact"/>
              <w:jc w:val="right"/>
            </w:pPr>
            <w:r>
              <w:t xml:space="preserve">46.503 / 52.716</w:t>
            </w:r>
          </w:p>
        </w:tc>
        <w:tc>
          <w:tcPr/>
          <w:p>
            <w:pPr>
              <w:pStyle w:val="Compact"/>
              <w:jc w:val="right"/>
            </w:pPr>
            <w:r>
              <w:t xml:space="preserve">-30.63%</w:t>
            </w:r>
          </w:p>
        </w:tc>
        <w:tc>
          <w:tcPr/>
          <w:p>
            <w:pPr>
              <w:pStyle w:val="Compact"/>
              <w:jc w:val="right"/>
            </w:pPr>
            <w:r>
              <w:t xml:space="preserve">0.750</w:t>
            </w:r>
          </w:p>
        </w:tc>
        <w:tc>
          <w:tcPr/>
          <w:p>
            <w:pPr>
              <w:pStyle w:val="Compact"/>
              <w:jc w:val="right"/>
            </w:pPr>
            <w:r>
              <w:t xml:space="preserve">45.171</w:t>
            </w:r>
          </w:p>
        </w:tc>
        <w:tc>
          <w:tcPr/>
          <w:p>
            <w:pPr>
              <w:pStyle w:val="Compact"/>
            </w:pPr>
            <w:r>
              <w:rPr>
                <w:rFonts w:hint="eastAsia"/>
              </w:rPr>
              <w:t xml:space="preserve">回避，重回MA20和MA60后复评</w:t>
            </w:r>
          </w:p>
        </w:tc>
      </w:tr>
      <w:tr>
        <w:tc>
          <w:tcPr/>
          <w:p>
            <w:pPr>
              <w:pStyle w:val="Compact"/>
            </w:pPr>
            <w:r>
              <w:rPr>
                <w:rFonts w:hint="eastAsia"/>
              </w:rPr>
              <w:t xml:space="preserve">宁德时代</w:t>
            </w:r>
          </w:p>
        </w:tc>
        <w:tc>
          <w:tcPr/>
          <w:p>
            <w:pPr>
              <w:pStyle w:val="Compact"/>
            </w:pPr>
            <w:r>
              <w:t xml:space="preserve">D</w:t>
            </w:r>
          </w:p>
        </w:tc>
        <w:tc>
          <w:tcPr/>
          <w:p>
            <w:pPr>
              <w:pStyle w:val="Compact"/>
              <w:jc w:val="right"/>
            </w:pPr>
            <w:r>
              <w:t xml:space="preserve">265.611 / 330.376</w:t>
            </w:r>
          </w:p>
        </w:tc>
        <w:tc>
          <w:tcPr/>
          <w:p>
            <w:pPr>
              <w:pStyle w:val="Compact"/>
              <w:jc w:val="right"/>
            </w:pPr>
            <w:r>
              <w:t xml:space="preserve">-43.47%</w:t>
            </w:r>
          </w:p>
        </w:tc>
        <w:tc>
          <w:tcPr/>
          <w:p>
            <w:pPr>
              <w:pStyle w:val="Compact"/>
              <w:jc w:val="right"/>
            </w:pPr>
            <w:r>
              <w:t xml:space="preserve">0.540</w:t>
            </w:r>
          </w:p>
        </w:tc>
        <w:tc>
          <w:tcPr/>
          <w:p>
            <w:pPr>
              <w:pStyle w:val="Compact"/>
              <w:jc w:val="right"/>
            </w:pPr>
            <w:r>
              <w:t xml:space="preserve">260.024</w:t>
            </w:r>
          </w:p>
        </w:tc>
        <w:tc>
          <w:tcPr/>
          <w:p>
            <w:pPr>
              <w:pStyle w:val="Compact"/>
            </w:pPr>
            <w:r>
              <w:rPr>
                <w:rFonts w:hint="eastAsia"/>
              </w:rPr>
              <w:t xml:space="preserve">只观察，不因资金流入直接追涨</w:t>
            </w:r>
          </w:p>
        </w:tc>
      </w:tr>
      <w:tr>
        <w:tc>
          <w:tcPr/>
          <w:p>
            <w:pPr>
              <w:pStyle w:val="Compact"/>
            </w:pPr>
            <w:r>
              <w:rPr>
                <w:rFonts w:hint="eastAsia"/>
              </w:rPr>
              <w:t xml:space="preserve">兆易创新</w:t>
            </w:r>
          </w:p>
        </w:tc>
        <w:tc>
          <w:tcPr/>
          <w:p>
            <w:pPr>
              <w:pStyle w:val="Compact"/>
            </w:pPr>
            <w:r>
              <w:t xml:space="preserve">D</w:t>
            </w:r>
          </w:p>
        </w:tc>
        <w:tc>
          <w:tcPr/>
          <w:p>
            <w:pPr>
              <w:pStyle w:val="Compact"/>
              <w:jc w:val="right"/>
            </w:pPr>
            <w:r>
              <w:t xml:space="preserve">306.363 / 362.804</w:t>
            </w:r>
          </w:p>
        </w:tc>
        <w:tc>
          <w:tcPr/>
          <w:p>
            <w:pPr>
              <w:pStyle w:val="Compact"/>
              <w:jc w:val="right"/>
            </w:pPr>
            <w:r>
              <w:t xml:space="preserve">-37.84%</w:t>
            </w:r>
          </w:p>
        </w:tc>
        <w:tc>
          <w:tcPr/>
          <w:p>
            <w:pPr>
              <w:pStyle w:val="Compact"/>
              <w:jc w:val="right"/>
            </w:pPr>
            <w:r>
              <w:t xml:space="preserve">1.008</w:t>
            </w:r>
          </w:p>
        </w:tc>
        <w:tc>
          <w:tcPr/>
          <w:p>
            <w:pPr>
              <w:pStyle w:val="Compact"/>
              <w:jc w:val="right"/>
            </w:pPr>
            <w:r>
              <w:t xml:space="preserve">297.419</w:t>
            </w:r>
          </w:p>
        </w:tc>
        <w:tc>
          <w:tcPr/>
          <w:p>
            <w:pPr>
              <w:pStyle w:val="Compact"/>
            </w:pPr>
            <w:r>
              <w:rPr>
                <w:rFonts w:hint="eastAsia"/>
              </w:rPr>
              <w:t xml:space="preserve">回避，重回MA20和MA60后复评</w:t>
            </w:r>
          </w:p>
        </w:tc>
      </w:tr>
    </w:tbl>
    <w:p/>
    <w:tbl>
      <w:tblPr>
        <w:tblStyle w:val="Table"/>
        <w:tblW w:type="pct" w:w="5000"/>
        <w:tblLayout w:type="fixed"/>
        <w:tblLook w:firstRow="1" w:lastRow="0" w:firstColumn="0" w:lastColumn="0" w:noHBand="0" w:noVBand="0" w:val="0020"/>
      </w:tblPr>
      <w:tblGrid>
        <w:gridCol w:w="950"/>
        <w:gridCol w:w="950"/>
        <w:gridCol w:w="1267"/>
        <w:gridCol w:w="1267"/>
        <w:gridCol w:w="1267"/>
        <w:gridCol w:w="1267"/>
        <w:gridCol w:w="950"/>
      </w:tblGrid>
      <w:tr>
        <w:trPr>
          <w:tblHeader w:val="on"/>
        </w:trPr>
        <w:tc>
          <w:tcPr/>
          <w:p>
            <w:pPr>
              <w:pStyle w:val="Compact"/>
            </w:pPr>
            <w:r>
              <w:rPr>
                <w:rFonts w:hint="eastAsia"/>
              </w:rPr>
              <w:t xml:space="preserve">股票</w:t>
            </w:r>
          </w:p>
        </w:tc>
        <w:tc>
          <w:tcPr/>
          <w:p>
            <w:pPr>
              <w:pStyle w:val="Compact"/>
            </w:pPr>
            <w:r>
              <w:rPr>
                <w:rFonts w:hint="eastAsia"/>
              </w:rPr>
              <w:t xml:space="preserve">评级</w:t>
            </w:r>
          </w:p>
        </w:tc>
        <w:tc>
          <w:tcPr/>
          <w:p>
            <w:pPr>
              <w:pStyle w:val="Compact"/>
              <w:jc w:val="right"/>
            </w:pPr>
            <w:r>
              <w:t xml:space="preserve">MA20 / MA60</w:t>
            </w:r>
          </w:p>
        </w:tc>
        <w:tc>
          <w:tcPr/>
          <w:p>
            <w:pPr>
              <w:pStyle w:val="Compact"/>
              <w:jc w:val="right"/>
            </w:pPr>
            <w:r>
              <w:rPr>
                <w:rFonts w:hint="eastAsia"/>
              </w:rPr>
              <w:t xml:space="preserve">距60日高点</w:t>
            </w:r>
          </w:p>
        </w:tc>
        <w:tc>
          <w:tcPr/>
          <w:p>
            <w:pPr>
              <w:pStyle w:val="Compact"/>
              <w:jc w:val="right"/>
            </w:pPr>
            <w:r>
              <w:rPr>
                <w:rFonts w:hint="eastAsia"/>
              </w:rPr>
              <w:t xml:space="preserve">5日量比</w:t>
            </w:r>
          </w:p>
        </w:tc>
        <w:tc>
          <w:tcPr/>
          <w:p>
            <w:pPr>
              <w:pStyle w:val="Compact"/>
              <w:jc w:val="right"/>
            </w:pPr>
            <w:r>
              <w:rPr>
                <w:rFonts w:hint="eastAsia"/>
              </w:rPr>
              <w:t xml:space="preserve">ATR证伪参考</w:t>
            </w:r>
          </w:p>
        </w:tc>
        <w:tc>
          <w:tcPr/>
          <w:p>
            <w:pPr>
              <w:pStyle w:val="Compact"/>
            </w:pPr>
            <w:r>
              <w:rPr>
                <w:rFonts w:hint="eastAsia"/>
              </w:rPr>
              <w:t xml:space="preserve">行动</w:t>
            </w:r>
          </w:p>
        </w:tc>
      </w:tr>
      <w:tr>
        <w:tc>
          <w:tcPr/>
          <w:p>
            <w:pPr>
              <w:pStyle w:val="Compact"/>
            </w:pPr>
            <w:r>
              <w:rPr>
                <w:rFonts w:hint="eastAsia"/>
              </w:rPr>
              <w:t xml:space="preserve">胜宏科技</w:t>
            </w:r>
          </w:p>
        </w:tc>
        <w:tc>
          <w:tcPr/>
          <w:p>
            <w:pPr>
              <w:pStyle w:val="Compact"/>
            </w:pPr>
            <w:r>
              <w:t xml:space="preserve">D</w:t>
            </w:r>
          </w:p>
        </w:tc>
        <w:tc>
          <w:tcPr/>
          <w:p>
            <w:pPr>
              <w:pStyle w:val="Compact"/>
              <w:jc w:val="right"/>
            </w:pPr>
            <w:r>
              <w:t xml:space="preserve">192.745 / 224.501</w:t>
            </w:r>
          </w:p>
        </w:tc>
        <w:tc>
          <w:tcPr/>
          <w:p>
            <w:pPr>
              <w:pStyle w:val="Compact"/>
              <w:jc w:val="right"/>
            </w:pPr>
            <w:r>
              <w:t xml:space="preserve">-43.92%</w:t>
            </w:r>
          </w:p>
        </w:tc>
        <w:tc>
          <w:tcPr/>
          <w:p>
            <w:pPr>
              <w:pStyle w:val="Compact"/>
              <w:jc w:val="right"/>
            </w:pPr>
            <w:r>
              <w:t xml:space="preserve">1.136</w:t>
            </w:r>
          </w:p>
        </w:tc>
        <w:tc>
          <w:tcPr/>
          <w:p>
            <w:pPr>
              <w:pStyle w:val="Compact"/>
              <w:jc w:val="right"/>
            </w:pPr>
            <w:r>
              <w:t xml:space="preserve">185.897</w:t>
            </w:r>
          </w:p>
        </w:tc>
        <w:tc>
          <w:tcPr/>
          <w:p>
            <w:pPr>
              <w:pStyle w:val="Compact"/>
            </w:pPr>
            <w:r>
              <w:rPr>
                <w:rFonts w:hint="eastAsia"/>
              </w:rPr>
              <w:t xml:space="preserve">回避，重回MA20和MA60后复评</w:t>
            </w:r>
          </w:p>
        </w:tc>
      </w:tr>
      <w:tr>
        <w:tc>
          <w:tcPr/>
          <w:p>
            <w:pPr>
              <w:pStyle w:val="Compact"/>
            </w:pPr>
            <w:r>
              <w:rPr>
                <w:rFonts w:hint="eastAsia"/>
              </w:rPr>
              <w:t xml:space="preserve">贵州茅台</w:t>
            </w:r>
          </w:p>
        </w:tc>
        <w:tc>
          <w:tcPr/>
          <w:p>
            <w:pPr>
              <w:pStyle w:val="Compact"/>
            </w:pPr>
            <w:r>
              <w:t xml:space="preserve">A</w:t>
            </w:r>
          </w:p>
        </w:tc>
        <w:tc>
          <w:tcPr/>
          <w:p>
            <w:pPr>
              <w:pStyle w:val="Compact"/>
              <w:jc w:val="right"/>
            </w:pPr>
            <w:r>
              <w:t xml:space="preserve">1299.769 / 1301.863</w:t>
            </w:r>
          </w:p>
        </w:tc>
        <w:tc>
          <w:tcPr/>
          <w:p>
            <w:pPr>
              <w:pStyle w:val="Compact"/>
              <w:jc w:val="right"/>
            </w:pPr>
            <w:r>
              <w:t xml:space="preserve">-0.57%</w:t>
            </w:r>
          </w:p>
        </w:tc>
        <w:tc>
          <w:tcPr/>
          <w:p>
            <w:pPr>
              <w:pStyle w:val="Compact"/>
              <w:jc w:val="right"/>
            </w:pPr>
            <w:r>
              <w:t xml:space="preserve">0.980</w:t>
            </w:r>
          </w:p>
        </w:tc>
        <w:tc>
          <w:tcPr/>
          <w:p>
            <w:pPr>
              <w:pStyle w:val="Compact"/>
              <w:jc w:val="right"/>
            </w:pPr>
            <w:r>
              <w:t xml:space="preserve">1287.551</w:t>
            </w:r>
          </w:p>
        </w:tc>
        <w:tc>
          <w:tcPr/>
          <w:p>
            <w:pPr>
              <w:pStyle w:val="Compact"/>
            </w:pPr>
            <w:r>
              <w:rPr>
                <w:rFonts w:hint="eastAsia"/>
              </w:rPr>
              <w:t xml:space="preserve">不追高，等前高或回踩后放量确认</w:t>
            </w:r>
          </w:p>
        </w:tc>
      </w:tr>
      <w:tr>
        <w:tc>
          <w:tcPr/>
          <w:p>
            <w:pPr>
              <w:pStyle w:val="Compact"/>
            </w:pPr>
            <w:r>
              <w:rPr>
                <w:rFonts w:hint="eastAsia"/>
              </w:rPr>
              <w:t xml:space="preserve">寒武纪</w:t>
            </w:r>
          </w:p>
        </w:tc>
        <w:tc>
          <w:tcPr/>
          <w:p>
            <w:pPr>
              <w:pStyle w:val="Compact"/>
            </w:pPr>
            <w:r>
              <w:t xml:space="preserve">D</w:t>
            </w:r>
          </w:p>
        </w:tc>
        <w:tc>
          <w:tcPr/>
          <w:p>
            <w:pPr>
              <w:pStyle w:val="Compact"/>
              <w:jc w:val="right"/>
            </w:pPr>
            <w:r>
              <w:t xml:space="preserve">957.853 / 1042.389</w:t>
            </w:r>
          </w:p>
        </w:tc>
        <w:tc>
          <w:tcPr/>
          <w:p>
            <w:pPr>
              <w:pStyle w:val="Compact"/>
              <w:jc w:val="right"/>
            </w:pPr>
            <w:r>
              <w:t xml:space="preserve">-23.91%</w:t>
            </w:r>
          </w:p>
        </w:tc>
        <w:tc>
          <w:tcPr/>
          <w:p>
            <w:pPr>
              <w:pStyle w:val="Compact"/>
              <w:jc w:val="right"/>
            </w:pPr>
            <w:r>
              <w:t xml:space="preserve">0.796</w:t>
            </w:r>
          </w:p>
        </w:tc>
        <w:tc>
          <w:tcPr/>
          <w:p>
            <w:pPr>
              <w:pStyle w:val="Compact"/>
              <w:jc w:val="right"/>
            </w:pPr>
            <w:r>
              <w:t xml:space="preserve">929.473</w:t>
            </w:r>
          </w:p>
        </w:tc>
        <w:tc>
          <w:tcPr/>
          <w:p>
            <w:pPr>
              <w:pStyle w:val="Compact"/>
            </w:pPr>
            <w:r>
              <w:rPr>
                <w:rFonts w:hint="eastAsia"/>
              </w:rPr>
              <w:t xml:space="preserve">回避，重回MA20和MA60后复评</w:t>
            </w:r>
          </w:p>
        </w:tc>
      </w:tr>
      <w:tr>
        <w:tc>
          <w:tcPr/>
          <w:p>
            <w:pPr>
              <w:pStyle w:val="Compact"/>
            </w:pPr>
            <w:r>
              <w:rPr>
                <w:rFonts w:hint="eastAsia"/>
              </w:rPr>
              <w:t xml:space="preserve">东山精密</w:t>
            </w:r>
          </w:p>
        </w:tc>
        <w:tc>
          <w:tcPr/>
          <w:p>
            <w:pPr>
              <w:pStyle w:val="Compact"/>
            </w:pPr>
            <w:r>
              <w:t xml:space="preserve">D</w:t>
            </w:r>
          </w:p>
        </w:tc>
        <w:tc>
          <w:tcPr/>
          <w:p>
            <w:pPr>
              <w:pStyle w:val="Compact"/>
              <w:jc w:val="right"/>
            </w:pPr>
            <w:r>
              <w:t xml:space="preserve">132.171 / 171.749</w:t>
            </w:r>
          </w:p>
        </w:tc>
        <w:tc>
          <w:tcPr/>
          <w:p>
            <w:pPr>
              <w:pStyle w:val="Compact"/>
              <w:jc w:val="right"/>
            </w:pPr>
            <w:r>
              <w:t xml:space="preserve">-56.75%</w:t>
            </w:r>
          </w:p>
        </w:tc>
        <w:tc>
          <w:tcPr/>
          <w:p>
            <w:pPr>
              <w:pStyle w:val="Compact"/>
              <w:jc w:val="right"/>
            </w:pPr>
            <w:r>
              <w:t xml:space="preserve">1.063</w:t>
            </w:r>
          </w:p>
        </w:tc>
        <w:tc>
          <w:tcPr/>
          <w:p>
            <w:pPr>
              <w:pStyle w:val="Compact"/>
              <w:jc w:val="right"/>
            </w:pPr>
            <w:r>
              <w:t xml:space="preserve">127.392</w:t>
            </w:r>
          </w:p>
        </w:tc>
        <w:tc>
          <w:tcPr/>
          <w:p>
            <w:pPr>
              <w:pStyle w:val="Compact"/>
            </w:pPr>
            <w:r>
              <w:rPr>
                <w:rFonts w:hint="eastAsia"/>
              </w:rPr>
              <w:t xml:space="preserve">回避，重回MA20和MA60后复评</w:t>
            </w:r>
          </w:p>
        </w:tc>
      </w:tr>
      <w:tr>
        <w:tc>
          <w:tcPr/>
          <w:p>
            <w:pPr>
              <w:pStyle w:val="Compact"/>
            </w:pPr>
            <w:r>
              <w:rPr>
                <w:rFonts w:hint="eastAsia"/>
              </w:rPr>
              <w:t xml:space="preserve">天孚通信</w:t>
            </w:r>
          </w:p>
        </w:tc>
        <w:tc>
          <w:tcPr/>
          <w:p>
            <w:pPr>
              <w:pStyle w:val="Compact"/>
            </w:pPr>
            <w:r>
              <w:t xml:space="preserve">D</w:t>
            </w:r>
          </w:p>
        </w:tc>
        <w:tc>
          <w:tcPr/>
          <w:p>
            <w:pPr>
              <w:pStyle w:val="Compact"/>
              <w:jc w:val="right"/>
            </w:pPr>
            <w:r>
              <w:t xml:space="preserve">220.512 / 241.094</w:t>
            </w:r>
          </w:p>
        </w:tc>
        <w:tc>
          <w:tcPr/>
          <w:p>
            <w:pPr>
              <w:pStyle w:val="Compact"/>
              <w:jc w:val="right"/>
            </w:pPr>
            <w:r>
              <w:t xml:space="preserve">-44.55%</w:t>
            </w:r>
          </w:p>
        </w:tc>
        <w:tc>
          <w:tcPr/>
          <w:p>
            <w:pPr>
              <w:pStyle w:val="Compact"/>
              <w:jc w:val="right"/>
            </w:pPr>
            <w:r>
              <w:t xml:space="preserve">2.087</w:t>
            </w:r>
          </w:p>
        </w:tc>
        <w:tc>
          <w:tcPr/>
          <w:p>
            <w:pPr>
              <w:pStyle w:val="Compact"/>
              <w:jc w:val="right"/>
            </w:pPr>
            <w:r>
              <w:t xml:space="preserve">211.034</w:t>
            </w:r>
          </w:p>
        </w:tc>
        <w:tc>
          <w:tcPr/>
          <w:p>
            <w:pPr>
              <w:pStyle w:val="Compact"/>
            </w:pPr>
            <w:r>
              <w:rPr>
                <w:rFonts w:hint="eastAsia"/>
              </w:rPr>
              <w:t xml:space="preserve">回避，重回MA20和MA60后复评</w:t>
            </w:r>
          </w:p>
        </w:tc>
      </w:tr>
    </w:tbl>
    <w:p>
      <w:pPr>
        <w:pStyle w:val="Compact"/>
        <w:numPr>
          <w:ilvl w:val="0"/>
          <w:numId w:val="1018"/>
        </w:numPr>
      </w:pPr>
      <w:r>
        <w:rPr>
          <w:rFonts w:hint="eastAsia"/>
        </w:rPr>
        <w:t xml:space="preserve">A级1只、B级0只、C级0只、D级9只，且A/B评级同样禁止追涨。</w:t>
      </w:r>
    </w:p>
    <w:p>
      <w:pPr>
        <w:pStyle w:val="Compact"/>
        <w:numPr>
          <w:ilvl w:val="0"/>
          <w:numId w:val="1018"/>
        </w:numPr>
      </w:pPr>
      <w:r>
        <w:rPr>
          <w:rFonts w:hint="eastAsia"/>
        </w:rPr>
        <w:t xml:space="preserve">重点股样本中站上MA20和MA60的比例均为10.0%。该指标范围是</w:t>
      </w:r>
      <w:r>
        <w:rPr>
          <w:rStyle w:val="VerbatimChar"/>
        </w:rPr>
        <w:t xml:space="preserve">focus_stock_sample</w:t>
      </w:r>
      <w:r>
        <w:rPr>
          <w:rFonts w:hint="eastAsia"/>
        </w:rPr>
        <w:t xml:space="preserve">，仅代表上述10只重点股，严禁解释为全A股趋势宽度。</w:t>
      </w:r>
    </w:p>
    <w:p>
      <w:pPr>
        <w:pStyle w:val="Compact"/>
        <w:numPr>
          <w:ilvl w:val="0"/>
          <w:numId w:val="1018"/>
        </w:numPr>
      </w:pPr>
      <w:r>
        <w:rPr>
          <w:rFonts w:hint="eastAsia"/>
        </w:rPr>
        <w:t xml:space="preserve">TickFlow全市场概览因完整快照校验失败而不可用，零值数据不进入报告，也不用于替代同花顺市场宽度。</w:t>
      </w:r>
    </w:p>
    <w:p>
      <w:r>
        <w:pict>
          <v:rect style="width:0;height:1.5pt" o:hralign="center" o:hrstd="t" o:hr="t"/>
        </w:pict>
      </w:r>
    </w:p>
    <w:bookmarkEnd w:id="41"/>
    <w:bookmarkEnd w:id="42"/>
    <w:bookmarkStart w:id="44" w:name="今日市场风格预判"/>
    <w:p>
      <w:pPr>
        <w:pStyle w:val="Heading2"/>
      </w:pPr>
      <w:r>
        <w:t xml:space="preserve">🎨 </w:t>
      </w:r>
      <w:r>
        <w:rPr>
          <w:rFonts w:hint="eastAsia"/>
        </w:rPr>
        <w:t xml:space="preserve">今日市场风格预判</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维度</w:t>
            </w:r>
          </w:p>
        </w:tc>
        <w:tc>
          <w:tcPr/>
          <w:p>
            <w:pPr>
              <w:pStyle w:val="Compact"/>
            </w:pPr>
            <w:r>
              <w:rPr>
                <w:rFonts w:hint="eastAsia"/>
              </w:rPr>
              <w:t xml:space="preserve">盘前判断</w:t>
            </w:r>
          </w:p>
        </w:tc>
        <w:tc>
          <w:tcPr/>
          <w:p>
            <w:pPr>
              <w:pStyle w:val="Compact"/>
            </w:pPr>
            <w:r>
              <w:rPr>
                <w:rFonts w:hint="eastAsia"/>
              </w:rPr>
              <w:t xml:space="preserve">证据</w:t>
            </w:r>
          </w:p>
        </w:tc>
      </w:tr>
      <w:tr>
        <w:tc>
          <w:tcPr/>
          <w:p>
            <w:pPr>
              <w:pStyle w:val="Compact"/>
            </w:pPr>
            <w:r>
              <w:rPr>
                <w:rFonts w:hint="eastAsia"/>
              </w:rPr>
              <w:t xml:space="preserve">权重与小盘</w:t>
            </w:r>
          </w:p>
        </w:tc>
        <w:tc>
          <w:tcPr/>
          <w:p>
            <w:pPr>
              <w:pStyle w:val="Compact"/>
            </w:pPr>
            <w:r>
              <w:rPr>
                <w:rFonts w:hint="eastAsia"/>
              </w:rPr>
              <w:t xml:space="preserve">偏权重</w:t>
            </w:r>
          </w:p>
        </w:tc>
        <w:tc>
          <w:tcPr/>
          <w:p>
            <w:pPr>
              <w:pStyle w:val="Compact"/>
            </w:pPr>
            <w:r>
              <w:rPr>
                <w:rFonts w:hint="eastAsia"/>
              </w:rPr>
              <w:t xml:space="preserve">沪深300跌1.3938%，明显强于创业板和科创50</w:t>
            </w:r>
          </w:p>
        </w:tc>
      </w:tr>
      <w:tr>
        <w:tc>
          <w:tcPr/>
          <w:p>
            <w:pPr>
              <w:pStyle w:val="Compact"/>
            </w:pPr>
            <w:r>
              <w:rPr>
                <w:rFonts w:hint="eastAsia"/>
              </w:rPr>
              <w:t xml:space="preserve">成长与价值</w:t>
            </w:r>
          </w:p>
        </w:tc>
        <w:tc>
          <w:tcPr/>
          <w:p>
            <w:pPr>
              <w:pStyle w:val="Compact"/>
            </w:pPr>
            <w:r>
              <w:rPr>
                <w:rFonts w:hint="eastAsia"/>
              </w:rPr>
              <w:t xml:space="preserve">偏价值、防御</w:t>
            </w:r>
          </w:p>
        </w:tc>
        <w:tc>
          <w:tcPr/>
          <w:p>
            <w:pPr>
              <w:pStyle w:val="Compact"/>
            </w:pPr>
            <w:r>
              <w:rPr>
                <w:rFonts w:hint="eastAsia"/>
              </w:rPr>
              <w:t xml:space="preserve">白酒、医疗资金流入，科技成长板块集中流出</w:t>
            </w:r>
          </w:p>
        </w:tc>
      </w:tr>
      <w:tr>
        <w:tc>
          <w:tcPr/>
          <w:p>
            <w:pPr>
              <w:pStyle w:val="Compact"/>
            </w:pPr>
            <w:r>
              <w:rPr>
                <w:rFonts w:hint="eastAsia"/>
              </w:rPr>
              <w:t xml:space="preserve">进攻与防守</w:t>
            </w:r>
          </w:p>
        </w:tc>
        <w:tc>
          <w:tcPr/>
          <w:p>
            <w:pPr>
              <w:pStyle w:val="Compact"/>
            </w:pPr>
            <w:r>
              <w:rPr>
                <w:rFonts w:hint="eastAsia"/>
              </w:rPr>
              <w:t xml:space="preserve">防守占优</w:t>
            </w:r>
          </w:p>
        </w:tc>
        <w:tc>
          <w:tcPr/>
          <w:p>
            <w:pPr>
              <w:pStyle w:val="Compact"/>
            </w:pPr>
            <w:r>
              <w:rPr>
                <w:rFonts w:hint="eastAsia"/>
              </w:rPr>
              <w:t xml:space="preserve">纳指及海外半导体重挫，A股科技核心股技术破位</w:t>
            </w:r>
          </w:p>
        </w:tc>
      </w:tr>
      <w:tr>
        <w:tc>
          <w:tcPr/>
          <w:p>
            <w:pPr>
              <w:pStyle w:val="Compact"/>
            </w:pPr>
            <w:r>
              <w:rPr>
                <w:rFonts w:hint="eastAsia"/>
              </w:rPr>
              <w:t xml:space="preserve">机构与题材</w:t>
            </w:r>
          </w:p>
        </w:tc>
        <w:tc>
          <w:tcPr/>
          <w:p>
            <w:pPr>
              <w:pStyle w:val="Compact"/>
            </w:pPr>
            <w:r>
              <w:rPr>
                <w:rFonts w:hint="eastAsia"/>
              </w:rPr>
              <w:t xml:space="preserve">成交额核心、机构方向主导</w:t>
            </w:r>
          </w:p>
        </w:tc>
        <w:tc>
          <w:tcPr/>
          <w:p>
            <w:pPr>
              <w:pStyle w:val="Compact"/>
            </w:pPr>
            <w:r>
              <w:rPr>
                <w:rFonts w:hint="eastAsia"/>
              </w:rPr>
              <w:t xml:space="preserve">贵州茅台、宁德时代进入成交额核心榜和资金流入榜</w:t>
            </w:r>
          </w:p>
        </w:tc>
      </w:tr>
      <w:tr>
        <w:tc>
          <w:tcPr/>
          <w:p>
            <w:pPr>
              <w:pStyle w:val="Compact"/>
            </w:pPr>
            <w:r>
              <w:rPr>
                <w:rFonts w:hint="eastAsia"/>
              </w:rPr>
              <w:t xml:space="preserve">高位与低位</w:t>
            </w:r>
          </w:p>
        </w:tc>
        <w:tc>
          <w:tcPr/>
          <w:p>
            <w:pPr>
              <w:pStyle w:val="Compact"/>
            </w:pPr>
            <w:r>
              <w:rPr>
                <w:rFonts w:hint="eastAsia"/>
              </w:rPr>
              <w:t xml:space="preserve">暂不作方向判断</w:t>
            </w:r>
          </w:p>
        </w:tc>
        <w:tc>
          <w:tcPr/>
          <w:p>
            <w:pPr>
              <w:pStyle w:val="Compact"/>
            </w:pPr>
            <w:r>
              <w:rPr>
                <w:rFonts w:hint="eastAsia"/>
              </w:rPr>
              <w:t xml:space="preserve">Collector缺少可靠的全市场高低位分层数据</w:t>
            </w:r>
          </w:p>
        </w:tc>
      </w:tr>
    </w:tbl>
    <w:bookmarkStart w:id="43" w:name="盘前推演"/>
    <w:p>
      <w:pPr>
        <w:pStyle w:val="Heading3"/>
      </w:pPr>
      <w:r>
        <w:t xml:space="preserve">📌 </w:t>
      </w:r>
      <w:r>
        <w:rPr>
          <w:rFonts w:hint="eastAsia"/>
        </w:rPr>
        <w:t xml:space="preserve">盘前推演</w:t>
      </w:r>
    </w:p>
    <w:p>
      <w:pPr>
        <w:pStyle w:val="Compact"/>
        <w:numPr>
          <w:ilvl w:val="0"/>
          <w:numId w:val="1019"/>
        </w:numPr>
      </w:pPr>
      <w:r>
        <w:t xml:space="preserve">📉</w:t>
      </w:r>
      <w:r>
        <w:t xml:space="preserve"> </w:t>
      </w:r>
      <w:r>
        <w:rPr>
          <w:rFonts w:hint="eastAsia"/>
          <w:b/>
          <w:bCs/>
        </w:rPr>
        <w:t xml:space="preserve">成长股承压情形</w:t>
      </w:r>
      <w:r>
        <w:rPr>
          <w:rFonts w:hint="eastAsia"/>
        </w:rPr>
        <w:t xml:space="preserve">：若半导体、通信设备延续资金流出，科创50和创业板可能继续弱于权重指数。</w:t>
      </w:r>
    </w:p>
    <w:p>
      <w:pPr>
        <w:pStyle w:val="Compact"/>
        <w:numPr>
          <w:ilvl w:val="0"/>
          <w:numId w:val="1019"/>
        </w:numPr>
      </w:pPr>
      <w:r>
        <w:t xml:space="preserve">📈</w:t>
      </w:r>
      <w:r>
        <w:t xml:space="preserve"> </w:t>
      </w:r>
      <w:r>
        <w:rPr>
          <w:rFonts w:hint="eastAsia"/>
          <w:b/>
          <w:bCs/>
        </w:rPr>
        <w:t xml:space="preserve">防御修复情形</w:t>
      </w:r>
      <w:r>
        <w:rPr>
          <w:rFonts w:hint="eastAsia"/>
        </w:rPr>
        <w:t xml:space="preserve">：若白酒、医疗服务继续获得资金承接，价值权重可能保持相对收益。</w:t>
      </w:r>
    </w:p>
    <w:p>
      <w:pPr>
        <w:pStyle w:val="Compact"/>
        <w:numPr>
          <w:ilvl w:val="0"/>
          <w:numId w:val="1019"/>
        </w:numPr>
      </w:pPr>
      <w:r>
        <w:t xml:space="preserve">⚠️</w:t>
      </w:r>
      <w:r>
        <w:t xml:space="preserve"> </w:t>
      </w:r>
      <w:r>
        <w:rPr>
          <w:rFonts w:hint="eastAsia"/>
          <w:b/>
          <w:bCs/>
        </w:rPr>
        <w:t xml:space="preserve">反转确认条件</w:t>
      </w:r>
      <w:r>
        <w:rPr>
          <w:rFonts w:hint="eastAsia"/>
        </w:rPr>
        <w:t xml:space="preserve">：涨跌比回到1以上、成交放量同时指数止跌，并且D级核心股重新站回MA20和MA60。</w:t>
      </w:r>
    </w:p>
    <w:p>
      <w:pPr>
        <w:pStyle w:val="Compact"/>
        <w:numPr>
          <w:ilvl w:val="0"/>
          <w:numId w:val="1019"/>
        </w:numPr>
      </w:pPr>
      <w:r>
        <w:rPr>
          <w:rFonts w:hint="eastAsia"/>
        </w:rPr>
        <w:t xml:space="preserve">富时A50和离岸人民币相对稳定，意味着A股并非只有单边风险，但不足以抵消海外科技股下跌和国内杠杆收缩。</w:t>
      </w:r>
    </w:p>
    <w:p>
      <w:r>
        <w:pict>
          <v:rect style="width:0;height:1.5pt" o:hralign="center" o:hrstd="t" o:hr="t"/>
        </w:pict>
      </w:r>
    </w:p>
    <w:bookmarkEnd w:id="43"/>
    <w:bookmarkEnd w:id="44"/>
    <w:bookmarkStart w:id="50" w:name="投资方向分层"/>
    <w:p>
      <w:pPr>
        <w:pStyle w:val="Heading2"/>
      </w:pPr>
      <w:r>
        <w:t xml:space="preserve">🧭 </w:t>
      </w:r>
      <w:r>
        <w:rPr>
          <w:rFonts w:hint="eastAsia"/>
        </w:rPr>
        <w:t xml:space="preserve">投资方向分层</w:t>
      </w:r>
    </w:p>
    <w:bookmarkStart w:id="45" w:name="可参与白酒防御龙头仅限条件参与"/>
    <w:p>
      <w:pPr>
        <w:pStyle w:val="Heading3"/>
      </w:pPr>
      <w:r>
        <w:t xml:space="preserve">📈 </w:t>
      </w:r>
      <w:r>
        <w:rPr>
          <w:rFonts w:hint="eastAsia"/>
        </w:rPr>
        <w:t xml:space="preserve">可参与：白酒防御龙头，仅限条件参与</w:t>
      </w:r>
    </w:p>
    <w:p>
      <w:pPr>
        <w:pStyle w:val="FirstParagraph"/>
      </w:pPr>
      <w:r>
        <w:rPr>
          <w:rFonts w:hint="eastAsia"/>
          <w:b/>
          <w:bCs/>
        </w:rPr>
        <w:t xml:space="preserve">证据链：</w:t>
      </w:r>
    </w:p>
    <w:p>
      <w:pPr>
        <w:pStyle w:val="Compact"/>
        <w:numPr>
          <w:ilvl w:val="0"/>
          <w:numId w:val="1020"/>
        </w:numPr>
      </w:pPr>
      <w:r>
        <w:rPr>
          <w:rFonts w:hint="eastAsia"/>
        </w:rPr>
        <w:t xml:space="preserve">白酒Ⅱ主力净流入25.00亿元，位列板块流入第1。</w:t>
      </w:r>
    </w:p>
    <w:p>
      <w:pPr>
        <w:pStyle w:val="Compact"/>
        <w:numPr>
          <w:ilvl w:val="0"/>
          <w:numId w:val="1020"/>
        </w:numPr>
      </w:pPr>
      <w:r>
        <w:rPr>
          <w:rFonts w:hint="eastAsia"/>
        </w:rPr>
        <w:t xml:space="preserve">酒类板块上一交易日上涨2.74%，位列板块涨幅第1。</w:t>
      </w:r>
    </w:p>
    <w:p>
      <w:pPr>
        <w:pStyle w:val="Compact"/>
        <w:numPr>
          <w:ilvl w:val="0"/>
          <w:numId w:val="1020"/>
        </w:numPr>
      </w:pPr>
      <w:r>
        <w:rPr>
          <w:rFonts w:hint="eastAsia"/>
        </w:rPr>
        <w:t xml:space="preserve">贵州茅台成交额82.57亿元，上涨2.81%。</w:t>
      </w:r>
    </w:p>
    <w:p>
      <w:pPr>
        <w:pStyle w:val="Compact"/>
        <w:numPr>
          <w:ilvl w:val="0"/>
          <w:numId w:val="1020"/>
        </w:numPr>
      </w:pPr>
      <w:r>
        <w:rPr>
          <w:rFonts w:hint="eastAsia"/>
        </w:rPr>
        <w:t xml:space="preserve">TickFlow重点股样本中，贵州茅台是唯一A级，站上MA20和MA60且MA20向上。</w:t>
      </w:r>
    </w:p>
    <w:p>
      <w:pPr>
        <w:pStyle w:val="FirstParagraph"/>
      </w:pPr>
      <w:r>
        <w:rPr>
          <w:rFonts w:hint="eastAsia"/>
          <w:b/>
          <w:bCs/>
        </w:rPr>
        <w:t xml:space="preserve">核心标的：贵州茅台（600519）。</w:t>
      </w:r>
    </w:p>
    <w:p>
      <w:pPr>
        <w:pStyle w:val="Compact"/>
        <w:numPr>
          <w:ilvl w:val="0"/>
          <w:numId w:val="1021"/>
        </w:numPr>
      </w:pPr>
      <w:r>
        <w:rPr>
          <w:rFonts w:hint="eastAsia"/>
          <w:b/>
          <w:bCs/>
        </w:rPr>
        <w:t xml:space="preserve">触发条件</w:t>
      </w:r>
      <w:r>
        <w:rPr>
          <w:rFonts w:hint="eastAsia"/>
        </w:rPr>
        <w:t xml:space="preserve">：不追高；等待缩量回踩MA20不破后重新放量，或收盘站稳60日高点1361.76且量比达到1.2以上。</w:t>
      </w:r>
    </w:p>
    <w:p>
      <w:pPr>
        <w:pStyle w:val="Compact"/>
        <w:numPr>
          <w:ilvl w:val="0"/>
          <w:numId w:val="1021"/>
        </w:numPr>
      </w:pPr>
      <w:r>
        <w:rPr>
          <w:rFonts w:hint="eastAsia"/>
          <w:b/>
          <w:bCs/>
        </w:rPr>
        <w:t xml:space="preserve">失效条件</w:t>
      </w:r>
      <w:r>
        <w:rPr>
          <w:rFonts w:hint="eastAsia"/>
        </w:rPr>
        <w:t xml:space="preserve">：收盘跌破ATR证伪参考1287.551，或白酒板块从主力流入转为持续流出。</w:t>
      </w:r>
    </w:p>
    <w:p>
      <w:pPr>
        <w:pStyle w:val="Compact"/>
        <w:numPr>
          <w:ilvl w:val="0"/>
          <w:numId w:val="1021"/>
        </w:numPr>
      </w:pPr>
      <w:r>
        <w:t xml:space="preserve">⚠️ </w:t>
      </w:r>
      <w:r>
        <w:rPr>
          <w:rFonts w:hint="eastAsia"/>
        </w:rPr>
        <w:t xml:space="preserve">2026-10-30收盘价1392.05已高于10月29日技术样本的60日高点，但10月30日对应量比条件没有TickFlow确认，因此不能把价格突破单独视为完整买点。</w:t>
      </w:r>
    </w:p>
    <w:bookmarkEnd w:id="45"/>
    <w:bookmarkStart w:id="46" w:name="只观察电池与宁德时代"/>
    <w:p>
      <w:pPr>
        <w:pStyle w:val="Heading3"/>
      </w:pPr>
      <w:r>
        <w:t xml:space="preserve">👀 </w:t>
      </w:r>
      <w:r>
        <w:rPr>
          <w:rFonts w:hint="eastAsia"/>
        </w:rPr>
        <w:t xml:space="preserve">只观察：电池与宁德时代</w:t>
      </w:r>
    </w:p>
    <w:p>
      <w:pPr>
        <w:pStyle w:val="FirstParagraph"/>
      </w:pPr>
      <w:r>
        <w:rPr>
          <w:rFonts w:hint="eastAsia"/>
          <w:b/>
          <w:bCs/>
        </w:rPr>
        <w:t xml:space="preserve">证据链：</w:t>
      </w:r>
    </w:p>
    <w:p>
      <w:pPr>
        <w:pStyle w:val="Compact"/>
        <w:numPr>
          <w:ilvl w:val="0"/>
          <w:numId w:val="1022"/>
        </w:numPr>
      </w:pPr>
      <w:r>
        <w:rPr>
          <w:rFonts w:hint="eastAsia"/>
        </w:rPr>
        <w:t xml:space="preserve">电池板块主力净流入6.33亿元，位列板块流入第3。</w:t>
      </w:r>
    </w:p>
    <w:p>
      <w:pPr>
        <w:pStyle w:val="Compact"/>
        <w:numPr>
          <w:ilvl w:val="0"/>
          <w:numId w:val="1022"/>
        </w:numPr>
      </w:pPr>
      <w:r>
        <w:rPr>
          <w:rFonts w:hint="eastAsia"/>
        </w:rPr>
        <w:t xml:space="preserve">宁德时代主力净流入9.83亿元，位列个股流入第1；成交额103.06亿元，上涨1.68%。</w:t>
      </w:r>
    </w:p>
    <w:p>
      <w:pPr>
        <w:pStyle w:val="Compact"/>
        <w:numPr>
          <w:ilvl w:val="0"/>
          <w:numId w:val="1022"/>
        </w:numPr>
      </w:pPr>
      <w:r>
        <w:rPr>
          <w:rFonts w:hint="eastAsia"/>
        </w:rPr>
        <w:t xml:space="preserve">2026年三季报口径下，宁德时代营收同比增长56.19%，净利润同比增长32.89%，PE为12.29倍。</w:t>
      </w:r>
    </w:p>
    <w:p>
      <w:pPr>
        <w:pStyle w:val="Compact"/>
        <w:numPr>
          <w:ilvl w:val="0"/>
          <w:numId w:val="1022"/>
        </w:numPr>
      </w:pPr>
      <w:r>
        <w:rPr>
          <w:rFonts w:hint="eastAsia"/>
        </w:rPr>
        <w:t xml:space="preserve">但TickFlow评级为D，10月29日收盘仍低于MA20和MA60。</w:t>
      </w:r>
    </w:p>
    <w:p>
      <w:pPr>
        <w:pStyle w:val="FirstParagraph"/>
      </w:pPr>
      <w:r>
        <w:rPr>
          <w:rFonts w:hint="eastAsia"/>
          <w:b/>
          <w:bCs/>
        </w:rPr>
        <w:t xml:space="preserve">核心标的：宁德时代（300750）。</w:t>
      </w:r>
    </w:p>
    <w:p>
      <w:pPr>
        <w:pStyle w:val="Compact"/>
        <w:numPr>
          <w:ilvl w:val="0"/>
          <w:numId w:val="1023"/>
        </w:numPr>
      </w:pPr>
      <w:r>
        <w:rPr>
          <w:rFonts w:hint="eastAsia"/>
          <w:b/>
          <w:bCs/>
        </w:rPr>
        <w:t xml:space="preserve">触发条件</w:t>
      </w:r>
      <w:r>
        <w:rPr>
          <w:rFonts w:hint="eastAsia"/>
        </w:rPr>
        <w:t xml:space="preserve">：先重新站上MA20的265.611，再站上MA60的330.376并获得成交确认；在此之前只观察。</w:t>
      </w:r>
    </w:p>
    <w:p>
      <w:pPr>
        <w:pStyle w:val="Compact"/>
        <w:numPr>
          <w:ilvl w:val="0"/>
          <w:numId w:val="1023"/>
        </w:numPr>
      </w:pPr>
      <w:r>
        <w:rPr>
          <w:rFonts w:hint="eastAsia"/>
          <w:b/>
          <w:bCs/>
        </w:rPr>
        <w:t xml:space="preserve">失效条件</w:t>
      </w:r>
      <w:r>
        <w:rPr>
          <w:rFonts w:hint="eastAsia"/>
        </w:rPr>
        <w:t xml:space="preserve">：持续处于260.024证伪参考以下，或电池板块资金转为净流出。</w:t>
      </w:r>
    </w:p>
    <w:p>
      <w:pPr>
        <w:pStyle w:val="Compact"/>
        <w:numPr>
          <w:ilvl w:val="0"/>
          <w:numId w:val="1023"/>
        </w:numPr>
      </w:pPr>
      <w:r>
        <w:t xml:space="preserve">💡 </w:t>
      </w:r>
      <w:r>
        <w:rPr>
          <w:rFonts w:hint="eastAsia"/>
        </w:rPr>
        <w:t xml:space="preserve">资金流入与基本面增长只能形成观察价值，不能覆盖趋势破位风险。</w:t>
      </w:r>
    </w:p>
    <w:bookmarkEnd w:id="46"/>
    <w:bookmarkStart w:id="47" w:name="只观察医疗服务与医疗器械防御"/>
    <w:p>
      <w:pPr>
        <w:pStyle w:val="Heading3"/>
      </w:pPr>
      <w:r>
        <w:t xml:space="preserve">👀 </w:t>
      </w:r>
      <w:r>
        <w:rPr>
          <w:rFonts w:hint="eastAsia"/>
        </w:rPr>
        <w:t xml:space="preserve">只观察：医疗服务与医疗器械防御</w:t>
      </w:r>
    </w:p>
    <w:p>
      <w:pPr>
        <w:pStyle w:val="FirstParagraph"/>
      </w:pPr>
      <w:r>
        <w:rPr>
          <w:rFonts w:hint="eastAsia"/>
          <w:b/>
          <w:bCs/>
        </w:rPr>
        <w:t xml:space="preserve">证据链：</w:t>
      </w:r>
    </w:p>
    <w:p>
      <w:pPr>
        <w:pStyle w:val="Compact"/>
        <w:numPr>
          <w:ilvl w:val="0"/>
          <w:numId w:val="1024"/>
        </w:numPr>
      </w:pPr>
      <w:r>
        <w:rPr>
          <w:rFonts w:hint="eastAsia"/>
        </w:rPr>
        <w:t xml:space="preserve">医疗服务主力净流入16.36亿元，位列板块流入第2。</w:t>
      </w:r>
    </w:p>
    <w:p>
      <w:pPr>
        <w:pStyle w:val="Compact"/>
        <w:numPr>
          <w:ilvl w:val="0"/>
          <w:numId w:val="1024"/>
        </w:numPr>
      </w:pPr>
      <w:r>
        <w:rPr>
          <w:rFonts w:hint="eastAsia"/>
        </w:rPr>
        <w:t xml:space="preserve">医疗器械主力净流入2.97亿元，生物制品主力净流入5.58亿元。</w:t>
      </w:r>
    </w:p>
    <w:p>
      <w:pPr>
        <w:pStyle w:val="Compact"/>
        <w:numPr>
          <w:ilvl w:val="0"/>
          <w:numId w:val="1024"/>
        </w:numPr>
      </w:pPr>
      <w:r>
        <w:rPr>
          <w:rFonts w:hint="eastAsia"/>
        </w:rPr>
        <w:t xml:space="preserve">医疗ETF（512170）上一交易日上涨1.2085%，成交额5.1802亿元。</w:t>
      </w:r>
    </w:p>
    <w:p>
      <w:pPr>
        <w:pStyle w:val="Compact"/>
        <w:numPr>
          <w:ilvl w:val="0"/>
          <w:numId w:val="1024"/>
        </w:numPr>
      </w:pPr>
      <w:r>
        <w:rPr>
          <w:rFonts w:hint="eastAsia"/>
        </w:rPr>
        <w:t xml:space="preserve">该方向没有进入本轮TickFlow重点股技术池，缺少个股级右侧评级。</w:t>
      </w:r>
    </w:p>
    <w:p>
      <w:pPr>
        <w:pStyle w:val="FirstParagraph"/>
      </w:pPr>
      <w:r>
        <w:rPr>
          <w:rFonts w:hint="eastAsia"/>
          <w:b/>
          <w:bCs/>
        </w:rPr>
        <w:t xml:space="preserve">核心标的：医疗ETF（512170），仅作板块观察工具。</w:t>
      </w:r>
    </w:p>
    <w:p>
      <w:pPr>
        <w:pStyle w:val="Compact"/>
        <w:numPr>
          <w:ilvl w:val="0"/>
          <w:numId w:val="1025"/>
        </w:numPr>
      </w:pPr>
      <w:r>
        <w:rPr>
          <w:rFonts w:hint="eastAsia"/>
          <w:b/>
          <w:bCs/>
        </w:rPr>
        <w:t xml:space="preserve">触发条件</w:t>
      </w:r>
      <w:r>
        <w:rPr>
          <w:rFonts w:hint="eastAsia"/>
        </w:rPr>
        <w:t xml:space="preserve">：板块资金连续流入，且具体标的形成站稳MA20、MA60的右侧结构后再评估。</w:t>
      </w:r>
    </w:p>
    <w:p>
      <w:pPr>
        <w:pStyle w:val="Compact"/>
        <w:numPr>
          <w:ilvl w:val="0"/>
          <w:numId w:val="1025"/>
        </w:numPr>
      </w:pPr>
      <w:r>
        <w:rPr>
          <w:rFonts w:hint="eastAsia"/>
          <w:b/>
          <w:bCs/>
        </w:rPr>
        <w:t xml:space="preserve">失效条件</w:t>
      </w:r>
      <w:r>
        <w:rPr>
          <w:rFonts w:hint="eastAsia"/>
        </w:rPr>
        <w:t xml:space="preserve">：板块资金转为流出，或ETF在指数修复时继续走弱。</w:t>
      </w:r>
    </w:p>
    <w:p>
      <w:pPr>
        <w:pStyle w:val="Compact"/>
        <w:numPr>
          <w:ilvl w:val="0"/>
          <w:numId w:val="1025"/>
        </w:numPr>
      </w:pPr>
      <w:r>
        <w:rPr>
          <w:rFonts w:hint="eastAsia"/>
        </w:rPr>
        <w:t xml:space="preserve">本轮没有宽基及行业ETF份额序列，不将价格上涨等同于净申购确认。</w:t>
      </w:r>
    </w:p>
    <w:bookmarkEnd w:id="47"/>
    <w:bookmarkStart w:id="48" w:name="只观察重组与回购公告线"/>
    <w:p>
      <w:pPr>
        <w:pStyle w:val="Heading3"/>
      </w:pPr>
      <w:r>
        <w:t xml:space="preserve">👀 </w:t>
      </w:r>
      <w:r>
        <w:rPr>
          <w:rFonts w:hint="eastAsia"/>
        </w:rPr>
        <w:t xml:space="preserve">只观察：重组与回购公告线</w:t>
      </w:r>
    </w:p>
    <w:p>
      <w:pPr>
        <w:pStyle w:val="FirstParagraph"/>
      </w:pPr>
      <w:r>
        <w:rPr>
          <w:rFonts w:hint="eastAsia"/>
          <w:b/>
          <w:bCs/>
        </w:rPr>
        <w:t xml:space="preserve">证据链：</w:t>
      </w:r>
    </w:p>
    <w:p>
      <w:pPr>
        <w:pStyle w:val="Compact"/>
        <w:numPr>
          <w:ilvl w:val="0"/>
          <w:numId w:val="1026"/>
        </w:numPr>
      </w:pPr>
      <w:r>
        <w:rPr>
          <w:rFonts w:hint="eastAsia"/>
        </w:rPr>
        <w:t xml:space="preserve">通威股份修订重组预案并调整定价基准日和发行价格。</w:t>
      </w:r>
    </w:p>
    <w:p>
      <w:pPr>
        <w:pStyle w:val="Compact"/>
        <w:numPr>
          <w:ilvl w:val="0"/>
          <w:numId w:val="1026"/>
        </w:numPr>
      </w:pPr>
      <w:r>
        <w:rPr>
          <w:rFonts w:hint="eastAsia"/>
        </w:rPr>
        <w:t xml:space="preserve">高争民爆披露发行股份购买资产预案并复牌。</w:t>
      </w:r>
    </w:p>
    <w:p>
      <w:pPr>
        <w:pStyle w:val="Compact"/>
        <w:numPr>
          <w:ilvl w:val="0"/>
          <w:numId w:val="1026"/>
        </w:numPr>
      </w:pPr>
      <w:r>
        <w:rPr>
          <w:rFonts w:hint="eastAsia"/>
        </w:rPr>
        <w:t xml:space="preserve">亨通光电董事长提议回购股份。</w:t>
      </w:r>
    </w:p>
    <w:p>
      <w:pPr>
        <w:pStyle w:val="Compact"/>
        <w:numPr>
          <w:ilvl w:val="0"/>
          <w:numId w:val="1026"/>
        </w:numPr>
      </w:pPr>
      <w:r>
        <w:rPr>
          <w:rFonts w:hint="eastAsia"/>
        </w:rPr>
        <w:t xml:space="preserve">以上均属于事件驱动，Collector没有提供对应右侧技术评级。</w:t>
      </w:r>
    </w:p>
    <w:p>
      <w:pPr>
        <w:pStyle w:val="FirstParagraph"/>
      </w:pPr>
      <w:r>
        <w:rPr>
          <w:rFonts w:hint="eastAsia"/>
          <w:b/>
          <w:bCs/>
        </w:rPr>
        <w:t xml:space="preserve">核心标的：通威股份（600438）、高争民爆（002827）、亨通光电（600487）。</w:t>
      </w:r>
    </w:p>
    <w:p>
      <w:pPr>
        <w:pStyle w:val="Compact"/>
        <w:numPr>
          <w:ilvl w:val="0"/>
          <w:numId w:val="1027"/>
        </w:numPr>
      </w:pPr>
      <w:r>
        <w:rPr>
          <w:rFonts w:hint="eastAsia"/>
          <w:b/>
          <w:bCs/>
        </w:rPr>
        <w:t xml:space="preserve">触发条件</w:t>
      </w:r>
      <w:r>
        <w:rPr>
          <w:rFonts w:hint="eastAsia"/>
        </w:rPr>
        <w:t xml:space="preserve">：开盘后公告方向获得量价确认，并且没有出现高开快速回落或放量破位。</w:t>
      </w:r>
    </w:p>
    <w:p>
      <w:pPr>
        <w:pStyle w:val="Compact"/>
        <w:numPr>
          <w:ilvl w:val="0"/>
          <w:numId w:val="1027"/>
        </w:numPr>
      </w:pPr>
      <w:r>
        <w:rPr>
          <w:rFonts w:hint="eastAsia"/>
          <w:b/>
          <w:bCs/>
        </w:rPr>
        <w:t xml:space="preserve">失效条件</w:t>
      </w:r>
      <w:r>
        <w:rPr>
          <w:rFonts w:hint="eastAsia"/>
        </w:rPr>
        <w:t xml:space="preserve">：交易推进不及预期、监管审批风险上升、复牌后出现资金兑现。</w:t>
      </w:r>
    </w:p>
    <w:p>
      <w:pPr>
        <w:pStyle w:val="Compact"/>
        <w:numPr>
          <w:ilvl w:val="0"/>
          <w:numId w:val="1027"/>
        </w:numPr>
      </w:pPr>
      <w:r>
        <w:t xml:space="preserve">⚠️ </w:t>
      </w:r>
      <w:r>
        <w:rPr>
          <w:rFonts w:hint="eastAsia"/>
        </w:rPr>
        <w:t xml:space="preserve">预案、提议和复牌均不等于最终交易完成，禁止用事件标题代替估值和交易条款分析。</w:t>
      </w:r>
    </w:p>
    <w:bookmarkEnd w:id="48"/>
    <w:bookmarkStart w:id="49" w:name="应回避ai算力硬件半导体和通信高贝塔股"/>
    <w:p>
      <w:pPr>
        <w:pStyle w:val="Heading3"/>
      </w:pPr>
      <w:r>
        <w:t xml:space="preserve">📉 </w:t>
      </w:r>
      <w:r>
        <w:rPr>
          <w:rFonts w:hint="eastAsia"/>
        </w:rPr>
        <w:t xml:space="preserve">应回避：AI算力硬件、半导体和通信高贝塔股</w:t>
      </w:r>
    </w:p>
    <w:p>
      <w:pPr>
        <w:pStyle w:val="FirstParagraph"/>
      </w:pPr>
      <w:r>
        <w:rPr>
          <w:rFonts w:hint="eastAsia"/>
          <w:b/>
          <w:bCs/>
        </w:rPr>
        <w:t xml:space="preserve">证据链：</w:t>
      </w:r>
    </w:p>
    <w:p>
      <w:pPr>
        <w:pStyle w:val="Compact"/>
        <w:numPr>
          <w:ilvl w:val="0"/>
          <w:numId w:val="1028"/>
        </w:numPr>
      </w:pPr>
      <w:r>
        <w:rPr>
          <w:rFonts w:hint="eastAsia"/>
        </w:rPr>
        <w:t xml:space="preserve">纳指下跌2.86%，AMD下跌10.88%，英伟达、台积电、博通、美光均明显下跌。</w:t>
      </w:r>
    </w:p>
    <w:p>
      <w:pPr>
        <w:pStyle w:val="Compact"/>
        <w:numPr>
          <w:ilvl w:val="0"/>
          <w:numId w:val="1028"/>
        </w:numPr>
      </w:pPr>
      <w:r>
        <w:rPr>
          <w:rFonts w:hint="eastAsia"/>
        </w:rPr>
        <w:t xml:space="preserve">A股半导体、通信设备、软件开发、消费电子分别净流出56.14亿元、52.19亿元、24.36亿元、22.98亿元。</w:t>
      </w:r>
    </w:p>
    <w:p>
      <w:pPr>
        <w:pStyle w:val="Compact"/>
        <w:numPr>
          <w:ilvl w:val="0"/>
          <w:numId w:val="1028"/>
        </w:numPr>
      </w:pPr>
      <w:r>
        <w:rPr>
          <w:rFonts w:hint="eastAsia"/>
        </w:rPr>
        <w:t xml:space="preserve">新易盛、中际旭创、长鑫科技、兆易创新、胜宏科技、寒武纪、东山精密、天孚通信均为D级。</w:t>
      </w:r>
    </w:p>
    <w:p>
      <w:pPr>
        <w:pStyle w:val="Compact"/>
        <w:numPr>
          <w:ilvl w:val="0"/>
          <w:numId w:val="1028"/>
        </w:numPr>
      </w:pPr>
      <w:r>
        <w:rPr>
          <w:rFonts w:hint="eastAsia"/>
        </w:rPr>
        <w:t xml:space="preserve">新易盛、胜宏科技、东山精密和天孚通信上一交易日分别下跌14.19%、13.31%、8.58%、8.42%。</w:t>
      </w:r>
    </w:p>
    <w:p>
      <w:pPr>
        <w:pStyle w:val="FirstParagraph"/>
      </w:pPr>
      <w:r>
        <w:rPr>
          <w:rFonts w:hint="eastAsia"/>
          <w:b/>
          <w:bCs/>
        </w:rPr>
        <w:t xml:space="preserve">核心标的：新易盛、中际旭创、长鑫科技、兆易创新、胜宏科技、寒武纪、东山精密、天孚通信。</w:t>
      </w:r>
    </w:p>
    <w:p>
      <w:pPr>
        <w:pStyle w:val="Compact"/>
        <w:numPr>
          <w:ilvl w:val="0"/>
          <w:numId w:val="1029"/>
        </w:numPr>
      </w:pPr>
      <w:r>
        <w:rPr>
          <w:rFonts w:hint="eastAsia"/>
          <w:b/>
          <w:bCs/>
        </w:rPr>
        <w:t xml:space="preserve">触发条件</w:t>
      </w:r>
      <w:r>
        <w:rPr>
          <w:rFonts w:hint="eastAsia"/>
        </w:rPr>
        <w:t xml:space="preserve">：当前不触发参与；只有重新站回各自MA20和MA60，且板块资金由流出转为持续流入后才能复评。</w:t>
      </w:r>
    </w:p>
    <w:p>
      <w:pPr>
        <w:pStyle w:val="Compact"/>
        <w:numPr>
          <w:ilvl w:val="0"/>
          <w:numId w:val="1029"/>
        </w:numPr>
      </w:pPr>
      <w:r>
        <w:rPr>
          <w:rFonts w:hint="eastAsia"/>
          <w:b/>
          <w:bCs/>
        </w:rPr>
        <w:t xml:space="preserve">失效条件</w:t>
      </w:r>
      <w:r>
        <w:rPr>
          <w:rFonts w:hint="eastAsia"/>
        </w:rPr>
        <w:t xml:space="preserve">：若上述右侧修复条件同时出现，则“回避”判断失效，转入观察层。</w:t>
      </w:r>
    </w:p>
    <w:p>
      <w:pPr>
        <w:pStyle w:val="Compact"/>
        <w:numPr>
          <w:ilvl w:val="0"/>
          <w:numId w:val="1029"/>
        </w:numPr>
      </w:pPr>
      <w:r>
        <w:t xml:space="preserve">⚠️ </w:t>
      </w:r>
      <w:r>
        <w:rPr>
          <w:rFonts w:hint="eastAsia"/>
        </w:rPr>
        <w:t xml:space="preserve">三季报高增长不能自动抵消趋势破位、外部估值压缩和国内资金流出。</w:t>
      </w:r>
    </w:p>
    <w:p>
      <w:r>
        <w:pict>
          <v:rect style="width:0;height:1.5pt" o:hralign="center" o:hrstd="t" o:hr="t"/>
        </w:pict>
      </w:r>
    </w:p>
    <w:bookmarkEnd w:id="49"/>
    <w:bookmarkEnd w:id="50"/>
    <w:bookmarkStart w:id="52" w:name="今日操作策略"/>
    <w:p>
      <w:pPr>
        <w:pStyle w:val="Heading2"/>
      </w:pPr>
      <w:r>
        <w:t xml:space="preserve">💡 </w:t>
      </w:r>
      <w:r>
        <w:rPr>
          <w:rFonts w:hint="eastAsia"/>
        </w:rPr>
        <w:t xml:space="preserve">今日操作策略</w:t>
      </w:r>
    </w:p>
    <w:tbl>
      <w:tblPr>
        <w:tblStyle w:val="Table"/>
        <w:tblW w:type="pct" w:w="5000"/>
        <w:tblLayout w:type="fixed"/>
        <w:tblLook w:firstRow="1" w:lastRow="0" w:firstColumn="0" w:lastColumn="0" w:noHBand="0" w:noVBand="0" w:val="0020"/>
      </w:tblPr>
      <w:tblGrid>
        <w:gridCol w:w="1827"/>
        <w:gridCol w:w="2436"/>
        <w:gridCol w:w="1827"/>
        <w:gridCol w:w="1827"/>
      </w:tblGrid>
      <w:tr>
        <w:trPr>
          <w:tblHeader w:val="on"/>
        </w:trPr>
        <w:tc>
          <w:tcPr/>
          <w:p>
            <w:pPr>
              <w:pStyle w:val="Compact"/>
            </w:pPr>
            <w:r>
              <w:rPr>
                <w:rFonts w:hint="eastAsia"/>
              </w:rPr>
              <w:t xml:space="preserve">档位</w:t>
            </w:r>
          </w:p>
        </w:tc>
        <w:tc>
          <w:tcPr/>
          <w:p>
            <w:pPr>
              <w:pStyle w:val="Compact"/>
              <w:jc w:val="right"/>
            </w:pPr>
            <w:r>
              <w:rPr>
                <w:rFonts w:hint="eastAsia"/>
              </w:rPr>
              <w:t xml:space="preserve">仓位</w:t>
            </w:r>
          </w:p>
        </w:tc>
        <w:tc>
          <w:tcPr/>
          <w:p>
            <w:pPr>
              <w:pStyle w:val="Compact"/>
            </w:pPr>
            <w:r>
              <w:rPr>
                <w:rFonts w:hint="eastAsia"/>
              </w:rPr>
              <w:t xml:space="preserve">适用条件</w:t>
            </w:r>
          </w:p>
        </w:tc>
        <w:tc>
          <w:tcPr/>
          <w:p>
            <w:pPr>
              <w:pStyle w:val="Compact"/>
            </w:pPr>
            <w:r>
              <w:rPr>
                <w:rFonts w:hint="eastAsia"/>
              </w:rPr>
              <w:t xml:space="preserve">执行动作</w:t>
            </w:r>
          </w:p>
        </w:tc>
      </w:tr>
      <w:tr>
        <w:tc>
          <w:tcPr/>
          <w:p>
            <w:pPr>
              <w:pStyle w:val="Compact"/>
            </w:pPr>
            <w:r>
              <w:rPr>
                <w:rFonts w:hint="eastAsia"/>
              </w:rPr>
              <w:t xml:space="preserve">保守档</w:t>
            </w:r>
          </w:p>
        </w:tc>
        <w:tc>
          <w:tcPr/>
          <w:p>
            <w:pPr>
              <w:pStyle w:val="Compact"/>
              <w:jc w:val="right"/>
            </w:pPr>
            <w:r>
              <w:t xml:space="preserve">5%</w:t>
            </w:r>
          </w:p>
        </w:tc>
        <w:tc>
          <w:tcPr/>
          <w:p>
            <w:pPr>
              <w:pStyle w:val="Compact"/>
            </w:pPr>
            <w:r>
              <w:rPr>
                <w:rFonts w:hint="eastAsia"/>
              </w:rPr>
              <w:t xml:space="preserve">海外科技跌势传导，开盘市场宽度继续恶化</w:t>
            </w:r>
          </w:p>
        </w:tc>
        <w:tc>
          <w:tcPr/>
          <w:p>
            <w:pPr>
              <w:pStyle w:val="Compact"/>
            </w:pPr>
            <w:r>
              <w:rPr>
                <w:rFonts w:hint="eastAsia"/>
              </w:rPr>
              <w:t xml:space="preserve">只保留防御观察仓，不接科技急跌</w:t>
            </w:r>
          </w:p>
        </w:tc>
      </w:tr>
      <w:tr>
        <w:tc>
          <w:tcPr/>
          <w:p>
            <w:pPr>
              <w:pStyle w:val="Compact"/>
            </w:pPr>
            <w:r>
              <w:rPr>
                <w:rFonts w:hint="eastAsia"/>
              </w:rPr>
              <w:t xml:space="preserve">均衡档</w:t>
            </w:r>
          </w:p>
        </w:tc>
        <w:tc>
          <w:tcPr/>
          <w:p>
            <w:pPr>
              <w:pStyle w:val="Compact"/>
              <w:jc w:val="right"/>
            </w:pPr>
            <w:r>
              <w:t xml:space="preserve">20%</w:t>
            </w:r>
          </w:p>
        </w:tc>
        <w:tc>
          <w:tcPr/>
          <w:p>
            <w:pPr>
              <w:pStyle w:val="Compact"/>
            </w:pPr>
            <w:r>
              <w:rPr>
                <w:rFonts w:hint="eastAsia"/>
              </w:rPr>
              <w:t xml:space="preserve">权重指数企稳，白酒、医疗资金承接延续</w:t>
            </w:r>
          </w:p>
        </w:tc>
        <w:tc>
          <w:tcPr/>
          <w:p>
            <w:pPr>
              <w:pStyle w:val="Compact"/>
            </w:pPr>
            <w:r>
              <w:rPr>
                <w:rFonts w:hint="eastAsia"/>
              </w:rPr>
              <w:t xml:space="preserve">以A级或形成右侧确认的标的为主</w:t>
            </w:r>
          </w:p>
        </w:tc>
      </w:tr>
      <w:tr>
        <w:tc>
          <w:tcPr/>
          <w:p>
            <w:pPr>
              <w:pStyle w:val="Compact"/>
            </w:pPr>
            <w:r>
              <w:rPr>
                <w:rFonts w:hint="eastAsia"/>
              </w:rPr>
              <w:t xml:space="preserve">进取档</w:t>
            </w:r>
          </w:p>
        </w:tc>
        <w:tc>
          <w:tcPr/>
          <w:p>
            <w:pPr>
              <w:pStyle w:val="Compact"/>
              <w:jc w:val="right"/>
            </w:pPr>
            <w:r>
              <w:t xml:space="preserve">30%</w:t>
            </w:r>
          </w:p>
        </w:tc>
        <w:tc>
          <w:tcPr/>
          <w:p>
            <w:pPr>
              <w:pStyle w:val="Compact"/>
            </w:pPr>
            <w:r>
              <w:rPr>
                <w:rFonts w:hint="eastAsia"/>
              </w:rPr>
              <w:t xml:space="preserve">涨跌比回到1以上，指数放量止跌，目标股满足右侧触发条件</w:t>
            </w:r>
          </w:p>
        </w:tc>
        <w:tc>
          <w:tcPr/>
          <w:p>
            <w:pPr>
              <w:pStyle w:val="Compact"/>
            </w:pPr>
            <w:r>
              <w:rPr>
                <w:rFonts w:hint="eastAsia"/>
              </w:rPr>
              <w:t xml:space="preserve">分批执行，仍禁止追涨</w:t>
            </w:r>
          </w:p>
        </w:tc>
      </w:tr>
    </w:tbl>
    <w:bookmarkStart w:id="51" w:name="盘中纪律"/>
    <w:p>
      <w:pPr>
        <w:pStyle w:val="Heading3"/>
      </w:pPr>
      <w:r>
        <w:t xml:space="preserve">💡 </w:t>
      </w:r>
      <w:r>
        <w:rPr>
          <w:rFonts w:hint="eastAsia"/>
        </w:rPr>
        <w:t xml:space="preserve">盘中纪律</w:t>
      </w:r>
    </w:p>
    <w:p>
      <w:pPr>
        <w:pStyle w:val="Compact"/>
        <w:numPr>
          <w:ilvl w:val="0"/>
          <w:numId w:val="1030"/>
        </w:numPr>
      </w:pPr>
      <w:r>
        <w:rPr>
          <w:rFonts w:hint="eastAsia"/>
        </w:rPr>
        <w:t xml:space="preserve">09:25—09:40先观察海外半导体下跌对A股科技方向的传导，不在开盘急跌时抢反弹。</w:t>
      </w:r>
    </w:p>
    <w:p>
      <w:pPr>
        <w:pStyle w:val="Compact"/>
        <w:numPr>
          <w:ilvl w:val="0"/>
          <w:numId w:val="1030"/>
        </w:numPr>
      </w:pPr>
      <w:r>
        <w:rPr>
          <w:rFonts w:hint="eastAsia"/>
        </w:rPr>
        <w:t xml:space="preserve">A/B级标的也不追涨；C级仅观察；D级继续回避。本轮重点股没有B级和C级。</w:t>
      </w:r>
    </w:p>
    <w:p>
      <w:pPr>
        <w:pStyle w:val="Compact"/>
        <w:numPr>
          <w:ilvl w:val="0"/>
          <w:numId w:val="1030"/>
        </w:numPr>
      </w:pPr>
      <w:r>
        <w:rPr>
          <w:rFonts w:hint="eastAsia"/>
        </w:rPr>
        <w:t xml:space="preserve">单一资金榜信号不能替代趋势确认，宁德时代即使资金流入第1，也必须服从D级技术约束。</w:t>
      </w:r>
    </w:p>
    <w:p>
      <w:pPr>
        <w:pStyle w:val="Compact"/>
        <w:numPr>
          <w:ilvl w:val="0"/>
          <w:numId w:val="1030"/>
        </w:numPr>
      </w:pPr>
      <w:r>
        <w:rPr>
          <w:rFonts w:hint="eastAsia"/>
        </w:rPr>
        <w:t xml:space="preserve">若上涨家数仍显著少于下跌家数，维持5%—20%仓位；只有市场宽度和量价同步改善才进入30%档。</w:t>
      </w:r>
    </w:p>
    <w:p>
      <w:pPr>
        <w:pStyle w:val="Compact"/>
        <w:numPr>
          <w:ilvl w:val="0"/>
          <w:numId w:val="1030"/>
        </w:numPr>
      </w:pPr>
      <w:r>
        <w:rPr>
          <w:rFonts w:hint="eastAsia"/>
        </w:rPr>
        <w:t xml:space="preserve">模型上限50%不是盘前目标仓位，宽基ETF和QVIX数据缺失时不主动打满。</w:t>
      </w:r>
    </w:p>
    <w:p>
      <w:r>
        <w:pict>
          <v:rect style="width:0;height:1.5pt" o:hralign="center" o:hrstd="t" o:hr="t"/>
        </w:pict>
      </w:r>
    </w:p>
    <w:bookmarkEnd w:id="51"/>
    <w:bookmarkEnd w:id="52"/>
    <w:bookmarkStart w:id="53" w:name="仓位模型量化推导"/>
    <w:p>
      <w:pPr>
        <w:pStyle w:val="Heading2"/>
      </w:pPr>
      <w:r>
        <w:t xml:space="preserve">🧮 </w:t>
      </w:r>
      <w:r>
        <w:rPr>
          <w:rFonts w:hint="eastAsia"/>
        </w:rPr>
        <w:t xml:space="preserve">仓位模型量化推导</w:t>
      </w:r>
    </w:p>
    <w:p>
      <w:pPr>
        <w:pStyle w:val="FirstParagraph"/>
      </w:pPr>
      <w:r>
        <w:rPr>
          <w:rStyle w:val="VerbatimChar"/>
        </w:rPr>
        <w:t xml:space="preserve">derived.position_model</w:t>
      </w:r>
      <w:r>
        <w:rPr>
          <w:rFonts w:hint="eastAsia"/>
        </w:rPr>
        <w:t xml:space="preserve">直接输出最大仓位50%，三档仓位为进取30%、均衡20%、保守5%。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调整项</w:t>
            </w:r>
          </w:p>
        </w:tc>
        <w:tc>
          <w:tcPr/>
          <w:p>
            <w:pPr>
              <w:pStyle w:val="Compact"/>
              <w:jc w:val="right"/>
            </w:pPr>
            <w:r>
              <w:rPr>
                <w:rFonts w:hint="eastAsia"/>
              </w:rPr>
              <w:t xml:space="preserve">2026-10-30数据</w:t>
            </w:r>
          </w:p>
        </w:tc>
        <w:tc>
          <w:tcPr/>
          <w:p>
            <w:pPr>
              <w:pStyle w:val="Compact"/>
              <w:jc w:val="right"/>
            </w:pPr>
            <w:r>
              <w:rPr>
                <w:rFonts w:hint="eastAsia"/>
              </w:rPr>
              <w:t xml:space="preserve">仓位调整</w:t>
            </w:r>
          </w:p>
        </w:tc>
      </w:tr>
      <w:tr>
        <w:tc>
          <w:tcPr/>
          <w:p>
            <w:pPr>
              <w:pStyle w:val="Compact"/>
            </w:pPr>
            <w:r>
              <w:rPr>
                <w:rFonts w:hint="eastAsia"/>
              </w:rPr>
              <w:t xml:space="preserve">涨跌比</w:t>
            </w:r>
          </w:p>
        </w:tc>
        <w:tc>
          <w:tcPr/>
          <w:p>
            <w:pPr>
              <w:pStyle w:val="Compact"/>
              <w:jc w:val="right"/>
            </w:pPr>
            <w:r>
              <w:t xml:space="preserve">0.194</w:t>
            </w:r>
          </w:p>
        </w:tc>
        <w:tc>
          <w:tcPr/>
          <w:p>
            <w:pPr>
              <w:pStyle w:val="Compact"/>
              <w:jc w:val="right"/>
            </w:pPr>
            <w:r>
              <w:rPr>
                <w:rFonts w:hint="eastAsia"/>
              </w:rPr>
              <w:t xml:space="preserve">-15个百分点</w:t>
            </w:r>
          </w:p>
        </w:tc>
      </w:tr>
      <w:tr>
        <w:tc>
          <w:tcPr/>
          <w:p>
            <w:pPr>
              <w:pStyle w:val="Compact"/>
            </w:pPr>
            <w:r>
              <w:rPr>
                <w:rFonts w:hint="eastAsia"/>
              </w:rPr>
              <w:t xml:space="preserve">跌停数量</w:t>
            </w:r>
          </w:p>
        </w:tc>
        <w:tc>
          <w:tcPr/>
          <w:p>
            <w:pPr>
              <w:pStyle w:val="Compact"/>
              <w:jc w:val="right"/>
            </w:pPr>
            <w:r>
              <w:rPr>
                <w:rFonts w:hint="eastAsia"/>
              </w:rPr>
              <w:t xml:space="preserve">86只</w:t>
            </w:r>
          </w:p>
        </w:tc>
        <w:tc>
          <w:tcPr/>
          <w:p>
            <w:pPr>
              <w:pStyle w:val="Compact"/>
              <w:jc w:val="right"/>
            </w:pPr>
            <w:r>
              <w:rPr>
                <w:rFonts w:hint="eastAsia"/>
              </w:rPr>
              <w:t xml:space="preserve">-10个百分点</w:t>
            </w:r>
          </w:p>
        </w:tc>
      </w:tr>
      <w:tr>
        <w:tc>
          <w:tcPr/>
          <w:p>
            <w:pPr>
              <w:pStyle w:val="Compact"/>
            </w:pPr>
            <w:r>
              <w:rPr>
                <w:rFonts w:hint="eastAsia"/>
              </w:rPr>
              <w:t xml:space="preserve">全市场成交额变化</w:t>
            </w:r>
          </w:p>
        </w:tc>
        <w:tc>
          <w:tcPr/>
          <w:p>
            <w:pPr>
              <w:pStyle w:val="Compact"/>
              <w:jc w:val="right"/>
            </w:pPr>
            <w:r>
              <w:t xml:space="preserve">+7.45%</w:t>
            </w:r>
          </w:p>
        </w:tc>
        <w:tc>
          <w:tcPr/>
          <w:p>
            <w:pPr>
              <w:pStyle w:val="Compact"/>
              <w:jc w:val="right"/>
            </w:pPr>
            <w:r>
              <w:rPr>
                <w:rFonts w:hint="eastAsia"/>
              </w:rPr>
              <w:t xml:space="preserve">+5个百分点</w:t>
            </w:r>
          </w:p>
        </w:tc>
      </w:tr>
    </w:tbl>
    <w:p>
      <w:pPr>
        <w:pStyle w:val="Compact"/>
        <w:numPr>
          <w:ilvl w:val="0"/>
          <w:numId w:val="1031"/>
        </w:numPr>
      </w:pPr>
      <w:r>
        <w:rPr>
          <w:rFonts w:hint="eastAsia"/>
        </w:rPr>
        <w:t xml:space="preserve">三项明确调整合计为</w:t>
      </w:r>
      <w:r>
        <w:rPr>
          <w:rFonts w:hint="eastAsia"/>
          <w:b/>
          <w:bCs/>
        </w:rPr>
        <w:t xml:space="preserve">-20个百分点</w:t>
      </w:r>
      <w:r>
        <w:t xml:space="preserve">。</w:t>
      </w:r>
    </w:p>
    <w:p>
      <w:pPr>
        <w:pStyle w:val="Compact"/>
        <w:numPr>
          <w:ilvl w:val="0"/>
          <w:numId w:val="1031"/>
        </w:numPr>
      </w:pPr>
      <w:r>
        <w:rPr>
          <w:rFonts w:hint="eastAsia"/>
        </w:rPr>
        <w:t xml:space="preserve">Collector没有明示模型原始基准仓位，因此不反推或补写基准值，只采用其直接输出的50%上限。</w:t>
      </w:r>
    </w:p>
    <w:p>
      <w:pPr>
        <w:pStyle w:val="Compact"/>
        <w:numPr>
          <w:ilvl w:val="0"/>
          <w:numId w:val="1031"/>
        </w:numPr>
      </w:pPr>
      <w:r>
        <w:rPr>
          <w:rFonts w:hint="eastAsia"/>
        </w:rPr>
        <w:t xml:space="preserve">成交额增加提供流动性加分，但上涨892只、下跌4602只，说明放量质量偏弱，不能把+5个百分点理解为趋势转强。</w:t>
      </w:r>
    </w:p>
    <w:p>
      <w:pPr>
        <w:pStyle w:val="Compact"/>
        <w:numPr>
          <w:ilvl w:val="0"/>
          <w:numId w:val="1031"/>
        </w:numPr>
      </w:pPr>
      <w:r>
        <w:rPr>
          <w:rFonts w:hint="eastAsia"/>
        </w:rPr>
        <w:t xml:space="preserve">行为金融风险等级为中等，两融又由融资端主导下降，最终执行仓位应落在5%—30%，而不是直接使用50%上限。</w:t>
      </w:r>
    </w:p>
    <w:p>
      <w:r>
        <w:pict>
          <v:rect style="width:0;height:1.5pt" o:hralign="center" o:hrstd="t" o:hr="t"/>
        </w:pict>
      </w:r>
    </w:p>
    <w:bookmarkEnd w:id="53"/>
    <w:bookmarkStart w:id="55" w:name="回避清单"/>
    <w:p>
      <w:pPr>
        <w:pStyle w:val="Heading2"/>
      </w:pPr>
      <w:r>
        <w:t xml:space="preserve">🚫 </w:t>
      </w:r>
      <w:r>
        <w:rPr>
          <w:rFonts w:hint="eastAsia"/>
        </w:rPr>
        <w:t xml:space="preserve">回避清单</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类别</w:t>
            </w:r>
          </w:p>
        </w:tc>
        <w:tc>
          <w:tcPr/>
          <w:p>
            <w:pPr>
              <w:pStyle w:val="Compact"/>
            </w:pPr>
            <w:r>
              <w:rPr>
                <w:rFonts w:hint="eastAsia"/>
              </w:rPr>
              <w:t xml:space="preserve">标的或方向</w:t>
            </w:r>
          </w:p>
        </w:tc>
        <w:tc>
          <w:tcPr/>
          <w:p>
            <w:pPr>
              <w:pStyle w:val="Compact"/>
            </w:pPr>
            <w:r>
              <w:rPr>
                <w:rFonts w:hint="eastAsia"/>
              </w:rPr>
              <w:t xml:space="preserve">回避依据</w:t>
            </w:r>
          </w:p>
        </w:tc>
      </w:tr>
      <w:tr>
        <w:tc>
          <w:tcPr/>
          <w:p>
            <w:pPr>
              <w:pStyle w:val="Compact"/>
            </w:pPr>
            <w:r>
              <w:rPr>
                <w:rFonts w:hint="eastAsia"/>
              </w:rPr>
              <w:t xml:space="preserve">监管立案</w:t>
            </w:r>
          </w:p>
        </w:tc>
        <w:tc>
          <w:tcPr/>
          <w:p>
            <w:pPr>
              <w:pStyle w:val="Compact"/>
            </w:pPr>
            <w:r>
              <w:rPr>
                <w:rFonts w:hint="eastAsia"/>
              </w:rPr>
              <w:t xml:space="preserve">奥精医疗、ST合纵</w:t>
            </w:r>
          </w:p>
        </w:tc>
        <w:tc>
          <w:tcPr/>
          <w:p>
            <w:pPr>
              <w:pStyle w:val="Compact"/>
            </w:pPr>
            <w:r>
              <w:rPr>
                <w:rFonts w:hint="eastAsia"/>
              </w:rPr>
              <w:t xml:space="preserve">中国证监会立案，信息披露风险明确</w:t>
            </w:r>
          </w:p>
        </w:tc>
      </w:tr>
      <w:tr>
        <w:tc>
          <w:tcPr/>
          <w:p>
            <w:pPr>
              <w:pStyle w:val="Compact"/>
            </w:pPr>
            <w:r>
              <w:rPr>
                <w:rFonts w:hint="eastAsia"/>
              </w:rPr>
              <w:t xml:space="preserve">资产减值</w:t>
            </w:r>
          </w:p>
        </w:tc>
        <w:tc>
          <w:tcPr/>
          <w:p>
            <w:pPr>
              <w:pStyle w:val="Compact"/>
            </w:pPr>
            <w:r>
              <w:rPr>
                <w:rFonts w:hint="eastAsia"/>
              </w:rPr>
              <w:t xml:space="preserve">固高科技</w:t>
            </w:r>
          </w:p>
        </w:tc>
        <w:tc>
          <w:tcPr/>
          <w:p>
            <w:pPr>
              <w:pStyle w:val="Compact"/>
            </w:pPr>
            <w:r>
              <w:rPr>
                <w:rFonts w:hint="eastAsia"/>
              </w:rPr>
              <w:t xml:space="preserve">公告计提2026年前三季度资产减值准备</w:t>
            </w:r>
          </w:p>
        </w:tc>
      </w:tr>
      <w:tr>
        <w:tc>
          <w:tcPr/>
          <w:p>
            <w:pPr>
              <w:pStyle w:val="Compact"/>
            </w:pPr>
            <w:r>
              <w:rPr>
                <w:rFonts w:hint="eastAsia"/>
              </w:rPr>
              <w:t xml:space="preserve">科技趋势破位</w:t>
            </w:r>
          </w:p>
        </w:tc>
        <w:tc>
          <w:tcPr/>
          <w:p>
            <w:pPr>
              <w:pStyle w:val="Compact"/>
            </w:pPr>
            <w:r>
              <w:rPr>
                <w:rFonts w:hint="eastAsia"/>
              </w:rPr>
              <w:t xml:space="preserve">新易盛、中际旭创、长鑫科技、兆易创新、胜宏科技</w:t>
            </w:r>
          </w:p>
        </w:tc>
        <w:tc>
          <w:tcPr/>
          <w:p>
            <w:pPr>
              <w:pStyle w:val="Compact"/>
            </w:pPr>
            <w:r>
              <w:rPr>
                <w:rFonts w:hint="eastAsia"/>
              </w:rPr>
              <w:t xml:space="preserve">TickFlow均为D级，且多只大额资金流出</w:t>
            </w:r>
          </w:p>
        </w:tc>
      </w:tr>
      <w:tr>
        <w:tc>
          <w:tcPr/>
          <w:p>
            <w:pPr>
              <w:pStyle w:val="Compact"/>
            </w:pPr>
            <w:r>
              <w:rPr>
                <w:rFonts w:hint="eastAsia"/>
              </w:rPr>
              <w:t xml:space="preserve">算力高贝塔</w:t>
            </w:r>
          </w:p>
        </w:tc>
        <w:tc>
          <w:tcPr/>
          <w:p>
            <w:pPr>
              <w:pStyle w:val="Compact"/>
            </w:pPr>
            <w:r>
              <w:rPr>
                <w:rFonts w:hint="eastAsia"/>
              </w:rPr>
              <w:t xml:space="preserve">寒武纪、东山精密、天孚通信</w:t>
            </w:r>
          </w:p>
        </w:tc>
        <w:tc>
          <w:tcPr/>
          <w:p>
            <w:pPr>
              <w:pStyle w:val="Compact"/>
            </w:pPr>
            <w:r>
              <w:rPr>
                <w:rFonts w:hint="eastAsia"/>
              </w:rPr>
              <w:t xml:space="preserve">均为D级，海外半导体同步下跌</w:t>
            </w:r>
          </w:p>
        </w:tc>
      </w:tr>
      <w:tr>
        <w:tc>
          <w:tcPr/>
          <w:p>
            <w:pPr>
              <w:pStyle w:val="Compact"/>
            </w:pPr>
            <w:r>
              <w:rPr>
                <w:rFonts w:hint="eastAsia"/>
              </w:rPr>
              <w:t xml:space="preserve">复牌与重组追高</w:t>
            </w:r>
          </w:p>
        </w:tc>
        <w:tc>
          <w:tcPr/>
          <w:p>
            <w:pPr>
              <w:pStyle w:val="Compact"/>
            </w:pPr>
            <w:r>
              <w:rPr>
                <w:rFonts w:hint="eastAsia"/>
              </w:rPr>
              <w:t xml:space="preserve">高争民爆、通威股份</w:t>
            </w:r>
          </w:p>
        </w:tc>
        <w:tc>
          <w:tcPr/>
          <w:p>
            <w:pPr>
              <w:pStyle w:val="Compact"/>
            </w:pPr>
            <w:r>
              <w:rPr>
                <w:rFonts w:hint="eastAsia"/>
              </w:rPr>
              <w:t xml:space="preserve">预案不等于完成，复牌及条款调整可能放大波动</w:t>
            </w:r>
          </w:p>
        </w:tc>
      </w:tr>
    </w:tbl>
    <w:bookmarkStart w:id="54" w:name="特别纪律"/>
    <w:p>
      <w:pPr>
        <w:pStyle w:val="Heading3"/>
      </w:pPr>
      <w:r>
        <w:t xml:space="preserve">⚠️ </w:t>
      </w:r>
      <w:r>
        <w:rPr>
          <w:rFonts w:hint="eastAsia"/>
        </w:rPr>
        <w:t xml:space="preserve">特别纪律</w:t>
      </w:r>
    </w:p>
    <w:p>
      <w:pPr>
        <w:pStyle w:val="Compact"/>
        <w:numPr>
          <w:ilvl w:val="0"/>
          <w:numId w:val="1032"/>
        </w:numPr>
      </w:pPr>
      <w:r>
        <w:rPr>
          <w:rFonts w:hint="eastAsia"/>
        </w:rPr>
        <w:t xml:space="preserve">不因业绩高增长抄底D级科技股。</w:t>
      </w:r>
    </w:p>
    <w:p>
      <w:pPr>
        <w:pStyle w:val="Compact"/>
        <w:numPr>
          <w:ilvl w:val="0"/>
          <w:numId w:val="1032"/>
        </w:numPr>
      </w:pPr>
      <w:r>
        <w:rPr>
          <w:rFonts w:hint="eastAsia"/>
        </w:rPr>
        <w:t xml:space="preserve">不因回购提议直接追高，必须区分“提议、实施、完成”三个阶段。</w:t>
      </w:r>
    </w:p>
    <w:p>
      <w:pPr>
        <w:pStyle w:val="Compact"/>
        <w:numPr>
          <w:ilvl w:val="0"/>
          <w:numId w:val="1032"/>
        </w:numPr>
      </w:pPr>
      <w:r>
        <w:rPr>
          <w:rFonts w:hint="eastAsia"/>
        </w:rPr>
        <w:t xml:space="preserve">不把股东终止减持等同于公司盈利改善。</w:t>
      </w:r>
    </w:p>
    <w:p>
      <w:pPr>
        <w:pStyle w:val="Compact"/>
        <w:numPr>
          <w:ilvl w:val="0"/>
          <w:numId w:val="1032"/>
        </w:numPr>
      </w:pPr>
      <w:r>
        <w:rPr>
          <w:rFonts w:hint="eastAsia"/>
        </w:rPr>
        <w:t xml:space="preserve">不在宽基ETF和QVIX数据缺失时宣称市场底部已经形成。</w:t>
      </w:r>
    </w:p>
    <w:p>
      <w:r>
        <w:pict>
          <v:rect style="width:0;height:1.5pt" o:hralign="center" o:hrstd="t" o:hr="t"/>
        </w:pict>
      </w:r>
    </w:p>
    <w:bookmarkEnd w:id="54"/>
    <w:bookmarkEnd w:id="55"/>
    <w:bookmarkStart w:id="56" w:name="风险日历"/>
    <w:p>
      <w:pPr>
        <w:pStyle w:val="Heading2"/>
      </w:pPr>
      <w:r>
        <w:t xml:space="preserve">⚠️ </w:t>
      </w:r>
      <w:r>
        <w:rPr>
          <w:rFonts w:hint="eastAsia"/>
        </w:rPr>
        <w:t xml:space="preserve">风险日历</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日期</w:t>
            </w:r>
          </w:p>
        </w:tc>
        <w:tc>
          <w:tcPr/>
          <w:p>
            <w:pPr>
              <w:pStyle w:val="Compact"/>
            </w:pPr>
            <w:r>
              <w:rPr>
                <w:rFonts w:hint="eastAsia"/>
              </w:rPr>
              <w:t xml:space="preserve">风险或事件</w:t>
            </w:r>
          </w:p>
        </w:tc>
        <w:tc>
          <w:tcPr/>
          <w:p>
            <w:pPr>
              <w:pStyle w:val="Compact"/>
            </w:pPr>
            <w:r>
              <w:rPr>
                <w:rFonts w:hint="eastAsia"/>
              </w:rPr>
              <w:t xml:space="preserve">影响方向</w:t>
            </w:r>
          </w:p>
        </w:tc>
      </w:tr>
      <w:tr>
        <w:tc>
          <w:tcPr/>
          <w:p>
            <w:pPr>
              <w:pStyle w:val="Compact"/>
            </w:pPr>
            <w:r>
              <w:t xml:space="preserve">2026-11-02</w:t>
            </w:r>
          </w:p>
        </w:tc>
        <w:tc>
          <w:tcPr/>
          <w:p>
            <w:pPr>
              <w:pStyle w:val="Compact"/>
            </w:pPr>
            <w:r>
              <w:rPr>
                <w:rFonts w:hint="eastAsia"/>
              </w:rPr>
              <w:t xml:space="preserve">高争民爆重组预案披露后复牌</w:t>
            </w:r>
          </w:p>
        </w:tc>
        <w:tc>
          <w:tcPr/>
          <w:p>
            <w:pPr>
              <w:pStyle w:val="Compact"/>
            </w:pPr>
            <w:r>
              <w:rPr>
                <w:rFonts w:hint="eastAsia"/>
              </w:rPr>
              <w:t xml:space="preserve">个股高波动、事件兑现风险</w:t>
            </w:r>
          </w:p>
        </w:tc>
      </w:tr>
      <w:tr>
        <w:tc>
          <w:tcPr/>
          <w:p>
            <w:pPr>
              <w:pStyle w:val="Compact"/>
            </w:pPr>
            <w:r>
              <w:t xml:space="preserve">2026-11-02</w:t>
            </w:r>
          </w:p>
        </w:tc>
        <w:tc>
          <w:tcPr/>
          <w:p>
            <w:pPr>
              <w:pStyle w:val="Compact"/>
            </w:pPr>
            <w:r>
              <w:rPr>
                <w:rFonts w:hint="eastAsia"/>
              </w:rPr>
              <w:t xml:space="preserve">奥精医疗、ST合纵立案事项进入交易定价</w:t>
            </w:r>
          </w:p>
        </w:tc>
        <w:tc>
          <w:tcPr/>
          <w:p>
            <w:pPr>
              <w:pStyle w:val="Compact"/>
            </w:pPr>
            <w:r>
              <w:rPr>
                <w:rFonts w:hint="eastAsia"/>
              </w:rPr>
              <w:t xml:space="preserve">监管与信息披露风险</w:t>
            </w:r>
          </w:p>
        </w:tc>
      </w:tr>
      <w:tr>
        <w:tc>
          <w:tcPr/>
          <w:p>
            <w:pPr>
              <w:pStyle w:val="Compact"/>
            </w:pPr>
            <w:r>
              <w:t xml:space="preserve">2026-11-02</w:t>
            </w:r>
          </w:p>
        </w:tc>
        <w:tc>
          <w:tcPr/>
          <w:p>
            <w:pPr>
              <w:pStyle w:val="Compact"/>
            </w:pPr>
            <w:r>
              <w:rPr>
                <w:rFonts w:hint="eastAsia"/>
              </w:rPr>
              <w:t xml:space="preserve">海外半导体大跌后的A股首次开盘反馈</w:t>
            </w:r>
          </w:p>
        </w:tc>
        <w:tc>
          <w:tcPr/>
          <w:p>
            <w:pPr>
              <w:pStyle w:val="Compact"/>
            </w:pPr>
            <w:r>
              <w:rPr>
                <w:rFonts w:hint="eastAsia"/>
              </w:rPr>
              <w:t xml:space="preserve">半导体、通信、算力硬件</w:t>
            </w:r>
          </w:p>
        </w:tc>
      </w:tr>
      <w:tr>
        <w:tc>
          <w:tcPr/>
          <w:p>
            <w:pPr>
              <w:pStyle w:val="Compact"/>
            </w:pPr>
            <w:r>
              <w:t xml:space="preserve">2026-11-02</w:t>
            </w:r>
          </w:p>
        </w:tc>
        <w:tc>
          <w:tcPr/>
          <w:p>
            <w:pPr>
              <w:pStyle w:val="Compact"/>
            </w:pPr>
            <w:r>
              <w:rPr>
                <w:rFonts w:hint="eastAsia"/>
              </w:rPr>
              <w:t xml:space="preserve">两融最新数据仅结算至10月29日</w:t>
            </w:r>
          </w:p>
        </w:tc>
        <w:tc>
          <w:tcPr/>
          <w:p>
            <w:pPr>
              <w:pStyle w:val="Compact"/>
            </w:pPr>
            <w:r>
              <w:rPr>
                <w:rFonts w:hint="eastAsia"/>
              </w:rPr>
              <w:t xml:space="preserve">杠杆风险偏好判断存在日期滞后</w:t>
            </w:r>
          </w:p>
        </w:tc>
      </w:tr>
      <w:tr>
        <w:tc>
          <w:tcPr/>
          <w:p>
            <w:pPr>
              <w:pStyle w:val="Compact"/>
            </w:pPr>
            <w:r>
              <w:t xml:space="preserve">2026-11-04</w:t>
            </w:r>
          </w:p>
        </w:tc>
        <w:tc>
          <w:tcPr/>
          <w:p>
            <w:pPr>
              <w:pStyle w:val="Compact"/>
            </w:pPr>
            <w:r>
              <w:rPr>
                <w:rFonts w:hint="eastAsia"/>
              </w:rPr>
              <w:t xml:space="preserve">千问集成Apple智能的开发者Beta版计划开放测试</w:t>
            </w:r>
          </w:p>
        </w:tc>
        <w:tc>
          <w:tcPr/>
          <w:p>
            <w:pPr>
              <w:pStyle w:val="Compact"/>
            </w:pPr>
            <w:r>
              <w:rPr>
                <w:rFonts w:hint="eastAsia"/>
              </w:rPr>
              <w:t xml:space="preserve">端侧AI、软件生态和消费电子预期</w:t>
            </w:r>
          </w:p>
        </w:tc>
      </w:tr>
    </w:tbl>
    <w:p>
      <w:pPr>
        <w:pStyle w:val="Compact"/>
        <w:numPr>
          <w:ilvl w:val="0"/>
          <w:numId w:val="1033"/>
        </w:numPr>
      </w:pPr>
      <w:r>
        <w:rPr>
          <w:rFonts w:hint="eastAsia"/>
        </w:rPr>
        <w:t xml:space="preserve">Collector没有取得完整官方宏观日历，因此不补写央行、通胀、就业或海外议息事件时间。</w:t>
      </w:r>
    </w:p>
    <w:p>
      <w:pPr>
        <w:pStyle w:val="Compact"/>
        <w:numPr>
          <w:ilvl w:val="0"/>
          <w:numId w:val="1033"/>
        </w:numPr>
      </w:pPr>
      <w:r>
        <w:rPr>
          <w:rFonts w:hint="eastAsia"/>
        </w:rPr>
        <w:t xml:space="preserve">今日最需要监控的是外部科技跌势、重组复牌波动、监管立案和市场宽度能否修复。</w:t>
      </w:r>
    </w:p>
    <w:p>
      <w:r>
        <w:pict>
          <v:rect style="width:0;height:1.5pt" o:hralign="center" o:hrstd="t" o:hr="t"/>
        </w:pict>
      </w:r>
    </w:p>
    <w:bookmarkEnd w:id="56"/>
    <w:bookmarkStart w:id="59" w:name="外资与离岸风险偏好"/>
    <w:p>
      <w:pPr>
        <w:pStyle w:val="Heading2"/>
      </w:pPr>
      <w:r>
        <w:t xml:space="preserve">🌊 </w:t>
      </w:r>
      <w:r>
        <w:rPr>
          <w:rFonts w:hint="eastAsia"/>
        </w:rPr>
        <w:t xml:space="preserve">外资与离岸风险偏好</w:t>
      </w:r>
    </w:p>
    <w:bookmarkStart w:id="57" w:name="离岸市场快照"/>
    <w:p>
      <w:pPr>
        <w:pStyle w:val="Heading3"/>
      </w:pPr>
      <w:r>
        <w:t xml:space="preserve">🌊 </w:t>
      </w:r>
      <w:r>
        <w:rPr>
          <w:rFonts w:hint="eastAsia"/>
        </w:rPr>
        <w:t xml:space="preserve">离岸市场快照</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指标</w:t>
            </w:r>
          </w:p>
        </w:tc>
        <w:tc>
          <w:tcPr/>
          <w:p>
            <w:pPr>
              <w:pStyle w:val="Compact"/>
              <w:jc w:val="right"/>
            </w:pPr>
            <w:r>
              <w:rPr>
                <w:rFonts w:hint="eastAsia"/>
              </w:rPr>
              <w:t xml:space="preserve">最新值</w:t>
            </w:r>
          </w:p>
        </w:tc>
        <w:tc>
          <w:tcPr/>
          <w:p>
            <w:pPr>
              <w:pStyle w:val="Compact"/>
              <w:jc w:val="right"/>
            </w:pPr>
            <w:r>
              <w:rPr>
                <w:rFonts w:hint="eastAsia"/>
              </w:rPr>
              <w:t xml:space="preserve">涨跌幅</w:t>
            </w:r>
          </w:p>
        </w:tc>
        <w:tc>
          <w:tcPr/>
          <w:p>
            <w:pPr>
              <w:pStyle w:val="Compact"/>
            </w:pPr>
            <w:r>
              <w:rPr>
                <w:rFonts w:hint="eastAsia"/>
              </w:rPr>
              <w:t xml:space="preserve">行情日期</w:t>
            </w:r>
          </w:p>
        </w:tc>
      </w:tr>
      <w:tr>
        <w:tc>
          <w:tcPr/>
          <w:p>
            <w:pPr>
              <w:pStyle w:val="Compact"/>
            </w:pPr>
            <w:r>
              <w:rPr>
                <w:rFonts w:hint="eastAsia"/>
              </w:rPr>
              <w:t xml:space="preserve">恒生指数</w:t>
            </w:r>
          </w:p>
        </w:tc>
        <w:tc>
          <w:tcPr/>
          <w:p>
            <w:pPr>
              <w:pStyle w:val="Compact"/>
              <w:jc w:val="right"/>
            </w:pPr>
            <w:r>
              <w:t xml:space="preserve">22958.65</w:t>
            </w:r>
          </w:p>
        </w:tc>
        <w:tc>
          <w:tcPr/>
          <w:p>
            <w:pPr>
              <w:pStyle w:val="Compact"/>
              <w:jc w:val="right"/>
            </w:pPr>
            <w:r>
              <w:t xml:space="preserve">📈 +1.46%</w:t>
            </w:r>
          </w:p>
        </w:tc>
        <w:tc>
          <w:tcPr/>
          <w:p>
            <w:pPr>
              <w:pStyle w:val="Compact"/>
            </w:pPr>
            <w:r>
              <w:t xml:space="preserve">2026-10-31</w:t>
            </w:r>
          </w:p>
        </w:tc>
      </w:tr>
      <w:tr>
        <w:tc>
          <w:tcPr/>
          <w:p>
            <w:pPr>
              <w:pStyle w:val="Compact"/>
            </w:pPr>
            <w:r>
              <w:rPr>
                <w:rFonts w:hint="eastAsia"/>
              </w:rPr>
              <w:t xml:space="preserve">富时中国A50期指</w:t>
            </w:r>
          </w:p>
        </w:tc>
        <w:tc>
          <w:tcPr/>
          <w:p>
            <w:pPr>
              <w:pStyle w:val="Compact"/>
              <w:jc w:val="right"/>
            </w:pPr>
            <w:r>
              <w:t xml:space="preserve">12816.72</w:t>
            </w:r>
          </w:p>
        </w:tc>
        <w:tc>
          <w:tcPr/>
          <w:p>
            <w:pPr>
              <w:pStyle w:val="Compact"/>
              <w:jc w:val="right"/>
            </w:pPr>
            <w:r>
              <w:t xml:space="preserve">📈 +0.06%</w:t>
            </w:r>
          </w:p>
        </w:tc>
        <w:tc>
          <w:tcPr/>
          <w:p>
            <w:pPr>
              <w:pStyle w:val="Compact"/>
            </w:pPr>
            <w:r>
              <w:t xml:space="preserve">2026-10-31</w:t>
            </w:r>
          </w:p>
        </w:tc>
      </w:tr>
      <w:tr>
        <w:tc>
          <w:tcPr/>
          <w:p>
            <w:pPr>
              <w:pStyle w:val="Compact"/>
            </w:pPr>
            <w:r>
              <w:rPr>
                <w:rFonts w:hint="eastAsia"/>
              </w:rPr>
              <w:t xml:space="preserve">美元兑离岸人民币</w:t>
            </w:r>
          </w:p>
        </w:tc>
        <w:tc>
          <w:tcPr/>
          <w:p>
            <w:pPr>
              <w:pStyle w:val="Compact"/>
              <w:jc w:val="right"/>
            </w:pPr>
            <w:r>
              <w:t xml:space="preserve">6.6530</w:t>
            </w:r>
          </w:p>
        </w:tc>
        <w:tc>
          <w:tcPr/>
          <w:p>
            <w:pPr>
              <w:pStyle w:val="Compact"/>
              <w:jc w:val="right"/>
            </w:pPr>
            <w:r>
              <w:rPr>
                <w:rFonts w:hint="eastAsia"/>
              </w:rPr>
              <w:t xml:space="preserve">源字段-0.01%</w:t>
            </w:r>
          </w:p>
        </w:tc>
        <w:tc>
          <w:tcPr/>
          <w:p>
            <w:pPr>
              <w:pStyle w:val="Compact"/>
            </w:pPr>
            <w:r>
              <w:t xml:space="preserve">2026-11-02 </w:t>
            </w:r>
            <w:r>
              <w:rPr>
                <w:rFonts w:hint="eastAsia"/>
              </w:rPr>
              <w:t xml:space="preserve">08:30前</w:t>
            </w:r>
          </w:p>
        </w:tc>
      </w:tr>
    </w:tbl>
    <w:bookmarkEnd w:id="57"/>
    <w:bookmarkStart w:id="58" w:name="风险偏好解读"/>
    <w:p>
      <w:pPr>
        <w:pStyle w:val="Heading3"/>
      </w:pPr>
      <w:r>
        <w:t xml:space="preserve">🧭 </w:t>
      </w:r>
      <w:r>
        <w:rPr>
          <w:rFonts w:hint="eastAsia"/>
        </w:rPr>
        <w:t xml:space="preserve">风险偏好解读</w:t>
      </w:r>
    </w:p>
    <w:p>
      <w:pPr>
        <w:pStyle w:val="Compact"/>
        <w:numPr>
          <w:ilvl w:val="0"/>
          <w:numId w:val="1034"/>
        </w:numPr>
      </w:pPr>
      <w:r>
        <w:rPr>
          <w:rFonts w:hint="eastAsia"/>
        </w:rPr>
        <w:t xml:space="preserve">恒生指数上涨1.46%、A50期指上涨0.06%，中国资产离岸指标相对美股科技板块更稳定。</w:t>
      </w:r>
    </w:p>
    <w:p>
      <w:pPr>
        <w:pStyle w:val="Compact"/>
        <w:numPr>
          <w:ilvl w:val="0"/>
          <w:numId w:val="1034"/>
        </w:numPr>
      </w:pPr>
      <w:r>
        <w:rPr>
          <w:rFonts w:hint="eastAsia"/>
        </w:rPr>
        <w:t xml:space="preserve">离岸人民币报价6.6530，没有出现足以单独确认外资风险偏好显著恶化的价格信号。</w:t>
      </w:r>
    </w:p>
    <w:p>
      <w:pPr>
        <w:pStyle w:val="Compact"/>
        <w:numPr>
          <w:ilvl w:val="0"/>
          <w:numId w:val="1034"/>
        </w:numPr>
      </w:pPr>
      <w:r>
        <w:rPr>
          <w:rFonts w:hint="eastAsia"/>
        </w:rPr>
        <w:t xml:space="preserve">美股科技大跌与中国资产离岸指标偏稳同时存在，盘前更可能体现为A股内部风格分化，而非所有板块同方向定价。</w:t>
      </w:r>
    </w:p>
    <w:p>
      <w:pPr>
        <w:pStyle w:val="Compact"/>
        <w:numPr>
          <w:ilvl w:val="0"/>
          <w:numId w:val="1034"/>
        </w:numPr>
      </w:pPr>
      <w:r>
        <w:rPr>
          <w:rFonts w:hint="eastAsia"/>
        </w:rPr>
        <w:t xml:space="preserve">Collector没有直接取得北向资金净买入、净卖出数据，因此不从A50、港股或汇率反推外资实际流量。</w:t>
      </w:r>
    </w:p>
    <w:p>
      <w:r>
        <w:pict>
          <v:rect style="width:0;height:1.5pt" o:hralign="center" o:hrstd="t" o:hr="t"/>
        </w:pict>
      </w:r>
    </w:p>
    <w:bookmarkEnd w:id="58"/>
    <w:bookmarkEnd w:id="59"/>
    <w:bookmarkStart w:id="60" w:name="策略评分与收盘证据核对"/>
    <w:p>
      <w:pPr>
        <w:pStyle w:val="Heading2"/>
      </w:pPr>
      <w:r>
        <w:t xml:space="preserve">📏 </w:t>
      </w:r>
      <w:r>
        <w:rPr>
          <w:rFonts w:hint="eastAsia"/>
        </w:rPr>
        <w:t xml:space="preserve">策略评分与收盘证据核对</w:t>
      </w:r>
    </w:p>
    <w:p>
      <w:pPr>
        <w:pStyle w:val="Compact"/>
        <w:numPr>
          <w:ilvl w:val="0"/>
          <w:numId w:val="1035"/>
        </w:numPr>
      </w:pPr>
      <w:r>
        <w:rPr>
          <w:rFonts w:hint="eastAsia"/>
        </w:rPr>
        <w:t xml:space="preserve">本轮没有2026-11-02已经正式发布的盘前报告或午盘报告作为基准，</w:t>
      </w:r>
      <w:r>
        <w:rPr>
          <w:rStyle w:val="VerbatimChar"/>
        </w:rPr>
        <w:t xml:space="preserve">strategy_review.available_docs.morning</w:t>
      </w:r>
      <w:r>
        <w:rPr>
          <w:rFonts w:hint="eastAsia"/>
        </w:rPr>
        <w:t xml:space="preserve">和</w:t>
      </w:r>
      <w:r>
        <w:rPr>
          <w:rStyle w:val="VerbatimChar"/>
        </w:rPr>
        <w:t xml:space="preserve">noon</w:t>
      </w:r>
      <w:r>
        <w:rPr>
          <w:rFonts w:hint="eastAsia"/>
        </w:rPr>
        <w:t xml:space="preserve">均为false。</w:t>
      </w:r>
    </w:p>
    <w:p>
      <w:pPr>
        <w:pStyle w:val="Compact"/>
        <w:numPr>
          <w:ilvl w:val="0"/>
          <w:numId w:val="1035"/>
        </w:numPr>
      </w:pPr>
      <w:r>
        <w:rPr>
          <w:rFonts w:hint="eastAsia"/>
        </w:rPr>
        <w:t xml:space="preserve">因缺少同日事前策略文本，</w:t>
      </w:r>
      <w:r>
        <w:rPr>
          <w:rFonts w:hint="eastAsia"/>
          <w:b/>
          <w:bCs/>
        </w:rPr>
        <w:t xml:space="preserve">无法生成策略评分、命中率或综合分</w:t>
      </w:r>
      <w:r>
        <w:rPr>
          <w:rFonts w:hint="eastAsia"/>
        </w:rPr>
        <w:t xml:space="preserve">，也不使用自动参考值代替正式评分。</w:t>
      </w:r>
    </w:p>
    <w:p>
      <w:pPr>
        <w:pStyle w:val="Compact"/>
        <w:numPr>
          <w:ilvl w:val="0"/>
          <w:numId w:val="1035"/>
        </w:numPr>
      </w:pPr>
      <w:r>
        <w:rPr>
          <w:rFonts w:hint="eastAsia"/>
        </w:rPr>
        <w:t xml:space="preserve">当前仅完成收盘证据核对：2026-10-30指数普跌、成交额增加7.45%、涨跌比0.194，防御板块获得资金流入，科技核心股多数处于D级。</w:t>
      </w:r>
    </w:p>
    <w:p>
      <w:pPr>
        <w:pStyle w:val="Compact"/>
        <w:numPr>
          <w:ilvl w:val="0"/>
          <w:numId w:val="1035"/>
        </w:numPr>
      </w:pPr>
      <w:r>
        <w:rPr>
          <w:rFonts w:hint="eastAsia"/>
        </w:rPr>
        <w:t xml:space="preserve">后续只能以本报告明确写出的仓位、触发条件和失效条件进行收盘核对，不倒推事前观点。</w:t>
      </w:r>
    </w:p>
    <w:p>
      <w:r>
        <w:pict>
          <v:rect style="width:0;height:1.5pt" o:hralign="center" o:hrstd="t" o:hr="t"/>
        </w:pict>
      </w:r>
    </w:p>
    <w:bookmarkEnd w:id="60"/>
    <w:bookmarkStart w:id="61" w:name="最终风险提示"/>
    <w:p>
      <w:pPr>
        <w:pStyle w:val="Heading2"/>
      </w:pPr>
      <w:r>
        <w:t xml:space="preserve">⚠️ </w:t>
      </w:r>
      <w:r>
        <w:rPr>
          <w:rFonts w:hint="eastAsia"/>
        </w:rPr>
        <w:t xml:space="preserve">最终风险提示</w:t>
      </w:r>
    </w:p>
    <w:p>
      <w:pPr>
        <w:pStyle w:val="Compact"/>
        <w:numPr>
          <w:ilvl w:val="0"/>
          <w:numId w:val="1036"/>
        </w:numPr>
      </w:pPr>
      <w:r>
        <w:rPr>
          <w:rFonts w:hint="eastAsia"/>
        </w:rPr>
        <w:t xml:space="preserve">本报告依据截至2026-11-02盘前保存的Collector快照及新闻联播存档，不使用报告日开盘后的行情。</w:t>
      </w:r>
    </w:p>
    <w:p>
      <w:pPr>
        <w:pStyle w:val="Compact"/>
        <w:numPr>
          <w:ilvl w:val="0"/>
          <w:numId w:val="1036"/>
        </w:numPr>
      </w:pPr>
      <w:r>
        <w:rPr>
          <w:rFonts w:hint="eastAsia"/>
        </w:rPr>
        <w:t xml:space="preserve">宽基ETF份额、300ETF</w:t>
      </w:r>
      <w:r>
        <w:t xml:space="preserve"> </w:t>
      </w:r>
      <w:r>
        <w:rPr>
          <w:rFonts w:hint="eastAsia"/>
        </w:rPr>
        <w:t xml:space="preserve">QVIX和TickFlow全市场概览因超时或快照完整性不足而不进入结论，也不进行替代估算。</w:t>
      </w:r>
    </w:p>
    <w:p>
      <w:pPr>
        <w:pStyle w:val="Compact"/>
        <w:numPr>
          <w:ilvl w:val="0"/>
          <w:numId w:val="1036"/>
        </w:numPr>
      </w:pPr>
      <w:r>
        <w:rPr>
          <w:rFonts w:hint="eastAsia"/>
        </w:rPr>
        <w:t xml:space="preserve">TickFlow重点股技术数据基准日为2026-10-29，仅用于日K校验；2026-10-30收盘行情以华泰、同花顺及新浪/腾讯数据为准。</w:t>
      </w:r>
    </w:p>
    <w:p>
      <w:pPr>
        <w:pStyle w:val="Compact"/>
        <w:numPr>
          <w:ilvl w:val="0"/>
          <w:numId w:val="1036"/>
        </w:numPr>
      </w:pPr>
      <w:r>
        <w:rPr>
          <w:rFonts w:hint="eastAsia"/>
        </w:rPr>
        <w:t xml:space="preserve">所有策略均以条件触发和风险控制为前提，不构成收益承诺。</w:t>
      </w:r>
    </w:p>
    <w:p>
      <w:r>
        <w:pict>
          <v:rect style="width:0;height:1.5pt" o:hralign="center" o:hrstd="t" o:hr="t"/>
        </w:pict>
      </w:r>
    </w:p>
    <w:p>
      <w:pPr>
        <w:pStyle w:val="BlockText"/>
      </w:pPr>
      <w:r>
        <w:t xml:space="preserve">📊 </w:t>
      </w:r>
      <w:r>
        <w:rPr>
          <w:rFonts w:hint="eastAsia"/>
        </w:rPr>
        <w:t xml:space="preserve">生成时间：2026-11-02</w:t>
      </w:r>
      <w:r>
        <w:t xml:space="preserve"> 08:30:23 +0800</w:t>
      </w:r>
      <w:r>
        <w:br/>
      </w:r>
      <w:r>
        <w:t xml:space="preserve">🦞 </w:t>
      </w:r>
      <w:r>
        <w:rPr>
          <w:rFonts w:hint="eastAsia"/>
        </w:rPr>
        <w:t xml:space="preserve">by：奇迹早知道</w:t>
      </w:r>
      <w:r>
        <w:t xml:space="preserve"> v4.1</w:t>
      </w:r>
      <w:r>
        <w:br/>
      </w:r>
      <w:r>
        <w:t xml:space="preserve">🔵 </w:t>
      </w:r>
      <w:r>
        <w:rPr>
          <w:rFonts w:hint="eastAsia"/>
        </w:rPr>
        <w:t xml:space="preserve">数据采集：Python</w:t>
      </w:r>
      <w:r>
        <w:t xml:space="preserve"> </w:t>
      </w:r>
      <w:r>
        <w:rPr>
          <w:rFonts w:hint="eastAsia"/>
        </w:rPr>
        <w:t xml:space="preserve">标准库</w:t>
      </w:r>
      <w:r>
        <w:t xml:space="preserve"> + </w:t>
      </w:r>
      <w:r>
        <w:rPr>
          <w:rFonts w:hint="eastAsia"/>
        </w:rPr>
        <w:t xml:space="preserve">华泰skill</w:t>
      </w:r>
      <w:r>
        <w:t xml:space="preserve"> + </w:t>
      </w:r>
      <w:r>
        <w:rPr>
          <w:rFonts w:hint="eastAsia"/>
        </w:rPr>
        <w:t xml:space="preserve">东财push2ex/datacenter/F10</w:t>
      </w:r>
      <w:r>
        <w:t xml:space="preserve"> + </w:t>
      </w:r>
      <w:r>
        <w:rPr>
          <w:rFonts w:hint="eastAsia"/>
        </w:rPr>
        <w:t xml:space="preserve">东方财富妙想mx-data/mx-search/mx-xuangu（只读增强）+</w:t>
      </w:r>
      <w:r>
        <w:t xml:space="preserve"> </w:t>
      </w:r>
      <w:r>
        <w:rPr>
          <w:rFonts w:hint="eastAsia"/>
        </w:rPr>
        <w:t xml:space="preserve">TickFlow重点股日K（只读技术校验）+</w:t>
      </w:r>
      <w:r>
        <w:t xml:space="preserve"> </w:t>
      </w:r>
      <w:r>
        <w:rPr>
          <w:rFonts w:hint="eastAsia"/>
        </w:rPr>
        <w:t xml:space="preserve">同花顺dq</w:t>
      </w:r>
      <w:r>
        <w:t xml:space="preserve"> + </w:t>
      </w:r>
      <w:r>
        <w:rPr>
          <w:rFonts w:hint="eastAsia"/>
        </w:rPr>
        <w:t xml:space="preserve">新浪/腾讯行情</w:t>
      </w:r>
      <w:r>
        <w:t xml:space="preserve"> + </w:t>
      </w:r>
      <w:r>
        <w:rPr>
          <w:rFonts w:hint="eastAsia"/>
        </w:rPr>
        <w:t xml:space="preserve">financial_rigor验算</w:t>
      </w:r>
      <w:r>
        <w:br/>
      </w:r>
      <w:r>
        <w:t xml:space="preserve">🔴 </w:t>
      </w:r>
      <w:r>
        <w:rPr>
          <w:rFonts w:hint="eastAsia"/>
        </w:rPr>
        <w:t xml:space="preserve">分析+写稿模型：GPT-5.6</w:t>
      </w:r>
      <w:r>
        <w:t xml:space="preserve"> Sol (openai-codex)</w:t>
      </w:r>
      <w:r>
        <w:br/>
      </w:r>
      <w:r>
        <w:t xml:space="preserve">📄 </w:t>
      </w:r>
      <w:r>
        <w:rPr>
          <w:rFonts w:hint="eastAsia"/>
        </w:rPr>
        <w:t xml:space="preserve">文档生成：pandoc</w:t>
      </w:r>
      <w:r>
        <w:t xml:space="preserve"> (markdown → docx)</w:t>
      </w:r>
    </w:p>
    <w:bookmarkEnd w:id="61"/>
    <w:bookmarkEnd w:id="6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2026-11-02T00:48:55Z</dcterms:created>
  <dcterms:modified xsi:type="dcterms:W3CDTF">2026-11-02T00:48:55Z</dcterms:modified>
</cp:coreProperties>
</file>

<file path=docProps/custom.xml><?xml version="1.0" encoding="utf-8"?>
<Properties xmlns="http://schemas.openxmlformats.org/officeDocument/2006/custom-properties" xmlns:vt="http://schemas.openxmlformats.org/officeDocument/2006/docPropsVTypes"/>
</file>