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7" w:name="奇迹早知道2026-10-29盘前简报"/>
    <w:p>
      <w:pPr>
        <w:pStyle w:val="Heading1"/>
      </w:pPr>
      <w:r>
        <w:t xml:space="preserve">🦞 </w:t>
      </w:r>
      <w:r>
        <w:rPr>
          <w:rFonts w:hint="eastAsia"/>
        </w:rPr>
        <w:t xml:space="preserve">奇迹早知道｜2026-10-29盘前简报</w:t>
      </w:r>
    </w:p>
    <w:bookmarkStart w:id="12" w:name="隔夜全球市场指数温和收涨半导体内部明显分化"/>
    <w:p>
      <w:pPr>
        <w:pStyle w:val="Heading2"/>
      </w:pPr>
      <w:r>
        <w:t xml:space="preserve">🌍 </w:t>
      </w:r>
      <w:r>
        <w:rPr>
          <w:rFonts w:hint="eastAsia"/>
        </w:rPr>
        <w:t xml:space="preserve">隔夜全球市场：指数温和收涨，半导体内部明显分化</w:t>
      </w:r>
    </w:p>
    <w:bookmarkStart w:id="9" w:name="美股三大指数"/>
    <w:p>
      <w:pPr>
        <w:pStyle w:val="Heading3"/>
      </w:pPr>
      <w:r>
        <w:t xml:space="preserve">📈 </w:t>
      </w:r>
      <w:r>
        <w:rPr>
          <w:rFonts w:hint="eastAsia"/>
        </w:rPr>
        <w:t xml:space="preserve">美股三大指数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道琼斯</w:t>
            </w:r>
          </w:p>
        </w:tc>
        <w:tc>
          <w:tcPr/>
          <w:p>
            <w:pPr>
              <w:pStyle w:val="Compact"/>
              <w:jc w:val="right"/>
            </w:pPr>
            <w:r>
              <w:t xml:space="preserve">52475.1016</w:t>
            </w:r>
          </w:p>
        </w:tc>
        <w:tc>
          <w:tcPr/>
          <w:p>
            <w:pPr>
              <w:pStyle w:val="Compact"/>
              <w:jc w:val="right"/>
            </w:pPr>
            <w:r>
              <w:t xml:space="preserve">🔴 +0.19%</w:t>
            </w:r>
          </w:p>
        </w:tc>
      </w:tr>
      <w:tr>
        <w:tc>
          <w:tcPr/>
          <w:p>
            <w:pPr>
              <w:pStyle w:val="Compact"/>
            </w:pPr>
            <w:r>
              <w:rPr>
                <w:rFonts w:hint="eastAsia"/>
              </w:rPr>
              <w:t xml:space="preserve">纳斯达克</w:t>
            </w:r>
          </w:p>
        </w:tc>
        <w:tc>
          <w:tcPr/>
          <w:p>
            <w:pPr>
              <w:pStyle w:val="Compact"/>
              <w:jc w:val="right"/>
            </w:pPr>
            <w:r>
              <w:t xml:space="preserve">26549.8507</w:t>
            </w:r>
          </w:p>
        </w:tc>
        <w:tc>
          <w:tcPr/>
          <w:p>
            <w:pPr>
              <w:pStyle w:val="Compact"/>
              <w:jc w:val="right"/>
            </w:pPr>
            <w:r>
              <w:t xml:space="preserve">🔴 +0.27%</w:t>
            </w:r>
          </w:p>
        </w:tc>
      </w:tr>
      <w:tr>
        <w:tc>
          <w:tcPr/>
          <w:p>
            <w:pPr>
              <w:pStyle w:val="Compact"/>
            </w:pPr>
            <w:r>
              <w:rPr>
                <w:rFonts w:hint="eastAsia"/>
              </w:rPr>
              <w:t xml:space="preserve">标普500</w:t>
            </w:r>
          </w:p>
        </w:tc>
        <w:tc>
          <w:tcPr/>
          <w:p>
            <w:pPr>
              <w:pStyle w:val="Compact"/>
              <w:jc w:val="right"/>
            </w:pPr>
            <w:r>
              <w:t xml:space="preserve">7743.9800</w:t>
            </w:r>
          </w:p>
        </w:tc>
        <w:tc>
          <w:tcPr/>
          <w:p>
            <w:pPr>
              <w:pStyle w:val="Compact"/>
              <w:jc w:val="right"/>
            </w:pPr>
            <w:r>
              <w:t xml:space="preserve">🔴 +0.28%</w:t>
            </w:r>
          </w:p>
        </w:tc>
      </w:tr>
    </w:tbl>
    <w:p>
      <w:pPr>
        <w:pStyle w:val="Compact"/>
        <w:numPr>
          <w:ilvl w:val="0"/>
          <w:numId w:val="1001"/>
        </w:numPr>
      </w:pPr>
      <w:r>
        <w:rPr>
          <w:rFonts w:hint="eastAsia"/>
        </w:rPr>
        <w:t xml:space="preserve">三大指数同步收涨，但涨幅均不足0.30%，反映风险偏好改善但并未进入单边扩张状态。</w:t>
      </w:r>
    </w:p>
    <w:p>
      <w:pPr>
        <w:pStyle w:val="Compact"/>
        <w:numPr>
          <w:ilvl w:val="0"/>
          <w:numId w:val="1001"/>
        </w:numPr>
      </w:pPr>
      <w:r>
        <w:rPr>
          <w:rFonts w:hint="eastAsia"/>
        </w:rPr>
        <w:t xml:space="preserve">纳斯达克涨幅领先，道琼斯相对落后，隔夜风格仍偏成长。</w:t>
      </w:r>
    </w:p>
    <w:bookmarkEnd w:id="9"/>
    <w:bookmarkStart w:id="10" w:name="五只核心半导体个股"/>
    <w:p>
      <w:pPr>
        <w:pStyle w:val="Heading3"/>
      </w:pPr>
      <w:r>
        <w:t xml:space="preserve">🧩 </w:t>
      </w:r>
      <w:r>
        <w:rPr>
          <w:rFonts w:hint="eastAsia"/>
        </w:rPr>
        <w:t xml:space="preserve">五只核心半导体个股</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个股</w:t>
            </w:r>
          </w:p>
        </w:tc>
        <w:tc>
          <w:tcPr/>
          <w:p>
            <w:pPr>
              <w:pStyle w:val="Compact"/>
              <w:jc w:val="right"/>
            </w:pPr>
            <w:r>
              <w:rPr>
                <w:rFonts w:hint="eastAsia"/>
              </w:rPr>
              <w:t xml:space="preserve">收盘价</w:t>
            </w:r>
          </w:p>
        </w:tc>
        <w:tc>
          <w:tcPr/>
          <w:p>
            <w:pPr>
              <w:pStyle w:val="Compact"/>
              <w:jc w:val="right"/>
            </w:pPr>
            <w:r>
              <w:rPr>
                <w:rFonts w:hint="eastAsia"/>
              </w:rPr>
              <w:t xml:space="preserve">涨跌幅</w:t>
            </w:r>
          </w:p>
        </w:tc>
      </w:tr>
      <w:tr>
        <w:tc>
          <w:tcPr/>
          <w:p>
            <w:pPr>
              <w:pStyle w:val="Compact"/>
            </w:pPr>
            <w:r>
              <w:rPr>
                <w:rFonts w:hint="eastAsia"/>
              </w:rPr>
              <w:t xml:space="preserve">英伟达</w:t>
            </w:r>
          </w:p>
        </w:tc>
        <w:tc>
          <w:tcPr/>
          <w:p>
            <w:pPr>
              <w:pStyle w:val="Compact"/>
              <w:jc w:val="right"/>
            </w:pPr>
            <w:r>
              <w:rPr>
                <w:rFonts w:hint="eastAsia"/>
              </w:rPr>
              <w:t xml:space="preserve">215.38美元</w:t>
            </w:r>
          </w:p>
        </w:tc>
        <w:tc>
          <w:tcPr/>
          <w:p>
            <w:pPr>
              <w:pStyle w:val="Compact"/>
              <w:jc w:val="right"/>
            </w:pPr>
            <w:r>
              <w:t xml:space="preserve">🟢 -1.17%</w:t>
            </w:r>
          </w:p>
        </w:tc>
      </w:tr>
      <w:tr>
        <w:tc>
          <w:tcPr/>
          <w:p>
            <w:pPr>
              <w:pStyle w:val="Compact"/>
            </w:pPr>
            <w:r>
              <w:t xml:space="preserve">AMD</w:t>
            </w:r>
          </w:p>
        </w:tc>
        <w:tc>
          <w:tcPr/>
          <w:p>
            <w:pPr>
              <w:pStyle w:val="Compact"/>
              <w:jc w:val="right"/>
            </w:pPr>
            <w:r>
              <w:rPr>
                <w:rFonts w:hint="eastAsia"/>
              </w:rPr>
              <w:t xml:space="preserve">578.44美元</w:t>
            </w:r>
          </w:p>
        </w:tc>
        <w:tc>
          <w:tcPr/>
          <w:p>
            <w:pPr>
              <w:pStyle w:val="Compact"/>
              <w:jc w:val="right"/>
            </w:pPr>
            <w:r>
              <w:t xml:space="preserve">🔴 +3.24%</w:t>
            </w:r>
          </w:p>
        </w:tc>
      </w:tr>
      <w:tr>
        <w:tc>
          <w:tcPr/>
          <w:p>
            <w:pPr>
              <w:pStyle w:val="Compact"/>
            </w:pPr>
            <w:r>
              <w:rPr>
                <w:rFonts w:hint="eastAsia"/>
              </w:rPr>
              <w:t xml:space="preserve">台积电</w:t>
            </w:r>
          </w:p>
        </w:tc>
        <w:tc>
          <w:tcPr/>
          <w:p>
            <w:pPr>
              <w:pStyle w:val="Compact"/>
              <w:jc w:val="right"/>
            </w:pPr>
            <w:r>
              <w:rPr>
                <w:rFonts w:hint="eastAsia"/>
              </w:rPr>
              <w:t xml:space="preserve">439.51美元</w:t>
            </w:r>
          </w:p>
        </w:tc>
        <w:tc>
          <w:tcPr/>
          <w:p>
            <w:pPr>
              <w:pStyle w:val="Compact"/>
              <w:jc w:val="right"/>
            </w:pPr>
            <w:r>
              <w:t xml:space="preserve">🔴 +0.60%</w:t>
            </w:r>
          </w:p>
        </w:tc>
      </w:tr>
      <w:tr>
        <w:tc>
          <w:tcPr/>
          <w:p>
            <w:pPr>
              <w:pStyle w:val="Compact"/>
            </w:pPr>
            <w:r>
              <w:rPr>
                <w:rFonts w:hint="eastAsia"/>
              </w:rPr>
              <w:t xml:space="preserve">博通</w:t>
            </w:r>
          </w:p>
        </w:tc>
        <w:tc>
          <w:tcPr/>
          <w:p>
            <w:pPr>
              <w:pStyle w:val="Compact"/>
              <w:jc w:val="right"/>
            </w:pPr>
            <w:r>
              <w:rPr>
                <w:rFonts w:hint="eastAsia"/>
              </w:rPr>
              <w:t xml:space="preserve">351.81美元</w:t>
            </w:r>
          </w:p>
        </w:tc>
        <w:tc>
          <w:tcPr/>
          <w:p>
            <w:pPr>
              <w:pStyle w:val="Compact"/>
              <w:jc w:val="right"/>
            </w:pPr>
            <w:r>
              <w:t xml:space="preserve">🔴 +2.77%</w:t>
            </w:r>
          </w:p>
        </w:tc>
      </w:tr>
      <w:tr>
        <w:tc>
          <w:tcPr/>
          <w:p>
            <w:pPr>
              <w:pStyle w:val="Compact"/>
            </w:pPr>
            <w:r>
              <w:rPr>
                <w:rFonts w:hint="eastAsia"/>
              </w:rPr>
              <w:t xml:space="preserve">美光</w:t>
            </w:r>
          </w:p>
        </w:tc>
        <w:tc>
          <w:tcPr/>
          <w:p>
            <w:pPr>
              <w:pStyle w:val="Compact"/>
              <w:jc w:val="right"/>
            </w:pPr>
            <w:r>
              <w:rPr>
                <w:rFonts w:hint="eastAsia"/>
              </w:rPr>
              <w:t xml:space="preserve">983.23美元</w:t>
            </w:r>
          </w:p>
        </w:tc>
        <w:tc>
          <w:tcPr/>
          <w:p>
            <w:pPr>
              <w:pStyle w:val="Compact"/>
              <w:jc w:val="right"/>
            </w:pPr>
            <w:r>
              <w:t xml:space="preserve">🔴 +5.86%</w:t>
            </w:r>
          </w:p>
        </w:tc>
      </w:tr>
    </w:tbl>
    <w:p>
      <w:pPr>
        <w:pStyle w:val="Compact"/>
        <w:numPr>
          <w:ilvl w:val="0"/>
          <w:numId w:val="1002"/>
        </w:numPr>
      </w:pPr>
      <w:r>
        <w:rPr>
          <w:rFonts w:hint="eastAsia"/>
        </w:rPr>
        <w:t xml:space="preserve">存储与通信芯片更强：美光、AMD、博通领涨，对A股存储、算力互联和通信设备方向形成映射。</w:t>
      </w:r>
    </w:p>
    <w:p>
      <w:pPr>
        <w:pStyle w:val="Compact"/>
        <w:numPr>
          <w:ilvl w:val="0"/>
          <w:numId w:val="1002"/>
        </w:numPr>
      </w:pPr>
      <w:r>
        <w:rPr>
          <w:rFonts w:hint="eastAsia"/>
        </w:rPr>
        <w:t xml:space="preserve">英伟达逆势下跌1.17%，说明海外AI交易并非全面一致，A股科技方向不宜因隔夜映射直接追高。</w:t>
      </w:r>
    </w:p>
    <w:p>
      <w:pPr>
        <w:pStyle w:val="Compact"/>
        <w:numPr>
          <w:ilvl w:val="0"/>
          <w:numId w:val="1002"/>
        </w:numPr>
      </w:pPr>
      <w:r>
        <w:rPr>
          <w:rFonts w:hint="eastAsia"/>
        </w:rPr>
        <w:t xml:space="preserve">台积电上涨0.60%，晶圆制造链保持正反馈，但强度弱于美光、AMD和博通。</w:t>
      </w:r>
    </w:p>
    <w:bookmarkEnd w:id="10"/>
    <w:bookmarkStart w:id="11" w:name="大宗商品与亚洲风险资产"/>
    <w:p>
      <w:pPr>
        <w:pStyle w:val="Heading3"/>
      </w:pPr>
      <w:r>
        <w:t xml:space="preserve">🌐 </w:t>
      </w:r>
      <w:r>
        <w:rPr>
          <w:rFonts w:hint="eastAsia"/>
        </w:rPr>
        <w:t xml:space="preserve">大宗商品与亚洲风险资产</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资产</w:t>
            </w:r>
          </w:p>
        </w:tc>
        <w:tc>
          <w:tcPr/>
          <w:p>
            <w:pPr>
              <w:pStyle w:val="Compact"/>
              <w:jc w:val="right"/>
            </w:pPr>
            <w:r>
              <w:rPr>
                <w:rFonts w:hint="eastAsia"/>
              </w:rPr>
              <w:t xml:space="preserve">最新值</w:t>
            </w:r>
          </w:p>
        </w:tc>
        <w:tc>
          <w:tcPr/>
          <w:p>
            <w:pPr>
              <w:pStyle w:val="Compact"/>
              <w:jc w:val="right"/>
            </w:pPr>
            <w:r>
              <w:rPr>
                <w:rFonts w:hint="eastAsia"/>
              </w:rPr>
              <w:t xml:space="preserve">涨跌幅</w:t>
            </w:r>
          </w:p>
        </w:tc>
      </w:tr>
      <w:tr>
        <w:tc>
          <w:tcPr/>
          <w:p>
            <w:pPr>
              <w:pStyle w:val="Compact"/>
            </w:pPr>
            <w:r>
              <w:rPr>
                <w:rFonts w:hint="eastAsia"/>
              </w:rPr>
              <w:t xml:space="preserve">恒生指数</w:t>
            </w:r>
          </w:p>
        </w:tc>
        <w:tc>
          <w:tcPr/>
          <w:p>
            <w:pPr>
              <w:pStyle w:val="Compact"/>
              <w:jc w:val="right"/>
            </w:pPr>
            <w:r>
              <w:t xml:space="preserve">23041.32</w:t>
            </w:r>
          </w:p>
        </w:tc>
        <w:tc>
          <w:tcPr/>
          <w:p>
            <w:pPr>
              <w:pStyle w:val="Compact"/>
              <w:jc w:val="right"/>
            </w:pPr>
            <w:r>
              <w:t xml:space="preserve">🔴 +0.23%</w:t>
            </w:r>
          </w:p>
        </w:tc>
      </w:tr>
      <w:tr>
        <w:tc>
          <w:tcPr/>
          <w:p>
            <w:pPr>
              <w:pStyle w:val="Compact"/>
            </w:pPr>
            <w:r>
              <w:rPr>
                <w:rFonts w:hint="eastAsia"/>
              </w:rPr>
              <w:t xml:space="preserve">富时中国A50期指</w:t>
            </w:r>
          </w:p>
        </w:tc>
        <w:tc>
          <w:tcPr/>
          <w:p>
            <w:pPr>
              <w:pStyle w:val="Compact"/>
              <w:jc w:val="right"/>
            </w:pPr>
            <w:r>
              <w:t xml:space="preserve">12982.24</w:t>
            </w:r>
          </w:p>
        </w:tc>
        <w:tc>
          <w:tcPr/>
          <w:p>
            <w:pPr>
              <w:pStyle w:val="Compact"/>
              <w:jc w:val="right"/>
            </w:pPr>
            <w:r>
              <w:t xml:space="preserve">🟢 -0.08%</w:t>
            </w:r>
          </w:p>
        </w:tc>
      </w:tr>
      <w:tr>
        <w:tc>
          <w:tcPr/>
          <w:p>
            <w:pPr>
              <w:pStyle w:val="Compact"/>
            </w:pPr>
            <w:r>
              <w:rPr>
                <w:rFonts w:hint="eastAsia"/>
              </w:rPr>
              <w:t xml:space="preserve">COMEX黄金</w:t>
            </w:r>
          </w:p>
        </w:tc>
        <w:tc>
          <w:tcPr/>
          <w:p>
            <w:pPr>
              <w:pStyle w:val="Compact"/>
              <w:jc w:val="right"/>
            </w:pPr>
            <w:r>
              <w:rPr>
                <w:rFonts w:hint="eastAsia"/>
              </w:rPr>
              <w:t xml:space="preserve">4054.636美元</w:t>
            </w:r>
          </w:p>
        </w:tc>
        <w:tc>
          <w:tcPr/>
          <w:p>
            <w:pPr>
              <w:pStyle w:val="Compact"/>
              <w:jc w:val="right"/>
            </w:pPr>
            <w:r>
              <w:t xml:space="preserve">🔴 +0.07%</w:t>
            </w:r>
          </w:p>
        </w:tc>
      </w:tr>
      <w:tr>
        <w:tc>
          <w:tcPr/>
          <w:p>
            <w:pPr>
              <w:pStyle w:val="Compact"/>
            </w:pPr>
            <w:r>
              <w:rPr>
                <w:rFonts w:hint="eastAsia"/>
              </w:rPr>
              <w:t xml:space="preserve">WTI原油</w:t>
            </w:r>
          </w:p>
        </w:tc>
        <w:tc>
          <w:tcPr/>
          <w:p>
            <w:pPr>
              <w:pStyle w:val="Compact"/>
              <w:jc w:val="right"/>
            </w:pPr>
            <w:r>
              <w:rPr>
                <w:rFonts w:hint="eastAsia"/>
              </w:rPr>
              <w:t xml:space="preserve">102.168美元</w:t>
            </w:r>
          </w:p>
        </w:tc>
        <w:tc>
          <w:tcPr/>
          <w:p>
            <w:pPr>
              <w:pStyle w:val="Compact"/>
              <w:jc w:val="right"/>
            </w:pPr>
            <w:r>
              <w:t xml:space="preserve">🟢 -0.60%</w:t>
            </w:r>
          </w:p>
        </w:tc>
      </w:tr>
      <w:tr>
        <w:tc>
          <w:tcPr/>
          <w:p>
            <w:pPr>
              <w:pStyle w:val="Compact"/>
            </w:pPr>
            <w:r>
              <w:rPr>
                <w:rFonts w:hint="eastAsia"/>
              </w:rPr>
              <w:t xml:space="preserve">伦铜</w:t>
            </w:r>
          </w:p>
        </w:tc>
        <w:tc>
          <w:tcPr/>
          <w:p>
            <w:pPr>
              <w:pStyle w:val="Compact"/>
              <w:jc w:val="right"/>
            </w:pPr>
            <w:r>
              <w:t xml:space="preserve">14493.34</w:t>
            </w:r>
          </w:p>
        </w:tc>
        <w:tc>
          <w:tcPr/>
          <w:p>
            <w:pPr>
              <w:pStyle w:val="Compact"/>
              <w:jc w:val="right"/>
            </w:pPr>
            <w:r>
              <w:t xml:space="preserve">🔴 +0.11%</w:t>
            </w:r>
          </w:p>
        </w:tc>
      </w:tr>
    </w:tbl>
    <w:p>
      <w:pPr>
        <w:pStyle w:val="Compact"/>
        <w:numPr>
          <w:ilvl w:val="0"/>
          <w:numId w:val="1003"/>
        </w:numPr>
      </w:pPr>
      <w:r>
        <w:rPr>
          <w:rFonts w:hint="eastAsia"/>
        </w:rPr>
        <w:t xml:space="preserve">A50期指下跌0.08%，没有确认A股高开延续信号。</w:t>
      </w:r>
    </w:p>
    <w:p>
      <w:pPr>
        <w:pStyle w:val="Compact"/>
        <w:numPr>
          <w:ilvl w:val="0"/>
          <w:numId w:val="1003"/>
        </w:numPr>
      </w:pPr>
      <w:r>
        <w:rPr>
          <w:rFonts w:hint="eastAsia"/>
        </w:rPr>
        <w:t xml:space="preserve">WTI原油下跌0.60%，黄金与伦铜小幅上涨，资源品方向缺乏一致性催化。</w:t>
      </w:r>
    </w:p>
    <w:p>
      <w:pPr>
        <w:pStyle w:val="Compact"/>
        <w:numPr>
          <w:ilvl w:val="0"/>
          <w:numId w:val="1003"/>
        </w:numPr>
      </w:pPr>
      <w:r>
        <w:rPr>
          <w:rFonts w:hint="eastAsia"/>
        </w:rPr>
        <w:t xml:space="preserve">海外环境总体偏中性，今日A股更依赖国内政策、成交额及科技主线内部承接。</w:t>
      </w:r>
    </w:p>
    <w:bookmarkEnd w:id="11"/>
    <w:bookmarkEnd w:id="12"/>
    <w:bookmarkStart w:id="18" w:name="新闻联播政策面产业自主电网建设与促内需并行"/>
    <w:p>
      <w:pPr>
        <w:pStyle w:val="Heading2"/>
      </w:pPr>
      <w:r>
        <w:t xml:space="preserve">🏛️ </w:t>
      </w:r>
      <w:r>
        <w:rPr>
          <w:rFonts w:hint="eastAsia"/>
        </w:rPr>
        <w:t xml:space="preserve">新闻联播政策面：产业自主、电网建设与促内需并行</w:t>
      </w:r>
    </w:p>
    <w:bookmarkStart w:id="13" w:name="产业基础自主可控"/>
    <w:p>
      <w:pPr>
        <w:pStyle w:val="Heading3"/>
      </w:pPr>
      <w:r>
        <w:t xml:space="preserve">⚙️ </w:t>
      </w:r>
      <w:r>
        <w:rPr>
          <w:rFonts w:hint="eastAsia"/>
        </w:rPr>
        <w:t xml:space="preserve">产业基础自主可控</w:t>
      </w:r>
    </w:p>
    <w:p>
      <w:pPr>
        <w:pStyle w:val="Compact"/>
        <w:numPr>
          <w:ilvl w:val="0"/>
          <w:numId w:val="1004"/>
        </w:numPr>
      </w:pPr>
      <w:r>
        <w:rPr>
          <w:rFonts w:hint="eastAsia"/>
        </w:rPr>
        <w:t xml:space="preserve">工信部等八部门印发《产业基础能力提升“十五五”规划》，围绕7个方面部署22项重点任务。</w:t>
      </w:r>
    </w:p>
    <w:p>
      <w:pPr>
        <w:pStyle w:val="Compact"/>
        <w:numPr>
          <w:ilvl w:val="0"/>
          <w:numId w:val="1004"/>
        </w:numPr>
      </w:pPr>
      <w:r>
        <w:rPr>
          <w:rFonts w:hint="eastAsia"/>
        </w:rPr>
        <w:t xml:space="preserve">到2030年，政策目标是形成一批引领整机创新的关键基础产品，并推动产业基础能力总体进入国际先进行列。</w:t>
      </w:r>
    </w:p>
    <w:p>
      <w:pPr>
        <w:pStyle w:val="Compact"/>
        <w:numPr>
          <w:ilvl w:val="0"/>
          <w:numId w:val="1004"/>
        </w:numPr>
      </w:pPr>
      <w:r>
        <w:rPr>
          <w:rFonts w:hint="eastAsia"/>
        </w:rPr>
        <w:t xml:space="preserve">A股映射：半导体设备、关键材料、工业母机、仪器仪表、基础软件、行业大模型。</w:t>
      </w:r>
    </w:p>
    <w:p>
      <w:pPr>
        <w:pStyle w:val="Compact"/>
        <w:numPr>
          <w:ilvl w:val="0"/>
          <w:numId w:val="1004"/>
        </w:numPr>
      </w:pPr>
      <w:r>
        <w:rPr>
          <w:rFonts w:hint="eastAsia"/>
        </w:rPr>
        <w:t xml:space="preserve">资金验证：10月28日半导体主力净流入68.91亿元、元件净流入50.31亿元、通用设备净流入17.57亿元、自动化设备净流入14.28亿元，政策与资金方向一致。</w:t>
      </w:r>
    </w:p>
    <w:p>
      <w:pPr>
        <w:pStyle w:val="Compact"/>
        <w:numPr>
          <w:ilvl w:val="0"/>
          <w:numId w:val="1004"/>
        </w:numPr>
      </w:pPr>
      <w:r>
        <w:rPr>
          <w:rFonts w:hint="eastAsia"/>
        </w:rPr>
        <w:t xml:space="preserve">软件开发主力净流出11.80亿元，说明软件方向暂未获得资金确认，应区别于已经形成流入的硬件链。</w:t>
      </w:r>
    </w:p>
    <w:bookmarkEnd w:id="13"/>
    <w:bookmarkStart w:id="14" w:name="新型电网与绿色能源基础设施"/>
    <w:p>
      <w:pPr>
        <w:pStyle w:val="Heading3"/>
      </w:pPr>
      <w:r>
        <w:t xml:space="preserve">⚡ </w:t>
      </w:r>
      <w:r>
        <w:rPr>
          <w:rFonts w:hint="eastAsia"/>
        </w:rPr>
        <w:t xml:space="preserve">新型电网与绿色能源基础设施</w:t>
      </w:r>
    </w:p>
    <w:p>
      <w:pPr>
        <w:pStyle w:val="Compact"/>
        <w:numPr>
          <w:ilvl w:val="0"/>
          <w:numId w:val="1005"/>
        </w:numPr>
      </w:pPr>
      <w:r>
        <w:rPr>
          <w:rFonts w:hint="eastAsia"/>
        </w:rPr>
        <w:t xml:space="preserve">新闻联播重点报道特高压、海上风电柔性直流输电、光热储一体化和虚拟电厂建设。</w:t>
      </w:r>
    </w:p>
    <w:p>
      <w:pPr>
        <w:pStyle w:val="Compact"/>
        <w:numPr>
          <w:ilvl w:val="0"/>
          <w:numId w:val="1005"/>
        </w:numPr>
      </w:pPr>
      <w:r>
        <w:rPr>
          <w:rFonts w:hint="eastAsia"/>
        </w:rPr>
        <w:t xml:space="preserve">A股映射：特高压一次设备、柔直输电、智能电网、虚拟电厂、电力调度系统及电网数字化。</w:t>
      </w:r>
    </w:p>
    <w:p>
      <w:pPr>
        <w:pStyle w:val="Compact"/>
        <w:numPr>
          <w:ilvl w:val="0"/>
          <w:numId w:val="1005"/>
        </w:numPr>
      </w:pPr>
      <w:r>
        <w:rPr>
          <w:rFonts w:hint="eastAsia"/>
        </w:rPr>
        <w:t xml:space="preserve">通用设备和自动化设备已有资金流入，但电池主力净流出14.40亿元，不能将电网政策直接外推为整个新能源产业链普涨。</w:t>
      </w:r>
    </w:p>
    <w:p>
      <w:pPr>
        <w:pStyle w:val="Compact"/>
        <w:numPr>
          <w:ilvl w:val="0"/>
          <w:numId w:val="1005"/>
        </w:numPr>
      </w:pPr>
      <w:r>
        <w:rPr>
          <w:rFonts w:hint="eastAsia"/>
        </w:rPr>
        <w:t xml:space="preserve">操作上优先等待电网设备出现成交额与主力资金同步增强，不以政策新闻替代量价确认。</w:t>
      </w:r>
    </w:p>
    <w:bookmarkEnd w:id="14"/>
    <w:bookmarkStart w:id="15" w:name="财政金融协同促内需"/>
    <w:p>
      <w:pPr>
        <w:pStyle w:val="Heading3"/>
      </w:pPr>
      <w:r>
        <w:t xml:space="preserve">💳 </w:t>
      </w:r>
      <w:r>
        <w:rPr>
          <w:rFonts w:hint="eastAsia"/>
        </w:rPr>
        <w:t xml:space="preserve">财政金融协同促内需</w:t>
      </w:r>
    </w:p>
    <w:p>
      <w:pPr>
        <w:pStyle w:val="Compact"/>
        <w:numPr>
          <w:ilvl w:val="0"/>
          <w:numId w:val="1006"/>
        </w:numPr>
      </w:pPr>
      <w:r>
        <w:rPr>
          <w:rFonts w:hint="eastAsia"/>
        </w:rPr>
        <w:t xml:space="preserve">政策继续支持中小微企业流动资金贷款，并将汽车、家装等信用卡分期业务纳入个人消费贴息范围。</w:t>
      </w:r>
    </w:p>
    <w:p>
      <w:pPr>
        <w:pStyle w:val="Compact"/>
        <w:numPr>
          <w:ilvl w:val="0"/>
          <w:numId w:val="1006"/>
        </w:numPr>
      </w:pPr>
      <w:r>
        <w:rPr>
          <w:rFonts w:hint="eastAsia"/>
        </w:rPr>
        <w:t xml:space="preserve">A股映射：银行、汽车零部件、家居家电、零售、文旅、养老服务。</w:t>
      </w:r>
    </w:p>
    <w:p>
      <w:pPr>
        <w:pStyle w:val="Compact"/>
        <w:numPr>
          <w:ilvl w:val="0"/>
          <w:numId w:val="1006"/>
        </w:numPr>
      </w:pPr>
      <w:r>
        <w:rPr>
          <w:rFonts w:hint="eastAsia"/>
        </w:rPr>
        <w:t xml:space="preserve">银行Ⅱ主力净流入7.81亿元、汽车零部件净流入25.24亿元；一般零售净流出7.19亿元。</w:t>
      </w:r>
    </w:p>
    <w:p>
      <w:pPr>
        <w:pStyle w:val="Compact"/>
        <w:numPr>
          <w:ilvl w:val="0"/>
          <w:numId w:val="1006"/>
        </w:numPr>
      </w:pPr>
      <w:r>
        <w:rPr>
          <w:rFonts w:hint="eastAsia"/>
        </w:rPr>
        <w:t xml:space="preserve">当前更有资金支撑的是银行与汽车零部件，零售消费仍需等待资金流由负转正。</w:t>
      </w:r>
    </w:p>
    <w:bookmarkEnd w:id="15"/>
    <w:bookmarkStart w:id="16" w:name="扩大进口与高端存储需求"/>
    <w:p>
      <w:pPr>
        <w:pStyle w:val="Heading3"/>
      </w:pPr>
      <w:r>
        <w:t xml:space="preserve">📦 </w:t>
      </w:r>
      <w:r>
        <w:rPr>
          <w:rFonts w:hint="eastAsia"/>
        </w:rPr>
        <w:t xml:space="preserve">扩大进口与高端存储需求</w:t>
      </w:r>
    </w:p>
    <w:p>
      <w:pPr>
        <w:pStyle w:val="Compact"/>
        <w:numPr>
          <w:ilvl w:val="0"/>
          <w:numId w:val="1007"/>
        </w:numPr>
      </w:pPr>
      <w:r>
        <w:rPr>
          <w:rFonts w:hint="eastAsia"/>
        </w:rPr>
        <w:t xml:space="preserve">前三季度我国货物贸易进口16.7万亿元，同比增长22.3%，进口增速高于出口5.9个百分点。</w:t>
      </w:r>
    </w:p>
    <w:p>
      <w:pPr>
        <w:pStyle w:val="Compact"/>
        <w:numPr>
          <w:ilvl w:val="0"/>
          <w:numId w:val="1007"/>
        </w:numPr>
      </w:pPr>
      <w:r>
        <w:rPr>
          <w:rFonts w:hint="eastAsia"/>
        </w:rPr>
        <w:t xml:space="preserve">前三季度高端存储部件进口增长1.5倍，直接强化存储、模组、封测和AI终端产业链关注度。</w:t>
      </w:r>
    </w:p>
    <w:p>
      <w:pPr>
        <w:pStyle w:val="Compact"/>
        <w:numPr>
          <w:ilvl w:val="0"/>
          <w:numId w:val="1007"/>
        </w:numPr>
      </w:pPr>
      <w:r>
        <w:rPr>
          <w:rFonts w:hint="eastAsia"/>
        </w:rPr>
        <w:t xml:space="preserve">A股映射：存储芯片、半导体封测、消费电子、智能汽车电子和跨境物流。</w:t>
      </w:r>
    </w:p>
    <w:p>
      <w:pPr>
        <w:pStyle w:val="Compact"/>
        <w:numPr>
          <w:ilvl w:val="0"/>
          <w:numId w:val="1007"/>
        </w:numPr>
      </w:pPr>
      <w:r>
        <w:rPr>
          <w:rFonts w:hint="eastAsia"/>
        </w:rPr>
        <w:t xml:space="preserve">隔夜美光上涨5.86%，与国内存储进口数据形成共振，但相关个股仍须防止高开兑现。</w:t>
      </w:r>
    </w:p>
    <w:bookmarkEnd w:id="16"/>
    <w:bookmarkStart w:id="17" w:name="铁路物流提质增效"/>
    <w:p>
      <w:pPr>
        <w:pStyle w:val="Heading3"/>
      </w:pPr>
      <w:r>
        <w:t xml:space="preserve">🚆 </w:t>
      </w:r>
      <w:r>
        <w:rPr>
          <w:rFonts w:hint="eastAsia"/>
        </w:rPr>
        <w:t xml:space="preserve">铁路物流提质增效</w:t>
      </w:r>
    </w:p>
    <w:p>
      <w:pPr>
        <w:pStyle w:val="Compact"/>
        <w:numPr>
          <w:ilvl w:val="0"/>
          <w:numId w:val="1008"/>
        </w:numPr>
      </w:pPr>
      <w:r>
        <w:rPr>
          <w:rFonts w:hint="eastAsia"/>
        </w:rPr>
        <w:t xml:space="preserve">前三季度国家铁路累计发送货物30.5亿吨，日均装车18.8万车。</w:t>
      </w:r>
    </w:p>
    <w:p>
      <w:pPr>
        <w:pStyle w:val="Compact"/>
        <w:numPr>
          <w:ilvl w:val="0"/>
          <w:numId w:val="1008"/>
        </w:numPr>
      </w:pPr>
      <w:r>
        <w:rPr>
          <w:rFonts w:hint="eastAsia"/>
        </w:rPr>
        <w:t xml:space="preserve">A股映射：铁路设备、冷链物流、多式联运、物流信息化。</w:t>
      </w:r>
    </w:p>
    <w:p>
      <w:pPr>
        <w:pStyle w:val="Compact"/>
        <w:numPr>
          <w:ilvl w:val="0"/>
          <w:numId w:val="1008"/>
        </w:numPr>
      </w:pPr>
      <w:r>
        <w:rPr>
          <w:rFonts w:hint="eastAsia"/>
        </w:rPr>
        <w:t xml:space="preserve">该方向未进入10月28日资金流入TOP10，当前以政策观察为主，不作为盘前优先交易主线。</w:t>
      </w:r>
    </w:p>
    <w:bookmarkEnd w:id="17"/>
    <w:bookmarkEnd w:id="18"/>
    <w:bookmarkStart w:id="22" w:name="今日公告巨潮资讯官方历史公告接口完整返回"/>
    <w:p>
      <w:pPr>
        <w:pStyle w:val="Heading2"/>
      </w:pPr>
      <w:r>
        <w:t xml:space="preserve">📢 </w:t>
      </w:r>
      <w:r>
        <w:rPr>
          <w:rFonts w:hint="eastAsia"/>
        </w:rPr>
        <w:t xml:space="preserve">今日公告：巨潮资讯官方历史公告接口完整返回</w:t>
      </w:r>
    </w:p>
    <w:p>
      <w:pPr>
        <w:pStyle w:val="Compact"/>
        <w:numPr>
          <w:ilvl w:val="0"/>
          <w:numId w:val="1009"/>
        </w:numPr>
      </w:pPr>
      <w:r>
        <w:rPr>
          <w:rFonts w:hint="eastAsia"/>
        </w:rPr>
        <w:t xml:space="preserve">巨潮资讯主查询接口报HTTP</w:t>
      </w:r>
      <w:r>
        <w:t xml:space="preserve"> </w:t>
      </w:r>
      <w:r>
        <w:rPr>
          <w:rFonts w:hint="eastAsia"/>
        </w:rPr>
        <w:t xml:space="preserve">567后，官方历史公告接口完成134页采集，其中沪市59页、深市75页，共取得4012条2026-10-29公告。</w:t>
      </w:r>
    </w:p>
    <w:p>
      <w:pPr>
        <w:pStyle w:val="Compact"/>
        <w:numPr>
          <w:ilvl w:val="0"/>
          <w:numId w:val="1009"/>
        </w:numPr>
      </w:pPr>
      <w:r>
        <w:rPr>
          <w:rFonts w:hint="eastAsia"/>
        </w:rPr>
        <w:t xml:space="preserve">有效公告数据仍来自巨潮资讯官方上游，未使用财经新闻替代公告事实。</w:t>
      </w:r>
    </w:p>
    <w:bookmarkStart w:id="19" w:name="重点公告"/>
    <w:p>
      <w:pPr>
        <w:pStyle w:val="Heading3"/>
      </w:pPr>
      <w:r>
        <w:t xml:space="preserve">📌 </w:t>
      </w:r>
      <w:r>
        <w:rPr>
          <w:rFonts w:hint="eastAsia"/>
        </w:rPr>
        <w:t xml:space="preserve">重点公告</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rPr>
                <w:rFonts w:hint="eastAsia"/>
              </w:rPr>
              <w:t xml:space="preserve">公司</w:t>
            </w:r>
          </w:p>
        </w:tc>
        <w:tc>
          <w:tcPr/>
          <w:p>
            <w:pPr>
              <w:pStyle w:val="Compact"/>
              <w:jc w:val="right"/>
            </w:pPr>
            <w:r>
              <w:rPr>
                <w:rFonts w:hint="eastAsia"/>
              </w:rPr>
              <w:t xml:space="preserve">代码</w:t>
            </w:r>
          </w:p>
        </w:tc>
        <w:tc>
          <w:tcPr/>
          <w:p>
            <w:pPr>
              <w:pStyle w:val="Compact"/>
            </w:pPr>
            <w:r>
              <w:rPr>
                <w:rFonts w:hint="eastAsia"/>
              </w:rPr>
              <w:t xml:space="preserve">公告要点</w:t>
            </w:r>
          </w:p>
        </w:tc>
      </w:tr>
      <w:tr>
        <w:tc>
          <w:tcPr/>
          <w:p>
            <w:pPr>
              <w:pStyle w:val="Compact"/>
            </w:pPr>
            <w:r>
              <w:rPr>
                <w:rFonts w:hint="eastAsia"/>
              </w:rPr>
              <w:t xml:space="preserve">南威软件</w:t>
            </w:r>
          </w:p>
        </w:tc>
        <w:tc>
          <w:tcPr/>
          <w:p>
            <w:pPr>
              <w:pStyle w:val="Compact"/>
              <w:jc w:val="right"/>
            </w:pPr>
            <w:r>
              <w:t xml:space="preserve">603636</w:t>
            </w:r>
          </w:p>
        </w:tc>
        <w:tc>
          <w:tcPr/>
          <w:p>
            <w:pPr>
              <w:pStyle w:val="Compact"/>
            </w:pPr>
            <w:r>
              <w:rPr>
                <w:rFonts w:hint="eastAsia"/>
              </w:rPr>
              <w:t xml:space="preserve">发布2026年第三季度报告，并披露对子公司担保进展及业绩说明会安排</w:t>
            </w:r>
          </w:p>
        </w:tc>
      </w:tr>
      <w:tr>
        <w:tc>
          <w:tcPr/>
          <w:p>
            <w:pPr>
              <w:pStyle w:val="Compact"/>
            </w:pPr>
            <w:r>
              <w:rPr>
                <w:rFonts w:hint="eastAsia"/>
              </w:rPr>
              <w:t xml:space="preserve">淳中科技</w:t>
            </w:r>
          </w:p>
        </w:tc>
        <w:tc>
          <w:tcPr/>
          <w:p>
            <w:pPr>
              <w:pStyle w:val="Compact"/>
              <w:jc w:val="right"/>
            </w:pPr>
            <w:r>
              <w:t xml:space="preserve">603516</w:t>
            </w:r>
          </w:p>
        </w:tc>
        <w:tc>
          <w:tcPr/>
          <w:p>
            <w:pPr>
              <w:pStyle w:val="Compact"/>
            </w:pPr>
            <w:r>
              <w:rPr>
                <w:rFonts w:hint="eastAsia"/>
              </w:rPr>
              <w:t xml:space="preserve">发布2026年第三季度报告及董事会决议公告</w:t>
            </w:r>
          </w:p>
        </w:tc>
      </w:tr>
      <w:tr>
        <w:tc>
          <w:tcPr/>
          <w:p>
            <w:pPr>
              <w:pStyle w:val="Compact"/>
            </w:pPr>
            <w:r>
              <w:rPr>
                <w:rFonts w:hint="eastAsia"/>
              </w:rPr>
              <w:t xml:space="preserve">臻宝科技</w:t>
            </w:r>
          </w:p>
        </w:tc>
        <w:tc>
          <w:tcPr/>
          <w:p>
            <w:pPr>
              <w:pStyle w:val="Compact"/>
              <w:jc w:val="right"/>
            </w:pPr>
            <w:r>
              <w:t xml:space="preserve">688797</w:t>
            </w:r>
          </w:p>
        </w:tc>
        <w:tc>
          <w:tcPr/>
          <w:p>
            <w:pPr>
              <w:pStyle w:val="Compact"/>
            </w:pPr>
            <w:r>
              <w:rPr>
                <w:rFonts w:hint="eastAsia"/>
              </w:rPr>
              <w:t xml:space="preserve">发布2026年第三季度报告，并披露前三季度计提资产减值准备</w:t>
            </w:r>
          </w:p>
        </w:tc>
      </w:tr>
      <w:tr>
        <w:tc>
          <w:tcPr/>
          <w:p>
            <w:pPr>
              <w:pStyle w:val="Compact"/>
            </w:pPr>
            <w:r>
              <w:rPr>
                <w:rFonts w:hint="eastAsia"/>
              </w:rPr>
              <w:t xml:space="preserve">先锋精科</w:t>
            </w:r>
          </w:p>
        </w:tc>
        <w:tc>
          <w:tcPr/>
          <w:p>
            <w:pPr>
              <w:pStyle w:val="Compact"/>
              <w:jc w:val="right"/>
            </w:pPr>
            <w:r>
              <w:t xml:space="preserve">688605</w:t>
            </w:r>
          </w:p>
        </w:tc>
        <w:tc>
          <w:tcPr/>
          <w:p>
            <w:pPr>
              <w:pStyle w:val="Compact"/>
            </w:pPr>
            <w:r>
              <w:rPr>
                <w:rFonts w:hint="eastAsia"/>
              </w:rPr>
              <w:t xml:space="preserve">发布2026年第三季度报告及计提资产减值准备公告</w:t>
            </w:r>
          </w:p>
        </w:tc>
      </w:tr>
      <w:tr>
        <w:tc>
          <w:tcPr/>
          <w:p>
            <w:pPr>
              <w:pStyle w:val="Compact"/>
            </w:pPr>
            <w:r>
              <w:rPr>
                <w:rFonts w:hint="eastAsia"/>
              </w:rPr>
              <w:t xml:space="preserve">国投中鲁</w:t>
            </w:r>
          </w:p>
        </w:tc>
        <w:tc>
          <w:tcPr/>
          <w:p>
            <w:pPr>
              <w:pStyle w:val="Compact"/>
              <w:jc w:val="right"/>
            </w:pPr>
            <w:r>
              <w:t xml:space="preserve">600962</w:t>
            </w:r>
          </w:p>
        </w:tc>
        <w:tc>
          <w:tcPr/>
          <w:p>
            <w:pPr>
              <w:pStyle w:val="Compact"/>
            </w:pPr>
            <w:r>
              <w:rPr>
                <w:rFonts w:hint="eastAsia"/>
              </w:rPr>
              <w:t xml:space="preserve">披露发行股份购买资产并募集配套资金实施情况及新增股份上市文件</w:t>
            </w:r>
          </w:p>
        </w:tc>
      </w:tr>
    </w:tbl>
    <w:bookmarkEnd w:id="19"/>
    <w:bookmarkStart w:id="20" w:name="回购增持与不减持"/>
    <w:p>
      <w:pPr>
        <w:pStyle w:val="Heading3"/>
      </w:pPr>
      <w:r>
        <w:t xml:space="preserve">🛡️ </w:t>
      </w:r>
      <w:r>
        <w:rPr>
          <w:rFonts w:hint="eastAsia"/>
        </w:rPr>
        <w:t xml:space="preserve">回购、增持与不减持</w:t>
      </w:r>
    </w:p>
    <w:p>
      <w:pPr>
        <w:pStyle w:val="Compact"/>
        <w:numPr>
          <w:ilvl w:val="0"/>
          <w:numId w:val="1010"/>
        </w:numPr>
      </w:pPr>
      <w:r>
        <w:rPr>
          <w:rFonts w:hint="eastAsia"/>
        </w:rPr>
        <w:t xml:space="preserve">公告分类中回购或增持类共97条。</w:t>
      </w:r>
    </w:p>
    <w:p>
      <w:pPr>
        <w:pStyle w:val="Compact"/>
        <w:numPr>
          <w:ilvl w:val="0"/>
          <w:numId w:val="1010"/>
        </w:numPr>
      </w:pPr>
      <w:r>
        <w:rPr>
          <w:rFonts w:hint="eastAsia"/>
        </w:rPr>
        <w:t xml:space="preserve">沐曦股份披露实际控制人、董事长提议回购股份。</w:t>
      </w:r>
    </w:p>
    <w:p>
      <w:pPr>
        <w:pStyle w:val="Compact"/>
        <w:numPr>
          <w:ilvl w:val="0"/>
          <w:numId w:val="1010"/>
        </w:numPr>
      </w:pPr>
      <w:r>
        <w:rPr>
          <w:rFonts w:hint="eastAsia"/>
        </w:rPr>
        <w:t xml:space="preserve">三孚新科、龙迅股份、中科蓝讯披露回购方案或回购报告书。</w:t>
      </w:r>
    </w:p>
    <w:p>
      <w:pPr>
        <w:pStyle w:val="Compact"/>
        <w:numPr>
          <w:ilvl w:val="0"/>
          <w:numId w:val="1010"/>
        </w:numPr>
      </w:pPr>
      <w:r>
        <w:rPr>
          <w:rFonts w:hint="eastAsia"/>
        </w:rPr>
        <w:t xml:space="preserve">兖矿能源披露控股股东增持计划进展。</w:t>
      </w:r>
    </w:p>
    <w:p>
      <w:pPr>
        <w:pStyle w:val="Compact"/>
        <w:numPr>
          <w:ilvl w:val="0"/>
          <w:numId w:val="1010"/>
        </w:numPr>
      </w:pPr>
      <w:r>
        <w:rPr>
          <w:rFonts w:hint="eastAsia"/>
        </w:rPr>
        <w:t xml:space="preserve">翱捷科技、茂莱光学、奇安信等披露相关主体自愿不减持承诺。</w:t>
      </w:r>
    </w:p>
    <w:bookmarkEnd w:id="20"/>
    <w:bookmarkStart w:id="21" w:name="公告风险结构"/>
    <w:p>
      <w:pPr>
        <w:pStyle w:val="Heading3"/>
      </w:pPr>
      <w:r>
        <w:t xml:space="preserve">⚠️ </w:t>
      </w:r>
      <w:r>
        <w:rPr>
          <w:rFonts w:hint="eastAsia"/>
        </w:rPr>
        <w:t xml:space="preserve">公告风险结构</w:t>
      </w:r>
    </w:p>
    <w:p>
      <w:pPr>
        <w:pStyle w:val="Compact"/>
        <w:numPr>
          <w:ilvl w:val="0"/>
          <w:numId w:val="1011"/>
        </w:numPr>
      </w:pPr>
      <w:r>
        <w:rPr>
          <w:rFonts w:hint="eastAsia"/>
        </w:rPr>
        <w:t xml:space="preserve">资产减值类173条，是今日公告数量最集中的风险类别。</w:t>
      </w:r>
    </w:p>
    <w:p>
      <w:pPr>
        <w:pStyle w:val="Compact"/>
        <w:numPr>
          <w:ilvl w:val="0"/>
          <w:numId w:val="1011"/>
        </w:numPr>
      </w:pPr>
      <w:r>
        <w:rPr>
          <w:rFonts w:hint="eastAsia"/>
        </w:rPr>
        <w:t xml:space="preserve">解除限售相关27条，需关注可流通筹码增加后的供给压力。</w:t>
      </w:r>
    </w:p>
    <w:p>
      <w:pPr>
        <w:pStyle w:val="Compact"/>
        <w:numPr>
          <w:ilvl w:val="0"/>
          <w:numId w:val="1011"/>
        </w:numPr>
      </w:pPr>
      <w:r>
        <w:rPr>
          <w:rFonts w:hint="eastAsia"/>
        </w:rPr>
        <w:t xml:space="preserve">问询函及回复类5条，涉及凯众股份、鹏鼎控股等。</w:t>
      </w:r>
    </w:p>
    <w:p>
      <w:pPr>
        <w:pStyle w:val="Compact"/>
        <w:numPr>
          <w:ilvl w:val="0"/>
          <w:numId w:val="1011"/>
        </w:numPr>
      </w:pPr>
      <w:r>
        <w:rPr>
          <w:rFonts w:hint="eastAsia"/>
        </w:rPr>
        <w:t xml:space="preserve">停牌类2条，其中*ST卓然披露触及交易类强制退市风险提示暨停牌公告。</w:t>
      </w:r>
    </w:p>
    <w:p>
      <w:pPr>
        <w:pStyle w:val="Compact"/>
        <w:numPr>
          <w:ilvl w:val="0"/>
          <w:numId w:val="1011"/>
        </w:numPr>
      </w:pPr>
      <w:r>
        <w:rPr>
          <w:rFonts w:hint="eastAsia"/>
        </w:rPr>
        <w:t xml:space="preserve">重组类6条，除国投中鲁外，久量股份披露重大资产重组进展。</w:t>
      </w:r>
    </w:p>
    <w:bookmarkEnd w:id="21"/>
    <w:bookmarkEnd w:id="22"/>
    <w:bookmarkStart w:id="23" w:name="经济数据与事件"/>
    <w:p>
      <w:pPr>
        <w:pStyle w:val="Heading2"/>
      </w:pPr>
      <w:r>
        <w:t xml:space="preserve">📅 </w:t>
      </w:r>
      <w:r>
        <w:rPr>
          <w:rFonts w:hint="eastAsia"/>
        </w:rPr>
        <w:t xml:space="preserve">经济数据与事件</w:t>
      </w:r>
    </w:p>
    <w:p>
      <w:pPr>
        <w:pStyle w:val="Compact"/>
        <w:numPr>
          <w:ilvl w:val="0"/>
          <w:numId w:val="1012"/>
        </w:numPr>
      </w:pPr>
      <w:r>
        <w:rPr>
          <w:rFonts w:hint="eastAsia"/>
        </w:rPr>
        <w:t xml:space="preserve">今日采集JSON未提供可核对的国内外宏观数据发布时间表、市场一致预期及前值，原因是本轮采集链未包含正式经济日历接口；相关时间与预期不估算、不纳入确认。</w:t>
      </w:r>
    </w:p>
    <w:p>
      <w:pPr>
        <w:pStyle w:val="Compact"/>
        <w:numPr>
          <w:ilvl w:val="0"/>
          <w:numId w:val="1012"/>
        </w:numPr>
      </w:pPr>
      <w:r>
        <w:rPr>
          <w:rFonts w:hint="eastAsia"/>
        </w:rPr>
        <w:t xml:space="preserve">可确认的政策数据包括：前三季度进口16.7万亿元、同比增长22.3%；对自贸伙伴进出口19.55万亿元、同比增长30%；国家铁路累计发送货物30.5亿吨。</w:t>
      </w:r>
    </w:p>
    <w:p>
      <w:pPr>
        <w:pStyle w:val="Compact"/>
        <w:numPr>
          <w:ilvl w:val="0"/>
          <w:numId w:val="1012"/>
        </w:numPr>
      </w:pPr>
      <w:r>
        <w:rPr>
          <w:rFonts w:hint="eastAsia"/>
        </w:rPr>
        <w:t xml:space="preserve">盘中若出现宏观数据或政策发布，应以国家统计局、央行、财政部、工信部及交易所正式信息为准，不根据未注明来源的快讯调整仓位。</w:t>
      </w:r>
    </w:p>
    <w:bookmarkEnd w:id="23"/>
    <w:bookmarkStart w:id="24" w:name="全球事件地缘能源与极端天气风险并存"/>
    <w:p>
      <w:pPr>
        <w:pStyle w:val="Heading2"/>
      </w:pPr>
      <w:r>
        <w:t xml:space="preserve">🌏 </w:t>
      </w:r>
      <w:r>
        <w:rPr>
          <w:rFonts w:hint="eastAsia"/>
        </w:rPr>
        <w:t xml:space="preserve">全球事件：地缘、能源与极端天气风险并存</w:t>
      </w:r>
    </w:p>
    <w:p>
      <w:pPr>
        <w:pStyle w:val="Compact"/>
        <w:numPr>
          <w:ilvl w:val="0"/>
          <w:numId w:val="1013"/>
        </w:numPr>
      </w:pPr>
      <w:r>
        <w:rPr>
          <w:rFonts w:hint="eastAsia"/>
        </w:rPr>
        <w:t xml:space="preserve">俄罗斯总统与挪威、芬兰领导人通话讨论乌克兰危机，欧洲能源和地缘风险仍可能影响天然气、航运与军工资产波动。</w:t>
      </w:r>
    </w:p>
    <w:p>
      <w:pPr>
        <w:pStyle w:val="Compact"/>
        <w:numPr>
          <w:ilvl w:val="0"/>
          <w:numId w:val="1013"/>
        </w:numPr>
      </w:pPr>
      <w:r>
        <w:rPr>
          <w:rFonts w:hint="eastAsia"/>
        </w:rPr>
        <w:t xml:space="preserve">天然气出口国论坛发布《莫斯科宣言》，强调天然气资源主权并反对单边制裁，能源供应链博弈仍未结束。</w:t>
      </w:r>
    </w:p>
    <w:p>
      <w:pPr>
        <w:pStyle w:val="Compact"/>
        <w:numPr>
          <w:ilvl w:val="0"/>
          <w:numId w:val="1013"/>
        </w:numPr>
      </w:pPr>
      <w:r>
        <w:rPr>
          <w:rFonts w:hint="eastAsia"/>
        </w:rPr>
        <w:t xml:space="preserve">世界气象组织披露，2025年主要温室气体浓度达到工业化前水平的153%，全球气候治理与新能源基础设施投入逻辑延续。</w:t>
      </w:r>
    </w:p>
    <w:p>
      <w:pPr>
        <w:pStyle w:val="Compact"/>
        <w:numPr>
          <w:ilvl w:val="0"/>
          <w:numId w:val="1013"/>
        </w:numPr>
      </w:pPr>
      <w:r>
        <w:rPr>
          <w:rFonts w:hint="eastAsia"/>
        </w:rPr>
        <w:t xml:space="preserve">西班牙高速铁路发生严重列车相撞事故，海外铁路安全事件可能短期提高交通装备安全、信号控制和运维系统关注度，但不能直接转化为A股买入依据。</w:t>
      </w:r>
    </w:p>
    <w:p>
      <w:pPr>
        <w:pStyle w:val="Compact"/>
        <w:numPr>
          <w:ilvl w:val="0"/>
          <w:numId w:val="1013"/>
        </w:numPr>
      </w:pPr>
      <w:r>
        <w:rPr>
          <w:rFonts w:hint="eastAsia"/>
        </w:rPr>
        <w:t xml:space="preserve">美古在联合国大会围绕封锁问题交锋，全球贸易与制裁风险仍可能影响航运、能源和跨境结算预期。</w:t>
      </w:r>
    </w:p>
    <w:bookmarkEnd w:id="24"/>
    <w:bookmarkStart w:id="26" w:name="昨日复盘成长风格放量修复主线集中于科技硬件"/>
    <w:p>
      <w:pPr>
        <w:pStyle w:val="Heading2"/>
      </w:pPr>
      <w:r>
        <w:t xml:space="preserve">📊 </w:t>
      </w:r>
      <w:r>
        <w:rPr>
          <w:rFonts w:hint="eastAsia"/>
        </w:rPr>
        <w:t xml:space="preserve">昨日复盘：成长风格放量修复，主线集中于科技硬件</w:t>
      </w:r>
    </w:p>
    <w:bookmarkStart w:id="25" w:name="核心指数"/>
    <w:p>
      <w:pPr>
        <w:pStyle w:val="Heading3"/>
      </w:pPr>
      <w:r>
        <w:t xml:space="preserve">📈 </w:t>
      </w:r>
      <w:r>
        <w:rPr>
          <w:rFonts w:hint="eastAsia"/>
        </w:rPr>
        <w:t xml:space="preserve">核心指数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上证指数</w:t>
            </w:r>
          </w:p>
        </w:tc>
        <w:tc>
          <w:tcPr/>
          <w:p>
            <w:pPr>
              <w:pStyle w:val="Compact"/>
              <w:jc w:val="right"/>
            </w:pPr>
            <w:r>
              <w:t xml:space="preserve">3681.4691</w:t>
            </w:r>
          </w:p>
        </w:tc>
        <w:tc>
          <w:tcPr/>
          <w:p>
            <w:pPr>
              <w:pStyle w:val="Compact"/>
              <w:jc w:val="right"/>
            </w:pPr>
            <w:r>
              <w:t xml:space="preserve">🔴 +0.9091%</w:t>
            </w:r>
          </w:p>
        </w:tc>
      </w:tr>
      <w:tr>
        <w:tc>
          <w:tcPr/>
          <w:p>
            <w:pPr>
              <w:pStyle w:val="Compact"/>
            </w:pPr>
            <w:r>
              <w:rPr>
                <w:rFonts w:hint="eastAsia"/>
              </w:rPr>
              <w:t xml:space="preserve">深证成指</w:t>
            </w:r>
          </w:p>
        </w:tc>
        <w:tc>
          <w:tcPr/>
          <w:p>
            <w:pPr>
              <w:pStyle w:val="Compact"/>
              <w:jc w:val="right"/>
            </w:pPr>
            <w:r>
              <w:t xml:space="preserve">11473.1810</w:t>
            </w:r>
          </w:p>
        </w:tc>
        <w:tc>
          <w:tcPr/>
          <w:p>
            <w:pPr>
              <w:pStyle w:val="Compact"/>
              <w:jc w:val="right"/>
            </w:pPr>
            <w:r>
              <w:t xml:space="preserve">🔴 +2.0225%</w:t>
            </w:r>
          </w:p>
        </w:tc>
      </w:tr>
      <w:tr>
        <w:tc>
          <w:tcPr/>
          <w:p>
            <w:pPr>
              <w:pStyle w:val="Compact"/>
            </w:pPr>
            <w:r>
              <w:rPr>
                <w:rFonts w:hint="eastAsia"/>
              </w:rPr>
              <w:t xml:space="preserve">创业板指</w:t>
            </w:r>
          </w:p>
        </w:tc>
        <w:tc>
          <w:tcPr/>
          <w:p>
            <w:pPr>
              <w:pStyle w:val="Compact"/>
              <w:jc w:val="right"/>
            </w:pPr>
            <w:r>
              <w:t xml:space="preserve">2634.7600</w:t>
            </w:r>
          </w:p>
        </w:tc>
        <w:tc>
          <w:tcPr/>
          <w:p>
            <w:pPr>
              <w:pStyle w:val="Compact"/>
              <w:jc w:val="right"/>
            </w:pPr>
            <w:r>
              <w:t xml:space="preserve">🔴 +3.3990%</w:t>
            </w:r>
          </w:p>
        </w:tc>
      </w:tr>
      <w:tr>
        <w:tc>
          <w:tcPr/>
          <w:p>
            <w:pPr>
              <w:pStyle w:val="Compact"/>
            </w:pPr>
            <w:r>
              <w:rPr>
                <w:rFonts w:hint="eastAsia"/>
              </w:rPr>
              <w:t xml:space="preserve">科创50</w:t>
            </w:r>
          </w:p>
        </w:tc>
        <w:tc>
          <w:tcPr/>
          <w:p>
            <w:pPr>
              <w:pStyle w:val="Compact"/>
              <w:jc w:val="right"/>
            </w:pPr>
            <w:r>
              <w:t xml:space="preserve">1282.9312</w:t>
            </w:r>
          </w:p>
        </w:tc>
        <w:tc>
          <w:tcPr/>
          <w:p>
            <w:pPr>
              <w:pStyle w:val="Compact"/>
              <w:jc w:val="right"/>
            </w:pPr>
            <w:r>
              <w:t xml:space="preserve">🔴 +2.4478%</w:t>
            </w:r>
          </w:p>
        </w:tc>
      </w:tr>
      <w:tr>
        <w:tc>
          <w:tcPr/>
          <w:p>
            <w:pPr>
              <w:pStyle w:val="Compact"/>
            </w:pPr>
            <w:r>
              <w:rPr>
                <w:rFonts w:hint="eastAsia"/>
              </w:rPr>
              <w:t xml:space="preserve">沪深300</w:t>
            </w:r>
          </w:p>
        </w:tc>
        <w:tc>
          <w:tcPr/>
          <w:p>
            <w:pPr>
              <w:pStyle w:val="Compact"/>
              <w:jc w:val="right"/>
            </w:pPr>
            <w:r>
              <w:t xml:space="preserve">4083.8702</w:t>
            </w:r>
          </w:p>
        </w:tc>
        <w:tc>
          <w:tcPr/>
          <w:p>
            <w:pPr>
              <w:pStyle w:val="Compact"/>
              <w:jc w:val="right"/>
            </w:pPr>
            <w:r>
              <w:t xml:space="preserve">🔴 +0.8475%</w:t>
            </w:r>
          </w:p>
        </w:tc>
      </w:tr>
    </w:tbl>
    <w:p>
      <w:pPr>
        <w:pStyle w:val="Compact"/>
        <w:numPr>
          <w:ilvl w:val="0"/>
          <w:numId w:val="1014"/>
        </w:numPr>
      </w:pPr>
      <w:r>
        <w:rPr>
          <w:rFonts w:hint="eastAsia"/>
        </w:rPr>
        <w:t xml:space="preserve">创业板指、科创50显著跑赢上证指数和沪深300，资金偏好集中于成长与科技。</w:t>
      </w:r>
    </w:p>
    <w:p>
      <w:pPr>
        <w:pStyle w:val="Compact"/>
        <w:numPr>
          <w:ilvl w:val="0"/>
          <w:numId w:val="1014"/>
        </w:numPr>
      </w:pPr>
      <w:r>
        <w:rPr>
          <w:rFonts w:hint="eastAsia"/>
        </w:rPr>
        <w:t xml:space="preserve">全市场上涨4156家、下跌1239家、平盘175家，涨跌比3.354。</w:t>
      </w:r>
    </w:p>
    <w:p>
      <w:pPr>
        <w:pStyle w:val="Compact"/>
        <w:numPr>
          <w:ilvl w:val="0"/>
          <w:numId w:val="1014"/>
        </w:numPr>
      </w:pPr>
      <w:r>
        <w:rPr>
          <w:rFonts w:hint="eastAsia"/>
        </w:rPr>
        <w:t xml:space="preserve">全市场成交额16420.93亿元，较前一交易日14728.81亿元增加1692.12亿元，增幅11.49%，成交额状态为温和放量。</w:t>
      </w:r>
    </w:p>
    <w:p>
      <w:pPr>
        <w:pStyle w:val="Compact"/>
        <w:numPr>
          <w:ilvl w:val="0"/>
          <w:numId w:val="1014"/>
        </w:numPr>
      </w:pPr>
      <w:r>
        <w:rPr>
          <w:rFonts w:hint="eastAsia"/>
        </w:rPr>
        <w:t xml:space="preserve">板块涨幅居前包括半导体类4.86%、非金属材料类4.37%、医疗服务4.26%、电子化学品4.07%、通用设备3.94%。</w:t>
      </w:r>
    </w:p>
    <w:p>
      <w:pPr>
        <w:pStyle w:val="Compact"/>
        <w:numPr>
          <w:ilvl w:val="0"/>
          <w:numId w:val="1014"/>
        </w:numPr>
      </w:pPr>
      <w:r>
        <w:rPr>
          <w:rFonts w:hint="eastAsia"/>
        </w:rPr>
        <w:t xml:space="preserve">科技硬件上涨获得成交额和主力资金共同支持，但单日快速扩张后，今日需要验证承接而非继续线性外推。</w:t>
      </w:r>
    </w:p>
    <w:bookmarkEnd w:id="25"/>
    <w:bookmarkEnd w:id="26"/>
    <w:bookmarkStart w:id="31" w:name="上一交易日收盘资金四张榜"/>
    <w:p>
      <w:pPr>
        <w:pStyle w:val="Heading2"/>
      </w:pPr>
      <w:r>
        <w:t xml:space="preserve">💰 </w:t>
      </w:r>
      <w:r>
        <w:rPr>
          <w:rFonts w:hint="eastAsia"/>
        </w:rPr>
        <w:t xml:space="preserve">上一交易日收盘资金四张榜</w:t>
      </w:r>
    </w:p>
    <w:p>
      <w:pPr>
        <w:pStyle w:val="FirstParagraph"/>
      </w:pPr>
      <w:r>
        <w:rPr>
          <w:rFonts w:hint="eastAsia"/>
        </w:rPr>
        <w:t xml:space="preserve">口径：交易日2026-10-28，15:00，</w:t>
      </w:r>
      <w:r>
        <w:rPr>
          <w:rStyle w:val="VerbatimChar"/>
        </w:rPr>
        <w:t xml:space="preserve">previous_close</w:t>
      </w:r>
      <w:r>
        <w:rPr>
          <w:rFonts w:hint="eastAsia"/>
        </w:rPr>
        <w:t xml:space="preserve">，申万二级行业；来源为华泰skill，个股流出榜经华泰精确模式重试校验。盘前仅展示上一交易日资金金额，不混入报告日盘中价格和涨跌幅。</w:t>
      </w:r>
    </w:p>
    <w:bookmarkStart w:id="27" w:name="流出top10板块"/>
    <w:p>
      <w:pPr>
        <w:pStyle w:val="Heading3"/>
      </w:pPr>
      <w:r>
        <w:t xml:space="preserve">💰 </w:t>
      </w:r>
      <w:r>
        <w:rPr>
          <w:rFonts w:hint="eastAsia"/>
        </w:rPr>
        <w:t xml:space="preserve">流出TOP10板块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上一交易日主力净流出</w:t>
            </w:r>
          </w:p>
        </w:tc>
      </w:tr>
      <w:tr>
        <w:tc>
          <w:tcPr/>
          <w:p>
            <w:pPr>
              <w:pStyle w:val="Compact"/>
              <w:jc w:val="right"/>
            </w:pPr>
            <w:r>
              <w:t xml:space="preserve">1</w:t>
            </w:r>
          </w:p>
        </w:tc>
        <w:tc>
          <w:tcPr/>
          <w:p>
            <w:pPr>
              <w:pStyle w:val="Compact"/>
            </w:pPr>
            <w:r>
              <w:rPr>
                <w:rFonts w:hint="eastAsia"/>
              </w:rPr>
              <w:t xml:space="preserve">电池</w:t>
            </w:r>
          </w:p>
        </w:tc>
        <w:tc>
          <w:tcPr/>
          <w:p>
            <w:pPr>
              <w:pStyle w:val="Compact"/>
              <w:jc w:val="right"/>
            </w:pPr>
            <w:r>
              <w:rPr>
                <w:rFonts w:hint="eastAsia"/>
              </w:rPr>
              <w:t xml:space="preserve">-14.40亿元</w:t>
            </w:r>
          </w:p>
        </w:tc>
      </w:tr>
      <w:tr>
        <w:tc>
          <w:tcPr/>
          <w:p>
            <w:pPr>
              <w:pStyle w:val="Compact"/>
              <w:jc w:val="right"/>
            </w:pPr>
            <w:r>
              <w:t xml:space="preserve">2</w:t>
            </w:r>
          </w:p>
        </w:tc>
        <w:tc>
          <w:tcPr/>
          <w:p>
            <w:pPr>
              <w:pStyle w:val="Compact"/>
            </w:pPr>
            <w:r>
              <w:rPr>
                <w:rFonts w:hint="eastAsia"/>
              </w:rPr>
              <w:t xml:space="preserve">证券Ⅱ</w:t>
            </w:r>
          </w:p>
        </w:tc>
        <w:tc>
          <w:tcPr/>
          <w:p>
            <w:pPr>
              <w:pStyle w:val="Compact"/>
              <w:jc w:val="right"/>
            </w:pPr>
            <w:r>
              <w:rPr>
                <w:rFonts w:hint="eastAsia"/>
              </w:rPr>
              <w:t xml:space="preserve">-13.98亿元</w:t>
            </w:r>
          </w:p>
        </w:tc>
      </w:tr>
      <w:tr>
        <w:tc>
          <w:tcPr/>
          <w:p>
            <w:pPr>
              <w:pStyle w:val="Compact"/>
              <w:jc w:val="right"/>
            </w:pPr>
            <w:r>
              <w:t xml:space="preserve">3</w:t>
            </w:r>
          </w:p>
        </w:tc>
        <w:tc>
          <w:tcPr/>
          <w:p>
            <w:pPr>
              <w:pStyle w:val="Compact"/>
            </w:pPr>
            <w:r>
              <w:rPr>
                <w:rFonts w:hint="eastAsia"/>
              </w:rPr>
              <w:t xml:space="preserve">软件开发</w:t>
            </w:r>
          </w:p>
        </w:tc>
        <w:tc>
          <w:tcPr/>
          <w:p>
            <w:pPr>
              <w:pStyle w:val="Compact"/>
              <w:jc w:val="right"/>
            </w:pPr>
            <w:r>
              <w:rPr>
                <w:rFonts w:hint="eastAsia"/>
              </w:rPr>
              <w:t xml:space="preserve">-11.80亿元</w:t>
            </w:r>
          </w:p>
        </w:tc>
      </w:tr>
      <w:tr>
        <w:tc>
          <w:tcPr/>
          <w:p>
            <w:pPr>
              <w:pStyle w:val="Compact"/>
              <w:jc w:val="right"/>
            </w:pPr>
            <w:r>
              <w:t xml:space="preserve">4</w:t>
            </w:r>
          </w:p>
        </w:tc>
        <w:tc>
          <w:tcPr/>
          <w:p>
            <w:pPr>
              <w:pStyle w:val="Compact"/>
            </w:pPr>
            <w:r>
              <w:rPr>
                <w:rFonts w:hint="eastAsia"/>
              </w:rPr>
              <w:t xml:space="preserve">一般零售</w:t>
            </w:r>
          </w:p>
        </w:tc>
        <w:tc>
          <w:tcPr/>
          <w:p>
            <w:pPr>
              <w:pStyle w:val="Compact"/>
              <w:jc w:val="right"/>
            </w:pPr>
            <w:r>
              <w:rPr>
                <w:rFonts w:hint="eastAsia"/>
              </w:rPr>
              <w:t xml:space="preserve">-7.19亿元</w:t>
            </w:r>
          </w:p>
        </w:tc>
      </w:tr>
      <w:tr>
        <w:tc>
          <w:tcPr/>
          <w:p>
            <w:pPr>
              <w:pStyle w:val="Compact"/>
              <w:jc w:val="right"/>
            </w:pPr>
            <w:r>
              <w:t xml:space="preserve">5</w:t>
            </w:r>
          </w:p>
        </w:tc>
        <w:tc>
          <w:tcPr/>
          <w:p>
            <w:pPr>
              <w:pStyle w:val="Compact"/>
            </w:pPr>
            <w:r>
              <w:rPr>
                <w:rFonts w:hint="eastAsia"/>
              </w:rPr>
              <w:t xml:space="preserve">航海装备Ⅱ</w:t>
            </w:r>
          </w:p>
        </w:tc>
        <w:tc>
          <w:tcPr/>
          <w:p>
            <w:pPr>
              <w:pStyle w:val="Compact"/>
              <w:jc w:val="right"/>
            </w:pPr>
            <w:r>
              <w:rPr>
                <w:rFonts w:hint="eastAsia"/>
              </w:rPr>
              <w:t xml:space="preserve">-5.79亿元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上一交易日主力净流出</w:t>
            </w:r>
          </w:p>
        </w:tc>
      </w:tr>
      <w:tr>
        <w:tc>
          <w:tcPr/>
          <w:p>
            <w:pPr>
              <w:pStyle w:val="Compact"/>
              <w:jc w:val="right"/>
            </w:pPr>
            <w:r>
              <w:t xml:space="preserve">6</w:t>
            </w:r>
          </w:p>
        </w:tc>
        <w:tc>
          <w:tcPr/>
          <w:p>
            <w:pPr>
              <w:pStyle w:val="Compact"/>
            </w:pPr>
            <w:r>
              <w:rPr>
                <w:rFonts w:hint="eastAsia"/>
              </w:rPr>
              <w:t xml:space="preserve">航空装备Ⅱ</w:t>
            </w:r>
          </w:p>
        </w:tc>
        <w:tc>
          <w:tcPr/>
          <w:p>
            <w:pPr>
              <w:pStyle w:val="Compact"/>
              <w:jc w:val="right"/>
            </w:pPr>
            <w:r>
              <w:rPr>
                <w:rFonts w:hint="eastAsia"/>
              </w:rPr>
              <w:t xml:space="preserve">-5.20亿元</w:t>
            </w:r>
          </w:p>
        </w:tc>
      </w:tr>
      <w:tr>
        <w:tc>
          <w:tcPr/>
          <w:p>
            <w:pPr>
              <w:pStyle w:val="Compact"/>
              <w:jc w:val="right"/>
            </w:pPr>
            <w:r>
              <w:t xml:space="preserve">7</w:t>
            </w:r>
          </w:p>
        </w:tc>
        <w:tc>
          <w:tcPr/>
          <w:p>
            <w:pPr>
              <w:pStyle w:val="Compact"/>
            </w:pPr>
            <w:r>
              <w:rPr>
                <w:rFonts w:hint="eastAsia"/>
              </w:rPr>
              <w:t xml:space="preserve">贵金属</w:t>
            </w:r>
          </w:p>
        </w:tc>
        <w:tc>
          <w:tcPr/>
          <w:p>
            <w:pPr>
              <w:pStyle w:val="Compact"/>
              <w:jc w:val="right"/>
            </w:pPr>
            <w:r>
              <w:rPr>
                <w:rFonts w:hint="eastAsia"/>
              </w:rPr>
              <w:t xml:space="preserve">-5.05亿元</w:t>
            </w:r>
          </w:p>
        </w:tc>
      </w:tr>
      <w:tr>
        <w:tc>
          <w:tcPr/>
          <w:p>
            <w:pPr>
              <w:pStyle w:val="Compact"/>
              <w:jc w:val="right"/>
            </w:pPr>
            <w:r>
              <w:t xml:space="preserve">8</w:t>
            </w:r>
          </w:p>
        </w:tc>
        <w:tc>
          <w:tcPr/>
          <w:p>
            <w:pPr>
              <w:pStyle w:val="Compact"/>
            </w:pPr>
            <w:r>
              <w:rPr>
                <w:rFonts w:hint="eastAsia"/>
              </w:rPr>
              <w:t xml:space="preserve">电力</w:t>
            </w:r>
          </w:p>
        </w:tc>
        <w:tc>
          <w:tcPr/>
          <w:p>
            <w:pPr>
              <w:pStyle w:val="Compact"/>
              <w:jc w:val="right"/>
            </w:pPr>
            <w:r>
              <w:rPr>
                <w:rFonts w:hint="eastAsia"/>
              </w:rPr>
              <w:t xml:space="preserve">-4.36亿元</w:t>
            </w:r>
          </w:p>
        </w:tc>
      </w:tr>
      <w:tr>
        <w:tc>
          <w:tcPr/>
          <w:p>
            <w:pPr>
              <w:pStyle w:val="Compact"/>
              <w:jc w:val="right"/>
            </w:pPr>
            <w:r>
              <w:t xml:space="preserve">9</w:t>
            </w:r>
          </w:p>
        </w:tc>
        <w:tc>
          <w:tcPr/>
          <w:p>
            <w:pPr>
              <w:pStyle w:val="Compact"/>
            </w:pPr>
            <w:r>
              <w:rPr>
                <w:rFonts w:hint="eastAsia"/>
              </w:rPr>
              <w:t xml:space="preserve">医疗器械</w:t>
            </w:r>
          </w:p>
        </w:tc>
        <w:tc>
          <w:tcPr/>
          <w:p>
            <w:pPr>
              <w:pStyle w:val="Compact"/>
              <w:jc w:val="right"/>
            </w:pPr>
            <w:r>
              <w:rPr>
                <w:rFonts w:hint="eastAsia"/>
              </w:rPr>
              <w:t xml:space="preserve">-4.01亿元</w:t>
            </w:r>
          </w:p>
        </w:tc>
      </w:tr>
      <w:tr>
        <w:tc>
          <w:tcPr/>
          <w:p>
            <w:pPr>
              <w:pStyle w:val="Compact"/>
              <w:jc w:val="right"/>
            </w:pPr>
            <w:r>
              <w:t xml:space="preserve">10</w:t>
            </w:r>
          </w:p>
        </w:tc>
        <w:tc>
          <w:tcPr/>
          <w:p>
            <w:pPr>
              <w:pStyle w:val="Compact"/>
            </w:pPr>
            <w:r>
              <w:rPr>
                <w:rFonts w:hint="eastAsia"/>
              </w:rPr>
              <w:t xml:space="preserve">白酒Ⅱ</w:t>
            </w:r>
          </w:p>
        </w:tc>
        <w:tc>
          <w:tcPr/>
          <w:p>
            <w:pPr>
              <w:pStyle w:val="Compact"/>
              <w:jc w:val="right"/>
            </w:pPr>
            <w:r>
              <w:rPr>
                <w:rFonts w:hint="eastAsia"/>
              </w:rPr>
              <w:t xml:space="preserve">-3.80亿元</w:t>
            </w:r>
          </w:p>
        </w:tc>
      </w:tr>
    </w:tbl>
    <w:bookmarkEnd w:id="27"/>
    <w:bookmarkStart w:id="28" w:name="流出top10个股"/>
    <w:p>
      <w:pPr>
        <w:pStyle w:val="Heading3"/>
      </w:pPr>
      <w:r>
        <w:t xml:space="preserve">💰 </w:t>
      </w:r>
      <w:r>
        <w:rPr>
          <w:rFonts w:hint="eastAsia"/>
        </w:rPr>
        <w:t xml:space="preserve">流出TOP10个股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上一交易日主力净流出</w:t>
            </w:r>
          </w:p>
        </w:tc>
      </w:tr>
      <w:tr>
        <w:tc>
          <w:tcPr/>
          <w:p>
            <w:pPr>
              <w:pStyle w:val="Compact"/>
              <w:jc w:val="right"/>
            </w:pPr>
            <w:r>
              <w:t xml:space="preserve">1</w:t>
            </w:r>
          </w:p>
        </w:tc>
        <w:tc>
          <w:tcPr/>
          <w:p>
            <w:pPr>
              <w:pStyle w:val="Compact"/>
            </w:pPr>
            <w:r>
              <w:rPr>
                <w:rFonts w:hint="eastAsia"/>
              </w:rPr>
              <w:t xml:space="preserve">宁德时代</w:t>
            </w:r>
          </w:p>
        </w:tc>
        <w:tc>
          <w:tcPr/>
          <w:p>
            <w:pPr>
              <w:pStyle w:val="Compact"/>
              <w:jc w:val="right"/>
            </w:pPr>
            <w:r>
              <w:t xml:space="preserve">300750</w:t>
            </w:r>
          </w:p>
        </w:tc>
        <w:tc>
          <w:tcPr/>
          <w:p>
            <w:pPr>
              <w:pStyle w:val="Compact"/>
              <w:jc w:val="right"/>
            </w:pPr>
            <w:r>
              <w:rPr>
                <w:rFonts w:hint="eastAsia"/>
              </w:rPr>
              <w:t xml:space="preserve">-12.26亿</w:t>
            </w:r>
          </w:p>
        </w:tc>
      </w:tr>
      <w:tr>
        <w:tc>
          <w:tcPr/>
          <w:p>
            <w:pPr>
              <w:pStyle w:val="Compact"/>
              <w:jc w:val="right"/>
            </w:pPr>
            <w:r>
              <w:t xml:space="preserve">2</w:t>
            </w:r>
          </w:p>
        </w:tc>
        <w:tc>
          <w:tcPr/>
          <w:p>
            <w:pPr>
              <w:pStyle w:val="Compact"/>
            </w:pPr>
            <w:r>
              <w:rPr>
                <w:rFonts w:hint="eastAsia"/>
              </w:rPr>
              <w:t xml:space="preserve">源杰科技</w:t>
            </w:r>
          </w:p>
        </w:tc>
        <w:tc>
          <w:tcPr/>
          <w:p>
            <w:pPr>
              <w:pStyle w:val="Compact"/>
              <w:jc w:val="right"/>
            </w:pPr>
            <w:r>
              <w:t xml:space="preserve">688498</w:t>
            </w:r>
          </w:p>
        </w:tc>
        <w:tc>
          <w:tcPr/>
          <w:p>
            <w:pPr>
              <w:pStyle w:val="Compact"/>
              <w:jc w:val="right"/>
            </w:pPr>
            <w:r>
              <w:rPr>
                <w:rFonts w:hint="eastAsia"/>
              </w:rPr>
              <w:t xml:space="preserve">-6.42亿</w:t>
            </w:r>
          </w:p>
        </w:tc>
      </w:tr>
      <w:tr>
        <w:tc>
          <w:tcPr/>
          <w:p>
            <w:pPr>
              <w:pStyle w:val="Compact"/>
              <w:jc w:val="right"/>
            </w:pPr>
            <w:r>
              <w:t xml:space="preserve">3</w:t>
            </w:r>
          </w:p>
        </w:tc>
        <w:tc>
          <w:tcPr/>
          <w:p>
            <w:pPr>
              <w:pStyle w:val="Compact"/>
            </w:pPr>
            <w:r>
              <w:rPr>
                <w:rFonts w:hint="eastAsia"/>
              </w:rPr>
              <w:t xml:space="preserve">西安奕材-U</w:t>
            </w:r>
          </w:p>
        </w:tc>
        <w:tc>
          <w:tcPr/>
          <w:p>
            <w:pPr>
              <w:pStyle w:val="Compact"/>
              <w:jc w:val="right"/>
            </w:pPr>
            <w:r>
              <w:t xml:space="preserve">688783</w:t>
            </w:r>
          </w:p>
        </w:tc>
        <w:tc>
          <w:tcPr/>
          <w:p>
            <w:pPr>
              <w:pStyle w:val="Compact"/>
              <w:jc w:val="right"/>
            </w:pPr>
            <w:r>
              <w:rPr>
                <w:rFonts w:hint="eastAsia"/>
              </w:rPr>
              <w:t xml:space="preserve">-4.81亿</w:t>
            </w:r>
          </w:p>
        </w:tc>
      </w:tr>
      <w:tr>
        <w:tc>
          <w:tcPr/>
          <w:p>
            <w:pPr>
              <w:pStyle w:val="Compact"/>
              <w:jc w:val="right"/>
            </w:pPr>
            <w:r>
              <w:t xml:space="preserve">4</w:t>
            </w:r>
          </w:p>
        </w:tc>
        <w:tc>
          <w:tcPr/>
          <w:p>
            <w:pPr>
              <w:pStyle w:val="Compact"/>
            </w:pPr>
            <w:r>
              <w:rPr>
                <w:rFonts w:hint="eastAsia"/>
              </w:rPr>
              <w:t xml:space="preserve">中国船舶</w:t>
            </w:r>
          </w:p>
        </w:tc>
        <w:tc>
          <w:tcPr/>
          <w:p>
            <w:pPr>
              <w:pStyle w:val="Compact"/>
              <w:jc w:val="right"/>
            </w:pPr>
            <w:r>
              <w:t xml:space="preserve">600150</w:t>
            </w:r>
          </w:p>
        </w:tc>
        <w:tc>
          <w:tcPr/>
          <w:p>
            <w:pPr>
              <w:pStyle w:val="Compact"/>
              <w:jc w:val="right"/>
            </w:pPr>
            <w:r>
              <w:rPr>
                <w:rFonts w:hint="eastAsia"/>
              </w:rPr>
              <w:t xml:space="preserve">-4.66亿</w:t>
            </w:r>
          </w:p>
        </w:tc>
      </w:tr>
      <w:tr>
        <w:tc>
          <w:tcPr/>
          <w:p>
            <w:pPr>
              <w:pStyle w:val="Compact"/>
              <w:jc w:val="right"/>
            </w:pPr>
            <w:r>
              <w:t xml:space="preserve">5</w:t>
            </w:r>
          </w:p>
        </w:tc>
        <w:tc>
          <w:tcPr/>
          <w:p>
            <w:pPr>
              <w:pStyle w:val="Compact"/>
            </w:pPr>
            <w:r>
              <w:rPr>
                <w:rFonts w:hint="eastAsia"/>
              </w:rPr>
              <w:t xml:space="preserve">大洋电机</w:t>
            </w:r>
          </w:p>
        </w:tc>
        <w:tc>
          <w:tcPr/>
          <w:p>
            <w:pPr>
              <w:pStyle w:val="Compact"/>
              <w:jc w:val="right"/>
            </w:pPr>
            <w:r>
              <w:t xml:space="preserve">002249</w:t>
            </w:r>
          </w:p>
        </w:tc>
        <w:tc>
          <w:tcPr/>
          <w:p>
            <w:pPr>
              <w:pStyle w:val="Compact"/>
              <w:jc w:val="right"/>
            </w:pPr>
            <w:r>
              <w:rPr>
                <w:rFonts w:hint="eastAsia"/>
              </w:rPr>
              <w:t xml:space="preserve">-3.46亿</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上一交易日主力净流出</w:t>
            </w:r>
          </w:p>
        </w:tc>
      </w:tr>
      <w:tr>
        <w:tc>
          <w:tcPr/>
          <w:p>
            <w:pPr>
              <w:pStyle w:val="Compact"/>
              <w:jc w:val="right"/>
            </w:pPr>
            <w:r>
              <w:t xml:space="preserve">6</w:t>
            </w:r>
          </w:p>
        </w:tc>
        <w:tc>
          <w:tcPr/>
          <w:p>
            <w:pPr>
              <w:pStyle w:val="Compact"/>
            </w:pPr>
            <w:r>
              <w:rPr>
                <w:rFonts w:hint="eastAsia"/>
              </w:rPr>
              <w:t xml:space="preserve">阳光电源</w:t>
            </w:r>
          </w:p>
        </w:tc>
        <w:tc>
          <w:tcPr/>
          <w:p>
            <w:pPr>
              <w:pStyle w:val="Compact"/>
              <w:jc w:val="right"/>
            </w:pPr>
            <w:r>
              <w:t xml:space="preserve">300274</w:t>
            </w:r>
          </w:p>
        </w:tc>
        <w:tc>
          <w:tcPr/>
          <w:p>
            <w:pPr>
              <w:pStyle w:val="Compact"/>
              <w:jc w:val="right"/>
            </w:pPr>
            <w:r>
              <w:rPr>
                <w:rFonts w:hint="eastAsia"/>
              </w:rPr>
              <w:t xml:space="preserve">-3.23亿</w:t>
            </w:r>
          </w:p>
        </w:tc>
      </w:tr>
      <w:tr>
        <w:tc>
          <w:tcPr/>
          <w:p>
            <w:pPr>
              <w:pStyle w:val="Compact"/>
              <w:jc w:val="right"/>
            </w:pPr>
            <w:r>
              <w:t xml:space="preserve">7</w:t>
            </w:r>
          </w:p>
        </w:tc>
        <w:tc>
          <w:tcPr/>
          <w:p>
            <w:pPr>
              <w:pStyle w:val="Compact"/>
            </w:pPr>
            <w:r>
              <w:rPr>
                <w:rFonts w:hint="eastAsia"/>
              </w:rPr>
              <w:t xml:space="preserve">上海九百</w:t>
            </w:r>
          </w:p>
        </w:tc>
        <w:tc>
          <w:tcPr/>
          <w:p>
            <w:pPr>
              <w:pStyle w:val="Compact"/>
              <w:jc w:val="right"/>
            </w:pPr>
            <w:r>
              <w:t xml:space="preserve">600838</w:t>
            </w:r>
          </w:p>
        </w:tc>
        <w:tc>
          <w:tcPr/>
          <w:p>
            <w:pPr>
              <w:pStyle w:val="Compact"/>
              <w:jc w:val="right"/>
            </w:pPr>
            <w:r>
              <w:rPr>
                <w:rFonts w:hint="eastAsia"/>
              </w:rPr>
              <w:t xml:space="preserve">-3.16亿</w:t>
            </w:r>
          </w:p>
        </w:tc>
      </w:tr>
      <w:tr>
        <w:tc>
          <w:tcPr/>
          <w:p>
            <w:pPr>
              <w:pStyle w:val="Compact"/>
              <w:jc w:val="right"/>
            </w:pPr>
            <w:r>
              <w:t xml:space="preserve">8</w:t>
            </w:r>
          </w:p>
        </w:tc>
        <w:tc>
          <w:tcPr/>
          <w:p>
            <w:pPr>
              <w:pStyle w:val="Compact"/>
            </w:pPr>
            <w:r>
              <w:rPr>
                <w:rFonts w:hint="eastAsia"/>
              </w:rPr>
              <w:t xml:space="preserve">中兴通讯</w:t>
            </w:r>
          </w:p>
        </w:tc>
        <w:tc>
          <w:tcPr/>
          <w:p>
            <w:pPr>
              <w:pStyle w:val="Compact"/>
              <w:jc w:val="right"/>
            </w:pPr>
            <w:r>
              <w:t xml:space="preserve">000063</w:t>
            </w:r>
          </w:p>
        </w:tc>
        <w:tc>
          <w:tcPr/>
          <w:p>
            <w:pPr>
              <w:pStyle w:val="Compact"/>
              <w:jc w:val="right"/>
            </w:pPr>
            <w:r>
              <w:rPr>
                <w:rFonts w:hint="eastAsia"/>
              </w:rPr>
              <w:t xml:space="preserve">-2.98亿</w:t>
            </w:r>
          </w:p>
        </w:tc>
      </w:tr>
      <w:tr>
        <w:tc>
          <w:tcPr/>
          <w:p>
            <w:pPr>
              <w:pStyle w:val="Compact"/>
              <w:jc w:val="right"/>
            </w:pPr>
            <w:r>
              <w:t xml:space="preserve">9</w:t>
            </w:r>
          </w:p>
        </w:tc>
        <w:tc>
          <w:tcPr/>
          <w:p>
            <w:pPr>
              <w:pStyle w:val="Compact"/>
            </w:pPr>
            <w:r>
              <w:rPr>
                <w:rFonts w:hint="eastAsia"/>
              </w:rPr>
              <w:t xml:space="preserve">东方财富</w:t>
            </w:r>
          </w:p>
        </w:tc>
        <w:tc>
          <w:tcPr/>
          <w:p>
            <w:pPr>
              <w:pStyle w:val="Compact"/>
              <w:jc w:val="right"/>
            </w:pPr>
            <w:r>
              <w:t xml:space="preserve">300059</w:t>
            </w:r>
          </w:p>
        </w:tc>
        <w:tc>
          <w:tcPr/>
          <w:p>
            <w:pPr>
              <w:pStyle w:val="Compact"/>
              <w:jc w:val="right"/>
            </w:pPr>
            <w:r>
              <w:rPr>
                <w:rFonts w:hint="eastAsia"/>
              </w:rPr>
              <w:t xml:space="preserve">-2.81亿</w:t>
            </w:r>
          </w:p>
        </w:tc>
      </w:tr>
      <w:tr>
        <w:tc>
          <w:tcPr/>
          <w:p>
            <w:pPr>
              <w:pStyle w:val="Compact"/>
              <w:jc w:val="right"/>
            </w:pPr>
            <w:r>
              <w:t xml:space="preserve">10</w:t>
            </w:r>
          </w:p>
        </w:tc>
        <w:tc>
          <w:tcPr/>
          <w:p>
            <w:pPr>
              <w:pStyle w:val="Compact"/>
            </w:pPr>
            <w:r>
              <w:rPr>
                <w:rFonts w:hint="eastAsia"/>
              </w:rPr>
              <w:t xml:space="preserve">五粮液</w:t>
            </w:r>
          </w:p>
        </w:tc>
        <w:tc>
          <w:tcPr/>
          <w:p>
            <w:pPr>
              <w:pStyle w:val="Compact"/>
              <w:jc w:val="right"/>
            </w:pPr>
            <w:r>
              <w:t xml:space="preserve">000858</w:t>
            </w:r>
          </w:p>
        </w:tc>
        <w:tc>
          <w:tcPr/>
          <w:p>
            <w:pPr>
              <w:pStyle w:val="Compact"/>
              <w:jc w:val="right"/>
            </w:pPr>
            <w:r>
              <w:rPr>
                <w:rFonts w:hint="eastAsia"/>
              </w:rPr>
              <w:t xml:space="preserve">-2.75亿</w:t>
            </w:r>
          </w:p>
        </w:tc>
      </w:tr>
    </w:tbl>
    <w:bookmarkEnd w:id="28"/>
    <w:bookmarkStart w:id="29" w:name="流入top10板块"/>
    <w:p>
      <w:pPr>
        <w:pStyle w:val="Heading3"/>
      </w:pPr>
      <w:r>
        <w:t xml:space="preserve">💰 </w:t>
      </w:r>
      <w:r>
        <w:rPr>
          <w:rFonts w:hint="eastAsia"/>
        </w:rPr>
        <w:t xml:space="preserve">流入TOP10板块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上一交易日主力净流入</w:t>
            </w:r>
          </w:p>
        </w:tc>
      </w:tr>
      <w:tr>
        <w:tc>
          <w:tcPr/>
          <w:p>
            <w:pPr>
              <w:pStyle w:val="Compact"/>
              <w:jc w:val="right"/>
            </w:pPr>
            <w:r>
              <w:t xml:space="preserve">1</w:t>
            </w:r>
          </w:p>
        </w:tc>
        <w:tc>
          <w:tcPr/>
          <w:p>
            <w:pPr>
              <w:pStyle w:val="Compact"/>
            </w:pPr>
            <w:r>
              <w:rPr>
                <w:rFonts w:hint="eastAsia"/>
              </w:rPr>
              <w:t xml:space="preserve">通信设备</w:t>
            </w:r>
          </w:p>
        </w:tc>
        <w:tc>
          <w:tcPr/>
          <w:p>
            <w:pPr>
              <w:pStyle w:val="Compact"/>
              <w:jc w:val="right"/>
            </w:pPr>
            <w:r>
              <w:rPr>
                <w:rFonts w:hint="eastAsia"/>
              </w:rPr>
              <w:t xml:space="preserve">+78.53亿元</w:t>
            </w:r>
          </w:p>
        </w:tc>
      </w:tr>
      <w:tr>
        <w:tc>
          <w:tcPr/>
          <w:p>
            <w:pPr>
              <w:pStyle w:val="Compact"/>
              <w:jc w:val="right"/>
            </w:pPr>
            <w:r>
              <w:t xml:space="preserve">2</w:t>
            </w:r>
          </w:p>
        </w:tc>
        <w:tc>
          <w:tcPr/>
          <w:p>
            <w:pPr>
              <w:pStyle w:val="Compact"/>
            </w:pPr>
            <w:r>
              <w:rPr>
                <w:rFonts w:hint="eastAsia"/>
              </w:rPr>
              <w:t xml:space="preserve">半导体</w:t>
            </w:r>
          </w:p>
        </w:tc>
        <w:tc>
          <w:tcPr/>
          <w:p>
            <w:pPr>
              <w:pStyle w:val="Compact"/>
              <w:jc w:val="right"/>
            </w:pPr>
            <w:r>
              <w:rPr>
                <w:rFonts w:hint="eastAsia"/>
              </w:rPr>
              <w:t xml:space="preserve">+68.91亿元</w:t>
            </w:r>
          </w:p>
        </w:tc>
      </w:tr>
      <w:tr>
        <w:tc>
          <w:tcPr/>
          <w:p>
            <w:pPr>
              <w:pStyle w:val="Compact"/>
              <w:jc w:val="right"/>
            </w:pPr>
            <w:r>
              <w:t xml:space="preserve">3</w:t>
            </w:r>
          </w:p>
        </w:tc>
        <w:tc>
          <w:tcPr/>
          <w:p>
            <w:pPr>
              <w:pStyle w:val="Compact"/>
            </w:pPr>
            <w:r>
              <w:rPr>
                <w:rFonts w:hint="eastAsia"/>
              </w:rPr>
              <w:t xml:space="preserve">元件</w:t>
            </w:r>
          </w:p>
        </w:tc>
        <w:tc>
          <w:tcPr/>
          <w:p>
            <w:pPr>
              <w:pStyle w:val="Compact"/>
              <w:jc w:val="right"/>
            </w:pPr>
            <w:r>
              <w:rPr>
                <w:rFonts w:hint="eastAsia"/>
              </w:rPr>
              <w:t xml:space="preserve">+50.31亿元</w:t>
            </w:r>
          </w:p>
        </w:tc>
      </w:tr>
      <w:tr>
        <w:tc>
          <w:tcPr/>
          <w:p>
            <w:pPr>
              <w:pStyle w:val="Compact"/>
              <w:jc w:val="right"/>
            </w:pPr>
            <w:r>
              <w:t xml:space="preserve">4</w:t>
            </w:r>
          </w:p>
        </w:tc>
        <w:tc>
          <w:tcPr/>
          <w:p>
            <w:pPr>
              <w:pStyle w:val="Compact"/>
            </w:pPr>
            <w:r>
              <w:rPr>
                <w:rFonts w:hint="eastAsia"/>
              </w:rPr>
              <w:t xml:space="preserve">汽车零部件</w:t>
            </w:r>
          </w:p>
        </w:tc>
        <w:tc>
          <w:tcPr/>
          <w:p>
            <w:pPr>
              <w:pStyle w:val="Compact"/>
              <w:jc w:val="right"/>
            </w:pPr>
            <w:r>
              <w:rPr>
                <w:rFonts w:hint="eastAsia"/>
              </w:rPr>
              <w:t xml:space="preserve">+25.24亿元</w:t>
            </w:r>
          </w:p>
        </w:tc>
      </w:tr>
      <w:tr>
        <w:tc>
          <w:tcPr/>
          <w:p>
            <w:pPr>
              <w:pStyle w:val="Compact"/>
              <w:jc w:val="right"/>
            </w:pPr>
            <w:r>
              <w:t xml:space="preserve">5</w:t>
            </w:r>
          </w:p>
        </w:tc>
        <w:tc>
          <w:tcPr/>
          <w:p>
            <w:pPr>
              <w:pStyle w:val="Compact"/>
            </w:pPr>
            <w:r>
              <w:rPr>
                <w:rFonts w:hint="eastAsia"/>
              </w:rPr>
              <w:t xml:space="preserve">消费电子</w:t>
            </w:r>
          </w:p>
        </w:tc>
        <w:tc>
          <w:tcPr/>
          <w:p>
            <w:pPr>
              <w:pStyle w:val="Compact"/>
              <w:jc w:val="right"/>
            </w:pPr>
            <w:r>
              <w:rPr>
                <w:rFonts w:hint="eastAsia"/>
              </w:rPr>
              <w:t xml:space="preserve">+18.01亿元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上一交易日主力净流入</w:t>
            </w:r>
          </w:p>
        </w:tc>
      </w:tr>
      <w:tr>
        <w:tc>
          <w:tcPr/>
          <w:p>
            <w:pPr>
              <w:pStyle w:val="Compact"/>
              <w:jc w:val="right"/>
            </w:pPr>
            <w:r>
              <w:t xml:space="preserve">6</w:t>
            </w:r>
          </w:p>
        </w:tc>
        <w:tc>
          <w:tcPr/>
          <w:p>
            <w:pPr>
              <w:pStyle w:val="Compact"/>
            </w:pPr>
            <w:r>
              <w:rPr>
                <w:rFonts w:hint="eastAsia"/>
              </w:rPr>
              <w:t xml:space="preserve">通用设备</w:t>
            </w:r>
          </w:p>
        </w:tc>
        <w:tc>
          <w:tcPr/>
          <w:p>
            <w:pPr>
              <w:pStyle w:val="Compact"/>
              <w:jc w:val="right"/>
            </w:pPr>
            <w:r>
              <w:rPr>
                <w:rFonts w:hint="eastAsia"/>
              </w:rPr>
              <w:t xml:space="preserve">+17.57亿元</w:t>
            </w:r>
          </w:p>
        </w:tc>
      </w:tr>
      <w:tr>
        <w:tc>
          <w:tcPr/>
          <w:p>
            <w:pPr>
              <w:pStyle w:val="Compact"/>
              <w:jc w:val="right"/>
            </w:pPr>
            <w:r>
              <w:t xml:space="preserve">7</w:t>
            </w:r>
          </w:p>
        </w:tc>
        <w:tc>
          <w:tcPr/>
          <w:p>
            <w:pPr>
              <w:pStyle w:val="Compact"/>
            </w:pPr>
            <w:r>
              <w:rPr>
                <w:rFonts w:hint="eastAsia"/>
              </w:rPr>
              <w:t xml:space="preserve">自动化设备</w:t>
            </w:r>
          </w:p>
        </w:tc>
        <w:tc>
          <w:tcPr/>
          <w:p>
            <w:pPr>
              <w:pStyle w:val="Compact"/>
              <w:jc w:val="right"/>
            </w:pPr>
            <w:r>
              <w:rPr>
                <w:rFonts w:hint="eastAsia"/>
              </w:rPr>
              <w:t xml:space="preserve">+14.28亿元</w:t>
            </w:r>
          </w:p>
        </w:tc>
      </w:tr>
      <w:tr>
        <w:tc>
          <w:tcPr/>
          <w:p>
            <w:pPr>
              <w:pStyle w:val="Compact"/>
              <w:jc w:val="right"/>
            </w:pPr>
            <w:r>
              <w:t xml:space="preserve">8</w:t>
            </w:r>
          </w:p>
        </w:tc>
        <w:tc>
          <w:tcPr/>
          <w:p>
            <w:pPr>
              <w:pStyle w:val="Compact"/>
            </w:pPr>
            <w:r>
              <w:rPr>
                <w:rFonts w:hint="eastAsia"/>
              </w:rPr>
              <w:t xml:space="preserve">塑料</w:t>
            </w:r>
          </w:p>
        </w:tc>
        <w:tc>
          <w:tcPr/>
          <w:p>
            <w:pPr>
              <w:pStyle w:val="Compact"/>
              <w:jc w:val="right"/>
            </w:pPr>
            <w:r>
              <w:rPr>
                <w:rFonts w:hint="eastAsia"/>
              </w:rPr>
              <w:t xml:space="preserve">+9.19亿元</w:t>
            </w:r>
          </w:p>
        </w:tc>
      </w:tr>
      <w:tr>
        <w:tc>
          <w:tcPr/>
          <w:p>
            <w:pPr>
              <w:pStyle w:val="Compact"/>
              <w:jc w:val="right"/>
            </w:pPr>
            <w:r>
              <w:t xml:space="preserve">9</w:t>
            </w:r>
          </w:p>
        </w:tc>
        <w:tc>
          <w:tcPr/>
          <w:p>
            <w:pPr>
              <w:pStyle w:val="Compact"/>
            </w:pPr>
            <w:r>
              <w:rPr>
                <w:rFonts w:hint="eastAsia"/>
              </w:rPr>
              <w:t xml:space="preserve">医疗服务</w:t>
            </w:r>
          </w:p>
        </w:tc>
        <w:tc>
          <w:tcPr/>
          <w:p>
            <w:pPr>
              <w:pStyle w:val="Compact"/>
              <w:jc w:val="right"/>
            </w:pPr>
            <w:r>
              <w:rPr>
                <w:rFonts w:hint="eastAsia"/>
              </w:rPr>
              <w:t xml:space="preserve">+8.07亿元</w:t>
            </w:r>
          </w:p>
        </w:tc>
      </w:tr>
      <w:tr>
        <w:tc>
          <w:tcPr/>
          <w:p>
            <w:pPr>
              <w:pStyle w:val="Compact"/>
              <w:jc w:val="right"/>
            </w:pPr>
            <w:r>
              <w:t xml:space="preserve">10</w:t>
            </w:r>
          </w:p>
        </w:tc>
        <w:tc>
          <w:tcPr/>
          <w:p>
            <w:pPr>
              <w:pStyle w:val="Compact"/>
            </w:pPr>
            <w:r>
              <w:rPr>
                <w:rFonts w:hint="eastAsia"/>
              </w:rPr>
              <w:t xml:space="preserve">银行Ⅱ</w:t>
            </w:r>
          </w:p>
        </w:tc>
        <w:tc>
          <w:tcPr/>
          <w:p>
            <w:pPr>
              <w:pStyle w:val="Compact"/>
              <w:jc w:val="right"/>
            </w:pPr>
            <w:r>
              <w:rPr>
                <w:rFonts w:hint="eastAsia"/>
              </w:rPr>
              <w:t xml:space="preserve">+7.81亿元</w:t>
            </w:r>
          </w:p>
        </w:tc>
      </w:tr>
    </w:tbl>
    <w:bookmarkEnd w:id="29"/>
    <w:bookmarkStart w:id="30" w:name="流入top10个股"/>
    <w:p>
      <w:pPr>
        <w:pStyle w:val="Heading3"/>
      </w:pPr>
      <w:r>
        <w:t xml:space="preserve">💰 </w:t>
      </w:r>
      <w:r>
        <w:rPr>
          <w:rFonts w:hint="eastAsia"/>
        </w:rPr>
        <w:t xml:space="preserve">流入TOP10个股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上一交易日主力净流入</w:t>
            </w:r>
          </w:p>
        </w:tc>
      </w:tr>
      <w:tr>
        <w:tc>
          <w:tcPr/>
          <w:p>
            <w:pPr>
              <w:pStyle w:val="Compact"/>
              <w:jc w:val="right"/>
            </w:pPr>
            <w:r>
              <w:t xml:space="preserve">1</w:t>
            </w:r>
          </w:p>
        </w:tc>
        <w:tc>
          <w:tcPr/>
          <w:p>
            <w:pPr>
              <w:pStyle w:val="Compact"/>
            </w:pPr>
            <w:r>
              <w:rPr>
                <w:rFonts w:hint="eastAsia"/>
              </w:rPr>
              <w:t xml:space="preserve">中际旭创</w:t>
            </w:r>
          </w:p>
        </w:tc>
        <w:tc>
          <w:tcPr/>
          <w:p>
            <w:pPr>
              <w:pStyle w:val="Compact"/>
              <w:jc w:val="right"/>
            </w:pPr>
            <w:r>
              <w:t xml:space="preserve">300308</w:t>
            </w:r>
          </w:p>
        </w:tc>
        <w:tc>
          <w:tcPr/>
          <w:p>
            <w:pPr>
              <w:pStyle w:val="Compact"/>
              <w:jc w:val="right"/>
            </w:pPr>
            <w:r>
              <w:rPr>
                <w:rFonts w:hint="eastAsia"/>
              </w:rPr>
              <w:t xml:space="preserve">+30.80亿</w:t>
            </w:r>
          </w:p>
        </w:tc>
      </w:tr>
      <w:tr>
        <w:tc>
          <w:tcPr/>
          <w:p>
            <w:pPr>
              <w:pStyle w:val="Compact"/>
              <w:jc w:val="right"/>
            </w:pPr>
            <w:r>
              <w:t xml:space="preserve">2</w:t>
            </w:r>
          </w:p>
        </w:tc>
        <w:tc>
          <w:tcPr/>
          <w:p>
            <w:pPr>
              <w:pStyle w:val="Compact"/>
            </w:pPr>
            <w:r>
              <w:rPr>
                <w:rFonts w:hint="eastAsia"/>
              </w:rPr>
              <w:t xml:space="preserve">兆易创新</w:t>
            </w:r>
          </w:p>
        </w:tc>
        <w:tc>
          <w:tcPr/>
          <w:p>
            <w:pPr>
              <w:pStyle w:val="Compact"/>
              <w:jc w:val="right"/>
            </w:pPr>
            <w:r>
              <w:t xml:space="preserve">603986</w:t>
            </w:r>
          </w:p>
        </w:tc>
        <w:tc>
          <w:tcPr/>
          <w:p>
            <w:pPr>
              <w:pStyle w:val="Compact"/>
              <w:jc w:val="right"/>
            </w:pPr>
            <w:r>
              <w:rPr>
                <w:rFonts w:hint="eastAsia"/>
              </w:rPr>
              <w:t xml:space="preserve">+17.46亿</w:t>
            </w:r>
          </w:p>
        </w:tc>
      </w:tr>
      <w:tr>
        <w:tc>
          <w:tcPr/>
          <w:p>
            <w:pPr>
              <w:pStyle w:val="Compact"/>
              <w:jc w:val="right"/>
            </w:pPr>
            <w:r>
              <w:t xml:space="preserve">3</w:t>
            </w:r>
          </w:p>
        </w:tc>
        <w:tc>
          <w:tcPr/>
          <w:p>
            <w:pPr>
              <w:pStyle w:val="Compact"/>
            </w:pPr>
            <w:r>
              <w:rPr>
                <w:rFonts w:hint="eastAsia"/>
              </w:rPr>
              <w:t xml:space="preserve">新易盛</w:t>
            </w:r>
          </w:p>
        </w:tc>
        <w:tc>
          <w:tcPr/>
          <w:p>
            <w:pPr>
              <w:pStyle w:val="Compact"/>
              <w:jc w:val="right"/>
            </w:pPr>
            <w:r>
              <w:t xml:space="preserve">300502</w:t>
            </w:r>
          </w:p>
        </w:tc>
        <w:tc>
          <w:tcPr/>
          <w:p>
            <w:pPr>
              <w:pStyle w:val="Compact"/>
              <w:jc w:val="right"/>
            </w:pPr>
            <w:r>
              <w:rPr>
                <w:rFonts w:hint="eastAsia"/>
              </w:rPr>
              <w:t xml:space="preserve">+14.36亿</w:t>
            </w:r>
          </w:p>
        </w:tc>
      </w:tr>
      <w:tr>
        <w:tc>
          <w:tcPr/>
          <w:p>
            <w:pPr>
              <w:pStyle w:val="Compact"/>
              <w:jc w:val="right"/>
            </w:pPr>
            <w:r>
              <w:t xml:space="preserve">4</w:t>
            </w:r>
          </w:p>
        </w:tc>
        <w:tc>
          <w:tcPr/>
          <w:p>
            <w:pPr>
              <w:pStyle w:val="Compact"/>
            </w:pPr>
            <w:r>
              <w:rPr>
                <w:rFonts w:hint="eastAsia"/>
              </w:rPr>
              <w:t xml:space="preserve">工业富联</w:t>
            </w:r>
          </w:p>
        </w:tc>
        <w:tc>
          <w:tcPr/>
          <w:p>
            <w:pPr>
              <w:pStyle w:val="Compact"/>
              <w:jc w:val="right"/>
            </w:pPr>
            <w:r>
              <w:t xml:space="preserve">601138</w:t>
            </w:r>
          </w:p>
        </w:tc>
        <w:tc>
          <w:tcPr/>
          <w:p>
            <w:pPr>
              <w:pStyle w:val="Compact"/>
              <w:jc w:val="right"/>
            </w:pPr>
            <w:r>
              <w:rPr>
                <w:rFonts w:hint="eastAsia"/>
              </w:rPr>
              <w:t xml:space="preserve">+8.47亿</w:t>
            </w:r>
          </w:p>
        </w:tc>
      </w:tr>
      <w:tr>
        <w:tc>
          <w:tcPr/>
          <w:p>
            <w:pPr>
              <w:pStyle w:val="Compact"/>
              <w:jc w:val="right"/>
            </w:pPr>
            <w:r>
              <w:t xml:space="preserve">5</w:t>
            </w:r>
          </w:p>
        </w:tc>
        <w:tc>
          <w:tcPr/>
          <w:p>
            <w:pPr>
              <w:pStyle w:val="Compact"/>
            </w:pPr>
            <w:r>
              <w:rPr>
                <w:rFonts w:hint="eastAsia"/>
              </w:rPr>
              <w:t xml:space="preserve">天孚通信</w:t>
            </w:r>
          </w:p>
        </w:tc>
        <w:tc>
          <w:tcPr/>
          <w:p>
            <w:pPr>
              <w:pStyle w:val="Compact"/>
              <w:jc w:val="right"/>
            </w:pPr>
            <w:r>
              <w:t xml:space="preserve">300394</w:t>
            </w:r>
          </w:p>
        </w:tc>
        <w:tc>
          <w:tcPr/>
          <w:p>
            <w:pPr>
              <w:pStyle w:val="Compact"/>
              <w:jc w:val="right"/>
            </w:pPr>
            <w:r>
              <w:rPr>
                <w:rFonts w:hint="eastAsia"/>
              </w:rPr>
              <w:t xml:space="preserve">+8.45亿</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上一交易日主力净流入</w:t>
            </w:r>
          </w:p>
        </w:tc>
      </w:tr>
      <w:tr>
        <w:tc>
          <w:tcPr/>
          <w:p>
            <w:pPr>
              <w:pStyle w:val="Compact"/>
              <w:jc w:val="right"/>
            </w:pPr>
            <w:r>
              <w:t xml:space="preserve">6</w:t>
            </w:r>
          </w:p>
        </w:tc>
        <w:tc>
          <w:tcPr/>
          <w:p>
            <w:pPr>
              <w:pStyle w:val="Compact"/>
            </w:pPr>
            <w:r>
              <w:rPr>
                <w:rFonts w:hint="eastAsia"/>
              </w:rPr>
              <w:t xml:space="preserve">君正股份</w:t>
            </w:r>
          </w:p>
        </w:tc>
        <w:tc>
          <w:tcPr/>
          <w:p>
            <w:pPr>
              <w:pStyle w:val="Compact"/>
              <w:jc w:val="right"/>
            </w:pPr>
            <w:r>
              <w:t xml:space="preserve">300223</w:t>
            </w:r>
          </w:p>
        </w:tc>
        <w:tc>
          <w:tcPr/>
          <w:p>
            <w:pPr>
              <w:pStyle w:val="Compact"/>
              <w:jc w:val="right"/>
            </w:pPr>
            <w:r>
              <w:rPr>
                <w:rFonts w:hint="eastAsia"/>
              </w:rPr>
              <w:t xml:space="preserve">+6.55亿</w:t>
            </w:r>
          </w:p>
        </w:tc>
      </w:tr>
      <w:tr>
        <w:tc>
          <w:tcPr/>
          <w:p>
            <w:pPr>
              <w:pStyle w:val="Compact"/>
              <w:jc w:val="right"/>
            </w:pPr>
            <w:r>
              <w:t xml:space="preserve">7</w:t>
            </w:r>
          </w:p>
        </w:tc>
        <w:tc>
          <w:tcPr/>
          <w:p>
            <w:pPr>
              <w:pStyle w:val="Compact"/>
            </w:pPr>
            <w:r>
              <w:rPr>
                <w:rFonts w:hint="eastAsia"/>
              </w:rPr>
              <w:t xml:space="preserve">金安国纪</w:t>
            </w:r>
          </w:p>
        </w:tc>
        <w:tc>
          <w:tcPr/>
          <w:p>
            <w:pPr>
              <w:pStyle w:val="Compact"/>
              <w:jc w:val="right"/>
            </w:pPr>
            <w:r>
              <w:t xml:space="preserve">002636</w:t>
            </w:r>
          </w:p>
        </w:tc>
        <w:tc>
          <w:tcPr/>
          <w:p>
            <w:pPr>
              <w:pStyle w:val="Compact"/>
              <w:jc w:val="right"/>
            </w:pPr>
            <w:r>
              <w:rPr>
                <w:rFonts w:hint="eastAsia"/>
              </w:rPr>
              <w:t xml:space="preserve">+6.49亿</w:t>
            </w:r>
          </w:p>
        </w:tc>
      </w:tr>
      <w:tr>
        <w:tc>
          <w:tcPr/>
          <w:p>
            <w:pPr>
              <w:pStyle w:val="Compact"/>
              <w:jc w:val="right"/>
            </w:pPr>
            <w:r>
              <w:t xml:space="preserve">8</w:t>
            </w:r>
          </w:p>
        </w:tc>
        <w:tc>
          <w:tcPr/>
          <w:p>
            <w:pPr>
              <w:pStyle w:val="Compact"/>
            </w:pPr>
            <w:r>
              <w:rPr>
                <w:rFonts w:hint="eastAsia"/>
              </w:rPr>
              <w:t xml:space="preserve">方正科技</w:t>
            </w:r>
          </w:p>
        </w:tc>
        <w:tc>
          <w:tcPr/>
          <w:p>
            <w:pPr>
              <w:pStyle w:val="Compact"/>
              <w:jc w:val="right"/>
            </w:pPr>
            <w:r>
              <w:t xml:space="preserve">600601</w:t>
            </w:r>
          </w:p>
        </w:tc>
        <w:tc>
          <w:tcPr/>
          <w:p>
            <w:pPr>
              <w:pStyle w:val="Compact"/>
              <w:jc w:val="right"/>
            </w:pPr>
            <w:r>
              <w:rPr>
                <w:rFonts w:hint="eastAsia"/>
              </w:rPr>
              <w:t xml:space="preserve">+6.41亿</w:t>
            </w:r>
          </w:p>
        </w:tc>
      </w:tr>
      <w:tr>
        <w:tc>
          <w:tcPr/>
          <w:p>
            <w:pPr>
              <w:pStyle w:val="Compact"/>
              <w:jc w:val="right"/>
            </w:pPr>
            <w:r>
              <w:t xml:space="preserve">9</w:t>
            </w:r>
          </w:p>
        </w:tc>
        <w:tc>
          <w:tcPr/>
          <w:p>
            <w:pPr>
              <w:pStyle w:val="Compact"/>
            </w:pPr>
            <w:r>
              <w:rPr>
                <w:rFonts w:hint="eastAsia"/>
              </w:rPr>
              <w:t xml:space="preserve">沪电股份</w:t>
            </w:r>
          </w:p>
        </w:tc>
        <w:tc>
          <w:tcPr/>
          <w:p>
            <w:pPr>
              <w:pStyle w:val="Compact"/>
              <w:jc w:val="right"/>
            </w:pPr>
            <w:r>
              <w:t xml:space="preserve">002463</w:t>
            </w:r>
          </w:p>
        </w:tc>
        <w:tc>
          <w:tcPr/>
          <w:p>
            <w:pPr>
              <w:pStyle w:val="Compact"/>
              <w:jc w:val="right"/>
            </w:pPr>
            <w:r>
              <w:rPr>
                <w:rFonts w:hint="eastAsia"/>
              </w:rPr>
              <w:t xml:space="preserve">+6.04亿</w:t>
            </w:r>
          </w:p>
        </w:tc>
      </w:tr>
      <w:tr>
        <w:tc>
          <w:tcPr/>
          <w:p>
            <w:pPr>
              <w:pStyle w:val="Compact"/>
              <w:jc w:val="right"/>
            </w:pPr>
            <w:r>
              <w:t xml:space="preserve">10</w:t>
            </w:r>
          </w:p>
        </w:tc>
        <w:tc>
          <w:tcPr/>
          <w:p>
            <w:pPr>
              <w:pStyle w:val="Compact"/>
            </w:pPr>
            <w:r>
              <w:rPr>
                <w:rFonts w:hint="eastAsia"/>
              </w:rPr>
              <w:t xml:space="preserve">恒瑞医药</w:t>
            </w:r>
          </w:p>
        </w:tc>
        <w:tc>
          <w:tcPr/>
          <w:p>
            <w:pPr>
              <w:pStyle w:val="Compact"/>
              <w:jc w:val="right"/>
            </w:pPr>
            <w:r>
              <w:t xml:space="preserve">600276</w:t>
            </w:r>
          </w:p>
        </w:tc>
        <w:tc>
          <w:tcPr/>
          <w:p>
            <w:pPr>
              <w:pStyle w:val="Compact"/>
              <w:jc w:val="right"/>
            </w:pPr>
            <w:r>
              <w:rPr>
                <w:rFonts w:hint="eastAsia"/>
              </w:rPr>
              <w:t xml:space="preserve">+5.44亿</w:t>
            </w:r>
          </w:p>
        </w:tc>
      </w:tr>
    </w:tbl>
    <w:bookmarkEnd w:id="30"/>
    <w:bookmarkEnd w:id="31"/>
    <w:bookmarkStart w:id="36" w:name="两融宽基etf成交额恐慌联合信号"/>
    <w:p>
      <w:pPr>
        <w:pStyle w:val="Heading2"/>
      </w:pPr>
      <w:r>
        <w:t xml:space="preserve">💧 </w:t>
      </w:r>
      <w:r>
        <w:rPr>
          <w:rFonts w:hint="eastAsia"/>
        </w:rPr>
        <w:t xml:space="preserve">两融·宽基ETF·成交额·恐慌联合信号</w:t>
      </w:r>
    </w:p>
    <w:bookmarkStart w:id="32" w:name="两融余额"/>
    <w:p>
      <w:pPr>
        <w:pStyle w:val="Heading3"/>
      </w:pPr>
      <w:r>
        <w:t xml:space="preserve">💳 </w:t>
      </w:r>
      <w:r>
        <w:rPr>
          <w:rFonts w:hint="eastAsia"/>
        </w:rPr>
        <w:t xml:space="preserve">两融余额</w:t>
      </w:r>
    </w:p>
    <w:p>
      <w:pPr>
        <w:pStyle w:val="FirstParagraph"/>
      </w:pPr>
      <w:r>
        <w:rPr>
          <w:rFonts w:hint="eastAsia"/>
        </w:rPr>
        <w:t xml:space="preserve">单位：亿元。</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实际结算日</w:t>
            </w:r>
          </w:p>
        </w:tc>
        <w:tc>
          <w:tcPr/>
          <w:p>
            <w:pPr>
              <w:pStyle w:val="Compact"/>
              <w:jc w:val="right"/>
            </w:pPr>
            <w:r>
              <w:rPr>
                <w:rFonts w:hint="eastAsia"/>
              </w:rPr>
              <w:t xml:space="preserve">两融余额</w:t>
            </w:r>
          </w:p>
        </w:tc>
        <w:tc>
          <w:tcPr/>
          <w:p>
            <w:pPr>
              <w:pStyle w:val="Compact"/>
              <w:jc w:val="right"/>
            </w:pPr>
            <w:r>
              <w:rPr>
                <w:rFonts w:hint="eastAsia"/>
              </w:rPr>
              <w:t xml:space="preserve">融资余额</w:t>
            </w:r>
          </w:p>
        </w:tc>
        <w:tc>
          <w:tcPr/>
          <w:p>
            <w:pPr>
              <w:pStyle w:val="Compact"/>
              <w:jc w:val="right"/>
            </w:pPr>
            <w:r>
              <w:rPr>
                <w:rFonts w:hint="eastAsia"/>
              </w:rPr>
              <w:t xml:space="preserve">融券余额</w:t>
            </w:r>
          </w:p>
        </w:tc>
      </w:tr>
      <w:tr>
        <w:tc>
          <w:tcPr/>
          <w:p>
            <w:pPr>
              <w:pStyle w:val="Compact"/>
            </w:pPr>
            <w:r>
              <w:t xml:space="preserve">2026-10-26</w:t>
            </w:r>
          </w:p>
        </w:tc>
        <w:tc>
          <w:tcPr/>
          <w:p>
            <w:pPr>
              <w:pStyle w:val="Compact"/>
              <w:jc w:val="right"/>
            </w:pPr>
            <w:r>
              <w:t xml:space="preserve">24261.79</w:t>
            </w:r>
          </w:p>
        </w:tc>
        <w:tc>
          <w:tcPr/>
          <w:p>
            <w:pPr>
              <w:pStyle w:val="Compact"/>
              <w:jc w:val="right"/>
            </w:pPr>
            <w:r>
              <w:t xml:space="preserve">23970.69</w:t>
            </w:r>
          </w:p>
        </w:tc>
        <w:tc>
          <w:tcPr/>
          <w:p>
            <w:pPr>
              <w:pStyle w:val="Compact"/>
              <w:jc w:val="right"/>
            </w:pPr>
            <w:r>
              <w:t xml:space="preserve">291.10</w:t>
            </w:r>
          </w:p>
        </w:tc>
      </w:tr>
      <w:tr>
        <w:tc>
          <w:tcPr/>
          <w:p>
            <w:pPr>
              <w:pStyle w:val="Compact"/>
            </w:pPr>
            <w:r>
              <w:t xml:space="preserve">2026-10-27</w:t>
            </w:r>
          </w:p>
        </w:tc>
        <w:tc>
          <w:tcPr/>
          <w:p>
            <w:pPr>
              <w:pStyle w:val="Compact"/>
              <w:jc w:val="right"/>
            </w:pPr>
            <w:r>
              <w:t xml:space="preserve">24097.54</w:t>
            </w:r>
          </w:p>
        </w:tc>
        <w:tc>
          <w:tcPr/>
          <w:p>
            <w:pPr>
              <w:pStyle w:val="Compact"/>
              <w:jc w:val="right"/>
            </w:pPr>
            <w:r>
              <w:t xml:space="preserve">23809.87</w:t>
            </w:r>
          </w:p>
        </w:tc>
        <w:tc>
          <w:tcPr/>
          <w:p>
            <w:pPr>
              <w:pStyle w:val="Compact"/>
              <w:jc w:val="right"/>
            </w:pPr>
            <w:r>
              <w:t xml:space="preserve">287.67</w:t>
            </w:r>
          </w:p>
        </w:tc>
      </w:tr>
      <w:tr>
        <w:tc>
          <w:tcPr/>
          <w:p>
            <w:pPr>
              <w:pStyle w:val="Compact"/>
            </w:pPr>
            <w:r>
              <w:rPr>
                <w:rFonts w:hint="eastAsia"/>
              </w:rPr>
              <w:t xml:space="preserve">变化</w:t>
            </w:r>
          </w:p>
        </w:tc>
        <w:tc>
          <w:tcPr/>
          <w:p>
            <w:pPr>
              <w:pStyle w:val="Compact"/>
              <w:jc w:val="right"/>
            </w:pPr>
            <w:r>
              <w:t xml:space="preserve">-164.25</w:t>
            </w:r>
          </w:p>
        </w:tc>
        <w:tc>
          <w:tcPr/>
          <w:p>
            <w:pPr>
              <w:pStyle w:val="Compact"/>
              <w:jc w:val="right"/>
            </w:pPr>
            <w:r>
              <w:t xml:space="preserve">-160.82</w:t>
            </w:r>
          </w:p>
        </w:tc>
        <w:tc>
          <w:tcPr/>
          <w:p>
            <w:pPr>
              <w:pStyle w:val="Compact"/>
              <w:jc w:val="right"/>
            </w:pPr>
            <w:r>
              <w:t xml:space="preserve">-3.43</w:t>
            </w:r>
          </w:p>
        </w:tc>
      </w:tr>
    </w:tbl>
    <w:p>
      <w:pPr>
        <w:pStyle w:val="Compact"/>
        <w:numPr>
          <w:ilvl w:val="0"/>
          <w:numId w:val="1015"/>
        </w:numPr>
      </w:pPr>
      <w:r>
        <w:rPr>
          <w:rFonts w:hint="eastAsia"/>
          <w:b/>
          <w:bCs/>
        </w:rPr>
        <w:t xml:space="preserve">T+1滞后，报告日当日两融尚未发布</w:t>
      </w:r>
      <w:r>
        <w:t xml:space="preserve">。</w:t>
      </w:r>
    </w:p>
    <w:p>
      <w:pPr>
        <w:pStyle w:val="Compact"/>
        <w:numPr>
          <w:ilvl w:val="0"/>
          <w:numId w:val="1015"/>
        </w:numPr>
      </w:pPr>
      <w:r>
        <w:rPr>
          <w:rFonts w:hint="eastAsia"/>
        </w:rPr>
        <w:t xml:space="preserve">两融余额由24261.79亿元降至24097.54亿元，下降164.25亿元。</w:t>
      </w:r>
    </w:p>
    <w:p>
      <w:pPr>
        <w:pStyle w:val="Compact"/>
        <w:numPr>
          <w:ilvl w:val="0"/>
          <w:numId w:val="1015"/>
        </w:numPr>
      </w:pPr>
      <w:r>
        <w:rPr>
          <w:rFonts w:hint="eastAsia"/>
        </w:rPr>
        <w:t xml:space="preserve">融资余额下降160.82亿元，融券余额下降3.43亿元，本轮两融收缩主要由融资余额下降驱动。</w:t>
      </w:r>
    </w:p>
    <w:p>
      <w:pPr>
        <w:pStyle w:val="Compact"/>
        <w:numPr>
          <w:ilvl w:val="0"/>
          <w:numId w:val="1015"/>
        </w:numPr>
      </w:pPr>
      <w:r>
        <w:rPr>
          <w:rFonts w:hint="eastAsia"/>
        </w:rPr>
        <w:t xml:space="preserve">杠杆资金风险偏好仍在收缩，与10月28日现货市场放量上涨并不完全同步，今日不宜仅根据昨日指数反弹提升杠杆。</w:t>
      </w:r>
    </w:p>
    <w:bookmarkEnd w:id="32"/>
    <w:bookmarkStart w:id="33" w:name="宽基etf份额与估算净申购"/>
    <w:p>
      <w:pPr>
        <w:pStyle w:val="Heading3"/>
      </w:pPr>
      <w:r>
        <w:t xml:space="preserve">🧺 </w:t>
      </w:r>
      <w:r>
        <w:rPr>
          <w:rFonts w:hint="eastAsia"/>
        </w:rPr>
        <w:t xml:space="preserve">宽基ETF份额与估算净申购</w:t>
      </w:r>
    </w:p>
    <w:tbl>
      <w:tblPr>
        <w:tblStyle w:val="Table"/>
        <w:tblW w:type="pct" w:w="5000"/>
        <w:tblLayout w:type="fixed"/>
        <w:tblLook w:firstRow="1" w:lastRow="0" w:firstColumn="0" w:lastColumn="0" w:noHBand="0" w:noVBand="0" w:val="0020"/>
      </w:tblPr>
      <w:tblGrid>
        <w:gridCol w:w="1320"/>
        <w:gridCol w:w="1760"/>
        <w:gridCol w:w="1760"/>
        <w:gridCol w:w="1760"/>
        <w:gridCol w:w="1320"/>
      </w:tblGrid>
      <w:tr>
        <w:trPr>
          <w:tblHeader w:val="on"/>
        </w:trPr>
        <w:tc>
          <w:tcPr/>
          <w:p>
            <w:pPr>
              <w:pStyle w:val="Compact"/>
            </w:pPr>
            <w:r>
              <w:t xml:space="preserve">ETF</w:t>
            </w:r>
          </w:p>
        </w:tc>
        <w:tc>
          <w:tcPr/>
          <w:p>
            <w:pPr>
              <w:pStyle w:val="Compact"/>
              <w:jc w:val="right"/>
            </w:pPr>
            <w:r>
              <w:rPr>
                <w:rFonts w:hint="eastAsia"/>
              </w:rPr>
              <w:t xml:space="preserve">最新份额</w:t>
            </w:r>
          </w:p>
        </w:tc>
        <w:tc>
          <w:tcPr/>
          <w:p>
            <w:pPr>
              <w:pStyle w:val="Compact"/>
              <w:jc w:val="right"/>
            </w:pPr>
            <w:r>
              <w:rPr>
                <w:rFonts w:hint="eastAsia"/>
              </w:rPr>
              <w:t xml:space="preserve">最新份额变化</w:t>
            </w:r>
          </w:p>
        </w:tc>
        <w:tc>
          <w:tcPr/>
          <w:p>
            <w:pPr>
              <w:pStyle w:val="Compact"/>
              <w:jc w:val="right"/>
            </w:pPr>
            <w:r>
              <w:rPr>
                <w:rFonts w:hint="eastAsia"/>
              </w:rPr>
              <w:t xml:space="preserve">估算净申购</w:t>
            </w:r>
          </w:p>
        </w:tc>
        <w:tc>
          <w:tcPr/>
          <w:p>
            <w:pPr>
              <w:pStyle w:val="Compact"/>
            </w:pPr>
            <w:r>
              <w:rPr>
                <w:rFonts w:hint="eastAsia"/>
              </w:rPr>
              <w:t xml:space="preserve">连续流入</w:t>
            </w:r>
          </w:p>
        </w:tc>
      </w:tr>
      <w:tr>
        <w:tc>
          <w:tcPr/>
          <w:p>
            <w:pPr>
              <w:pStyle w:val="Compact"/>
            </w:pPr>
            <w:r>
              <w:rPr>
                <w:rFonts w:hint="eastAsia"/>
              </w:rPr>
              <w:t xml:space="preserve">沪深300ETF</w:t>
            </w:r>
            <w:r>
              <w:t xml:space="preserve"> 510300</w:t>
            </w:r>
          </w:p>
        </w:tc>
        <w:tc>
          <w:tcPr/>
          <w:p>
            <w:pPr>
              <w:pStyle w:val="Compact"/>
              <w:jc w:val="right"/>
            </w:pPr>
            <w:r>
              <w:rPr>
                <w:rFonts w:hint="eastAsia"/>
              </w:rPr>
              <w:t xml:space="preserve">363.775877亿份</w:t>
            </w:r>
          </w:p>
        </w:tc>
        <w:tc>
          <w:tcPr/>
          <w:p>
            <w:pPr>
              <w:pStyle w:val="Compact"/>
              <w:jc w:val="right"/>
            </w:pPr>
            <w:r>
              <w:rPr>
                <w:rFonts w:hint="eastAsia"/>
              </w:rPr>
              <w:t xml:space="preserve">+1.395亿份</w:t>
            </w:r>
          </w:p>
        </w:tc>
        <w:tc>
          <w:tcPr/>
          <w:p>
            <w:pPr>
              <w:pStyle w:val="Compact"/>
              <w:jc w:val="right"/>
            </w:pPr>
            <w:r>
              <w:rPr>
                <w:rFonts w:hint="eastAsia"/>
              </w:rPr>
              <w:t xml:space="preserve">+5.79204亿元</w:t>
            </w:r>
          </w:p>
        </w:tc>
        <w:tc>
          <w:tcPr/>
          <w:p>
            <w:pPr>
              <w:pStyle w:val="Compact"/>
            </w:pPr>
            <w:r>
              <w:rPr>
                <w:rFonts w:hint="eastAsia"/>
              </w:rPr>
              <w:t xml:space="preserve">连续3个区间</w:t>
            </w:r>
          </w:p>
        </w:tc>
      </w:tr>
      <w:tr>
        <w:tc>
          <w:tcPr/>
          <w:p>
            <w:pPr>
              <w:pStyle w:val="Compact"/>
            </w:pPr>
            <w:r>
              <w:rPr>
                <w:rFonts w:hint="eastAsia"/>
              </w:rPr>
              <w:t xml:space="preserve">中证500ETF</w:t>
            </w:r>
            <w:r>
              <w:t xml:space="preserve"> 510500</w:t>
            </w:r>
          </w:p>
        </w:tc>
        <w:tc>
          <w:tcPr/>
          <w:p>
            <w:pPr>
              <w:pStyle w:val="Compact"/>
              <w:jc w:val="right"/>
            </w:pPr>
            <w:r>
              <w:rPr>
                <w:rFonts w:hint="eastAsia"/>
              </w:rPr>
              <w:t xml:space="preserve">70.889686亿份</w:t>
            </w:r>
          </w:p>
        </w:tc>
        <w:tc>
          <w:tcPr/>
          <w:p>
            <w:pPr>
              <w:pStyle w:val="Compact"/>
              <w:jc w:val="right"/>
            </w:pPr>
            <w:r>
              <w:rPr>
                <w:rFonts w:hint="eastAsia"/>
              </w:rPr>
              <w:t xml:space="preserve">+0.66亿份</w:t>
            </w:r>
          </w:p>
        </w:tc>
        <w:tc>
          <w:tcPr/>
          <w:p>
            <w:pPr>
              <w:pStyle w:val="Compact"/>
              <w:jc w:val="right"/>
            </w:pPr>
            <w:r>
              <w:rPr>
                <w:rFonts w:hint="eastAsia"/>
              </w:rPr>
              <w:t xml:space="preserve">+4.40352亿元</w:t>
            </w:r>
          </w:p>
        </w:tc>
        <w:tc>
          <w:tcPr/>
          <w:p>
            <w:pPr>
              <w:pStyle w:val="Compact"/>
            </w:pPr>
            <w:r>
              <w:rPr>
                <w:rFonts w:hint="eastAsia"/>
              </w:rPr>
              <w:t xml:space="preserve">单个区间流入</w:t>
            </w:r>
          </w:p>
        </w:tc>
      </w:tr>
      <w:tr>
        <w:tc>
          <w:tcPr/>
          <w:p>
            <w:pPr>
              <w:pStyle w:val="Compact"/>
            </w:pPr>
            <w:r>
              <w:rPr>
                <w:rFonts w:hint="eastAsia"/>
              </w:rPr>
              <w:t xml:space="preserve">科创50ETF</w:t>
            </w:r>
            <w:r>
              <w:t xml:space="preserve"> 588000</w:t>
            </w:r>
          </w:p>
        </w:tc>
        <w:tc>
          <w:tcPr/>
          <w:p>
            <w:pPr>
              <w:pStyle w:val="Compact"/>
              <w:jc w:val="right"/>
            </w:pPr>
            <w:r>
              <w:rPr>
                <w:rFonts w:hint="eastAsia"/>
              </w:rPr>
              <w:t xml:space="preserve">851.366682亿份</w:t>
            </w:r>
          </w:p>
        </w:tc>
        <w:tc>
          <w:tcPr/>
          <w:p>
            <w:pPr>
              <w:pStyle w:val="Compact"/>
              <w:jc w:val="right"/>
            </w:pPr>
            <w:r>
              <w:rPr>
                <w:rFonts w:hint="eastAsia"/>
              </w:rPr>
              <w:t xml:space="preserve">-6.42亿份</w:t>
            </w:r>
          </w:p>
        </w:tc>
        <w:tc>
          <w:tcPr/>
          <w:p>
            <w:pPr>
              <w:pStyle w:val="Compact"/>
              <w:jc w:val="right"/>
            </w:pPr>
            <w:r>
              <w:rPr>
                <w:rFonts w:hint="eastAsia"/>
              </w:rPr>
              <w:t xml:space="preserve">-8.69268亿元</w:t>
            </w:r>
          </w:p>
        </w:tc>
        <w:tc>
          <w:tcPr/>
          <w:p>
            <w:pPr>
              <w:pStyle w:val="Compact"/>
            </w:pPr>
            <w:r>
              <w:rPr>
                <w:rFonts w:hint="eastAsia"/>
              </w:rPr>
              <w:t xml:space="preserve">否</w:t>
            </w:r>
          </w:p>
        </w:tc>
      </w:tr>
      <w:tr>
        <w:tc>
          <w:tcPr/>
          <w:p>
            <w:pPr>
              <w:pStyle w:val="Compact"/>
            </w:pPr>
            <w:r>
              <w:rPr>
                <w:rFonts w:hint="eastAsia"/>
              </w:rPr>
              <w:t xml:space="preserve">创业板ETF</w:t>
            </w:r>
            <w:r>
              <w:t xml:space="preserve"> 159915</w:t>
            </w:r>
          </w:p>
        </w:tc>
        <w:tc>
          <w:tcPr/>
          <w:p>
            <w:pPr>
              <w:pStyle w:val="Compact"/>
              <w:jc w:val="right"/>
            </w:pPr>
            <w:r>
              <w:rPr>
                <w:rFonts w:hint="eastAsia"/>
              </w:rPr>
              <w:t xml:space="preserve">349.03454936亿份</w:t>
            </w:r>
          </w:p>
        </w:tc>
        <w:tc>
          <w:tcPr/>
          <w:p>
            <w:pPr>
              <w:pStyle w:val="Compact"/>
              <w:jc w:val="right"/>
            </w:pPr>
            <w:r>
              <w:rPr>
                <w:rFonts w:hint="eastAsia"/>
              </w:rPr>
              <w:t xml:space="preserve">-2.41亿份</w:t>
            </w:r>
          </w:p>
        </w:tc>
        <w:tc>
          <w:tcPr/>
          <w:p>
            <w:pPr>
              <w:pStyle w:val="Compact"/>
              <w:jc w:val="right"/>
            </w:pPr>
            <w:r>
              <w:rPr>
                <w:rFonts w:hint="eastAsia"/>
              </w:rPr>
              <w:t xml:space="preserve">-6.38409亿元</w:t>
            </w:r>
          </w:p>
        </w:tc>
        <w:tc>
          <w:tcPr/>
          <w:p>
            <w:pPr>
              <w:pStyle w:val="Compact"/>
            </w:pPr>
            <w:r>
              <w:rPr>
                <w:rFonts w:hint="eastAsia"/>
              </w:rPr>
              <w:t xml:space="preserve">否</w:t>
            </w:r>
          </w:p>
        </w:tc>
      </w:tr>
      <w:tr>
        <w:tc>
          <w:tcPr/>
          <w:p>
            <w:pPr>
              <w:pStyle w:val="Compact"/>
            </w:pPr>
            <w:r>
              <w:rPr>
                <w:rFonts w:hint="eastAsia"/>
              </w:rPr>
              <w:t xml:space="preserve">创业板50ETF</w:t>
            </w:r>
            <w:r>
              <w:t xml:space="preserve"> 159949</w:t>
            </w:r>
          </w:p>
        </w:tc>
        <w:tc>
          <w:tcPr/>
          <w:p>
            <w:pPr>
              <w:pStyle w:val="Compact"/>
              <w:jc w:val="right"/>
            </w:pPr>
            <w:r>
              <w:rPr>
                <w:rFonts w:hint="eastAsia"/>
              </w:rPr>
              <w:t xml:space="preserve">219.22785113亿份</w:t>
            </w:r>
          </w:p>
        </w:tc>
        <w:tc>
          <w:tcPr/>
          <w:p>
            <w:pPr>
              <w:pStyle w:val="Compact"/>
              <w:jc w:val="right"/>
            </w:pPr>
            <w:r>
              <w:rPr>
                <w:rFonts w:hint="eastAsia"/>
              </w:rPr>
              <w:t xml:space="preserve">+5.14亿份</w:t>
            </w:r>
          </w:p>
        </w:tc>
        <w:tc>
          <w:tcPr/>
          <w:p>
            <w:pPr>
              <w:pStyle w:val="Compact"/>
              <w:jc w:val="right"/>
            </w:pPr>
            <w:r>
              <w:rPr>
                <w:rFonts w:hint="eastAsia"/>
              </w:rPr>
              <w:t xml:space="preserve">+6.19884亿元</w:t>
            </w:r>
          </w:p>
        </w:tc>
        <w:tc>
          <w:tcPr/>
          <w:p>
            <w:pPr>
              <w:pStyle w:val="Compact"/>
            </w:pPr>
            <w:r>
              <w:rPr>
                <w:rFonts w:hint="eastAsia"/>
              </w:rPr>
              <w:t xml:space="preserve">连续3个区间</w:t>
            </w:r>
          </w:p>
        </w:tc>
      </w:tr>
    </w:tbl>
    <w:p>
      <w:pPr>
        <w:pStyle w:val="Compact"/>
        <w:numPr>
          <w:ilvl w:val="0"/>
          <w:numId w:val="1016"/>
        </w:numPr>
      </w:pPr>
      <w:r>
        <w:rPr>
          <w:rFonts w:hint="eastAsia"/>
        </w:rPr>
        <w:t xml:space="preserve">沪深300ETF与创业板50ETF均连续3个区间份额增加，且最新估算净申购均超过5亿元。</w:t>
      </w:r>
    </w:p>
    <w:p>
      <w:pPr>
        <w:pStyle w:val="Compact"/>
        <w:numPr>
          <w:ilvl w:val="0"/>
          <w:numId w:val="1016"/>
        </w:numPr>
      </w:pPr>
      <w:r>
        <w:rPr>
          <w:rFonts w:hint="eastAsia"/>
        </w:rPr>
        <w:t xml:space="preserve">科创50ETF与创业板ETF在10月28日出现份额下降，说明成长资金并非全面持续申购，内部存在产品分化。</w:t>
      </w:r>
    </w:p>
    <w:p>
      <w:pPr>
        <w:pStyle w:val="Compact"/>
        <w:numPr>
          <w:ilvl w:val="0"/>
          <w:numId w:val="1016"/>
        </w:numPr>
      </w:pPr>
      <w:r>
        <w:rPr>
          <w:rFonts w:hint="eastAsia"/>
        </w:rPr>
        <w:t xml:space="preserve">净申购金额采用“官方ETF份额日差×收盘价”估算，属于份额法结果，不等同于交易所公布的现金流量。</w:t>
      </w:r>
    </w:p>
    <w:bookmarkEnd w:id="33"/>
    <w:bookmarkStart w:id="34" w:name="成交额与恐慌代理"/>
    <w:p>
      <w:pPr>
        <w:pStyle w:val="Heading3"/>
      </w:pPr>
      <w:r>
        <w:t xml:space="preserve">💹 </w:t>
      </w:r>
      <w:r>
        <w:rPr>
          <w:rFonts w:hint="eastAsia"/>
        </w:rPr>
        <w:t xml:space="preserve">成交额与恐慌代理</w:t>
      </w:r>
    </w:p>
    <w:p>
      <w:pPr>
        <w:pStyle w:val="Compact"/>
        <w:numPr>
          <w:ilvl w:val="0"/>
          <w:numId w:val="1017"/>
        </w:numPr>
      </w:pPr>
      <w:r>
        <w:rPr>
          <w:rFonts w:hint="eastAsia"/>
        </w:rPr>
        <w:t xml:space="preserve">10月28日全市场成交额16420.93亿元，较前一交易日增加1692.12亿元，增幅11.49%。</w:t>
      </w:r>
    </w:p>
    <w:p>
      <w:pPr>
        <w:pStyle w:val="Compact"/>
        <w:numPr>
          <w:ilvl w:val="0"/>
          <w:numId w:val="1017"/>
        </w:numPr>
      </w:pPr>
      <w:r>
        <w:t xml:space="preserve">300ETF </w:t>
      </w:r>
      <w:r>
        <w:rPr>
          <w:rFonts w:hint="eastAsia"/>
        </w:rPr>
        <w:t xml:space="preserve">QVIX最新结算值19.51，前收盘20.28，下降0.77，降幅3.7968%。</w:t>
      </w:r>
    </w:p>
    <w:p>
      <w:pPr>
        <w:pStyle w:val="Compact"/>
        <w:numPr>
          <w:ilvl w:val="0"/>
          <w:numId w:val="1017"/>
        </w:numPr>
      </w:pPr>
      <w:r>
        <w:rPr>
          <w:rFonts w:hint="eastAsia"/>
        </w:rPr>
        <w:t xml:space="preserve">20日峰值为10月15日的22.10，最新值较峰值回落11.7195%。</w:t>
      </w:r>
    </w:p>
    <w:p>
      <w:pPr>
        <w:pStyle w:val="Compact"/>
        <w:numPr>
          <w:ilvl w:val="0"/>
          <w:numId w:val="1017"/>
        </w:numPr>
      </w:pPr>
      <w:r>
        <w:rPr>
          <w:rFonts w:hint="eastAsia"/>
        </w:rPr>
        <w:t xml:space="preserve">QVIX满足较20日峰值回落至少10%且较前收盘下降的降温条件。</w:t>
      </w:r>
    </w:p>
    <w:bookmarkEnd w:id="34"/>
    <w:bookmarkStart w:id="35" w:name="联合信号结论"/>
    <w:p>
      <w:pPr>
        <w:pStyle w:val="Heading3"/>
      </w:pPr>
      <w:r>
        <w:t xml:space="preserve">✅ </w:t>
      </w:r>
      <w:r>
        <w:rPr>
          <w:rFonts w:hint="eastAsia"/>
        </w:rPr>
        <w:t xml:space="preserve">联合信号结论</w:t>
      </w:r>
    </w:p>
    <w:p>
      <w:pPr>
        <w:pStyle w:val="Compact"/>
        <w:numPr>
          <w:ilvl w:val="0"/>
          <w:numId w:val="1018"/>
        </w:numPr>
      </w:pPr>
      <w:r>
        <w:rPr>
          <w:rStyle w:val="VerbatimChar"/>
        </w:rPr>
        <w:t xml:space="preserve">derived.liquidity_panic_signal.status</w:t>
      </w:r>
      <w:r>
        <w:rPr>
          <w:rFonts w:hint="eastAsia"/>
        </w:rPr>
        <w:t xml:space="preserve">为</w:t>
      </w:r>
      <w:r>
        <w:rPr>
          <w:rStyle w:val="VerbatimChar"/>
        </w:rPr>
        <w:t xml:space="preserve">confirmed</w:t>
      </w:r>
      <w:r>
        <w:t xml:space="preserve">。</w:t>
      </w:r>
    </w:p>
    <w:p>
      <w:pPr>
        <w:pStyle w:val="Compact"/>
        <w:numPr>
          <w:ilvl w:val="0"/>
          <w:numId w:val="1018"/>
        </w:numPr>
      </w:pPr>
      <w:r>
        <w:rPr>
          <w:rFonts w:hint="eastAsia"/>
          <w:b/>
          <w:bCs/>
        </w:rPr>
        <w:t xml:space="preserve">恐慌高位降温且宽基ETF持续流入已确认</w:t>
      </w:r>
      <w:r>
        <w:t xml:space="preserve">。</w:t>
      </w:r>
    </w:p>
    <w:p>
      <w:pPr>
        <w:pStyle w:val="Compact"/>
        <w:numPr>
          <w:ilvl w:val="0"/>
          <w:numId w:val="1018"/>
        </w:numPr>
      </w:pPr>
      <w:r>
        <w:rPr>
          <w:rFonts w:hint="eastAsia"/>
        </w:rPr>
        <w:t xml:space="preserve">该信号支持市场风险偏好修复，但两融余额继续下降、科创50ETF与创业板ETF份额回落，因此只能支持中等仓位，不能据此追涨或满仓。</w:t>
      </w:r>
    </w:p>
    <w:bookmarkEnd w:id="35"/>
    <w:bookmarkEnd w:id="36"/>
    <w:bookmarkStart w:id="37" w:name="行为金融信号"/>
    <w:p>
      <w:pPr>
        <w:pStyle w:val="Heading2"/>
      </w:pPr>
      <w:r>
        <w:t xml:space="preserve">🧠 </w:t>
      </w:r>
      <w:r>
        <w:rPr>
          <w:rFonts w:hint="eastAsia"/>
        </w:rPr>
        <w:t xml:space="preserve">行为金融信号</w:t>
      </w:r>
    </w:p>
    <w:p>
      <w:pPr>
        <w:pStyle w:val="Compact"/>
        <w:numPr>
          <w:ilvl w:val="0"/>
          <w:numId w:val="1019"/>
        </w:numPr>
      </w:pPr>
      <w:r>
        <w:rPr>
          <w:rFonts w:hint="eastAsia"/>
          <w:b/>
          <w:bCs/>
        </w:rPr>
        <w:t xml:space="preserve">估值与换手拥挤：中等。</w:t>
      </w:r>
      <w:r>
        <w:rPr>
          <w:rFonts w:hint="eastAsia"/>
        </w:rPr>
        <w:t xml:space="preserve">重点股样本中PE不低于80倍的公司有3只，换手率不低于20%的公司为0只，行为金融风险分为2。</w:t>
      </w:r>
    </w:p>
    <w:p>
      <w:pPr>
        <w:pStyle w:val="Compact"/>
        <w:numPr>
          <w:ilvl w:val="0"/>
          <w:numId w:val="1019"/>
        </w:numPr>
      </w:pPr>
      <w:r>
        <w:rPr>
          <w:rFonts w:hint="eastAsia"/>
          <w:b/>
          <w:bCs/>
        </w:rPr>
        <w:t xml:space="preserve">FOMO追涨风险：需要防范。</w:t>
      </w:r>
      <w:r>
        <w:rPr>
          <w:rFonts w:hint="eastAsia"/>
        </w:rPr>
        <w:t xml:space="preserve">创业板指上涨3.3990%、半导体类上涨4.86%，叠加科技板块大额净流入，容易诱发开盘追高；但采集源未形成独立FOMO确认，不据此扩大仓位。</w:t>
      </w:r>
    </w:p>
    <w:p>
      <w:pPr>
        <w:pStyle w:val="Compact"/>
        <w:numPr>
          <w:ilvl w:val="0"/>
          <w:numId w:val="1019"/>
        </w:numPr>
      </w:pPr>
      <w:r>
        <w:rPr>
          <w:rFonts w:hint="eastAsia"/>
          <w:b/>
          <w:bCs/>
        </w:rPr>
        <w:t xml:space="preserve">亏损厌恶扩散：不作确认。</w:t>
      </w:r>
      <w:r>
        <w:rPr>
          <w:rFonts w:hint="eastAsia"/>
        </w:rPr>
        <w:t xml:space="preserve">采集JSON未提供可用的炸板率、昨日强势股次日表现和完整亏钱效应样本，原因是相关短线接口未形成有效数据；不估算、不纳入仓位判断。</w:t>
      </w:r>
    </w:p>
    <w:p>
      <w:pPr>
        <w:pStyle w:val="Compact"/>
        <w:numPr>
          <w:ilvl w:val="0"/>
          <w:numId w:val="1019"/>
        </w:numPr>
      </w:pPr>
      <w:r>
        <w:rPr>
          <w:rFonts w:hint="eastAsia"/>
          <w:b/>
          <w:bCs/>
        </w:rPr>
        <w:t xml:space="preserve">高位分歧：不作确认。</w:t>
      </w:r>
      <w:r>
        <w:rPr>
          <w:rFonts w:hint="eastAsia"/>
        </w:rPr>
        <w:t xml:space="preserve">连板高度、封板率及高位梯队数据未形成有效输入，无法判断高位接力强弱，不以短线接力逻辑制定今日策略。</w:t>
      </w:r>
    </w:p>
    <w:p>
      <w:pPr>
        <w:pStyle w:val="Compact"/>
        <w:numPr>
          <w:ilvl w:val="0"/>
          <w:numId w:val="1019"/>
        </w:numPr>
      </w:pPr>
      <w:r>
        <w:rPr>
          <w:rFonts w:hint="eastAsia"/>
        </w:rPr>
        <w:t xml:space="preserve">结论：维持原仓位模型，避免因昨日科技大涨而提高计划上限。</w:t>
      </w:r>
    </w:p>
    <w:bookmarkEnd w:id="37"/>
    <w:bookmarkStart w:id="38" w:name="市场风格预判"/>
    <w:p>
      <w:pPr>
        <w:pStyle w:val="Heading2"/>
      </w:pPr>
      <w:r>
        <w:t xml:space="preserve">🎨 </w:t>
      </w:r>
      <w:r>
        <w:rPr>
          <w:rFonts w:hint="eastAsia"/>
        </w:rPr>
        <w:t xml:space="preserve">市场风格预判</w:t>
      </w:r>
    </w:p>
    <w:p>
      <w:pPr>
        <w:pStyle w:val="Compact"/>
        <w:numPr>
          <w:ilvl w:val="0"/>
          <w:numId w:val="1020"/>
        </w:numPr>
      </w:pPr>
      <w:r>
        <w:rPr>
          <w:rFonts w:hint="eastAsia"/>
          <w:b/>
          <w:bCs/>
        </w:rPr>
        <w:t xml:space="preserve">成长对价值：偏成长。</w:t>
      </w:r>
      <w:r>
        <w:rPr>
          <w:rFonts w:hint="eastAsia"/>
        </w:rPr>
        <w:t xml:space="preserve">创业板指、科创50明显跑赢沪深300，通信设备、半导体、元件占据资金流入前三。</w:t>
      </w:r>
    </w:p>
    <w:p>
      <w:pPr>
        <w:pStyle w:val="Compact"/>
        <w:numPr>
          <w:ilvl w:val="0"/>
          <w:numId w:val="1020"/>
        </w:numPr>
      </w:pPr>
      <w:r>
        <w:rPr>
          <w:rFonts w:hint="eastAsia"/>
          <w:b/>
          <w:bCs/>
        </w:rPr>
        <w:t xml:space="preserve">进攻对防守：偏进攻。</w:t>
      </w:r>
      <w:r>
        <w:rPr>
          <w:rFonts w:hint="eastAsia"/>
        </w:rPr>
        <w:t xml:space="preserve">成交额增长11.49%，上涨家数明显高于下跌家数，资金集中于科技硬件和汽车零部件。</w:t>
      </w:r>
    </w:p>
    <w:p>
      <w:pPr>
        <w:pStyle w:val="Compact"/>
        <w:numPr>
          <w:ilvl w:val="0"/>
          <w:numId w:val="1020"/>
        </w:numPr>
      </w:pPr>
      <w:r>
        <w:rPr>
          <w:rFonts w:hint="eastAsia"/>
          <w:b/>
          <w:bCs/>
        </w:rPr>
        <w:t xml:space="preserve">大盘对中小盘：偏成长中小盘，但需宽基稳定。</w:t>
      </w:r>
      <w:r>
        <w:rPr>
          <w:rFonts w:hint="eastAsia"/>
        </w:rPr>
        <w:t xml:space="preserve">沪深300ETF连续申购提供底盘，成长方向承担弹性。</w:t>
      </w:r>
    </w:p>
    <w:p>
      <w:pPr>
        <w:pStyle w:val="Compact"/>
        <w:numPr>
          <w:ilvl w:val="0"/>
          <w:numId w:val="1020"/>
        </w:numPr>
      </w:pPr>
      <w:r>
        <w:rPr>
          <w:rFonts w:hint="eastAsia"/>
          <w:b/>
          <w:bCs/>
        </w:rPr>
        <w:t xml:space="preserve">高低切换：不作判断。</w:t>
      </w:r>
      <w:r>
        <w:rPr>
          <w:rFonts w:hint="eastAsia"/>
        </w:rPr>
        <w:t xml:space="preserve">采集源缺少可确认的高位梯队和断板结构，相关结论不估算。</w:t>
      </w:r>
    </w:p>
    <w:p>
      <w:pPr>
        <w:pStyle w:val="Compact"/>
        <w:numPr>
          <w:ilvl w:val="0"/>
          <w:numId w:val="1020"/>
        </w:numPr>
      </w:pPr>
      <w:r>
        <w:rPr>
          <w:rFonts w:hint="eastAsia"/>
          <w:b/>
          <w:bCs/>
        </w:rPr>
        <w:t xml:space="preserve">题材对机构：资金更偏产业趋势。</w:t>
      </w:r>
      <w:r>
        <w:rPr>
          <w:rFonts w:hint="eastAsia"/>
        </w:rPr>
        <w:t xml:space="preserve">通信设备、半导体、元件均有板块与大市值核心股资金流入，但本轮未采集龙虎榜逐席位数据，不能进一步确认机构席位性质。</w:t>
      </w:r>
    </w:p>
    <w:bookmarkEnd w:id="38"/>
    <w:bookmarkStart w:id="45" w:name="投资方向分层"/>
    <w:p>
      <w:pPr>
        <w:pStyle w:val="Heading2"/>
      </w:pPr>
      <w:r>
        <w:t xml:space="preserve">🧭 </w:t>
      </w:r>
      <w:r>
        <w:rPr>
          <w:rFonts w:hint="eastAsia"/>
        </w:rPr>
        <w:t xml:space="preserve">投资方向分层</w:t>
      </w:r>
    </w:p>
    <w:bookmarkStart w:id="39" w:name="可参与通信设备与光模块产业链"/>
    <w:p>
      <w:pPr>
        <w:pStyle w:val="Heading3"/>
      </w:pPr>
      <w:r>
        <w:t xml:space="preserve">✅ </w:t>
      </w:r>
      <w:r>
        <w:rPr>
          <w:rFonts w:hint="eastAsia"/>
        </w:rPr>
        <w:t xml:space="preserve">可参与：通信设备与光模块产业链</w:t>
      </w:r>
    </w:p>
    <w:p>
      <w:pPr>
        <w:pStyle w:val="Compact"/>
        <w:numPr>
          <w:ilvl w:val="0"/>
          <w:numId w:val="1021"/>
        </w:numPr>
      </w:pPr>
      <w:r>
        <w:rPr>
          <w:rFonts w:hint="eastAsia"/>
          <w:b/>
          <w:bCs/>
        </w:rPr>
        <w:t xml:space="preserve">证据链：</w:t>
      </w:r>
      <w:r>
        <w:rPr>
          <w:rFonts w:hint="eastAsia"/>
        </w:rPr>
        <w:t xml:space="preserve">通信设备主力净流入78.53亿元，位列板块第一；中际旭创、新易盛、工业富联、天孚通信分别净流入30.80亿、14.36亿、8.47亿、8.45亿。</w:t>
      </w:r>
    </w:p>
    <w:p>
      <w:pPr>
        <w:pStyle w:val="Compact"/>
        <w:numPr>
          <w:ilvl w:val="0"/>
          <w:numId w:val="1021"/>
        </w:numPr>
      </w:pPr>
      <w:r>
        <w:rPr>
          <w:rFonts w:hint="eastAsia"/>
          <w:b/>
          <w:bCs/>
        </w:rPr>
        <w:t xml:space="preserve">核心标的：</w:t>
      </w:r>
      <w:r>
        <w:rPr>
          <w:rFonts w:hint="eastAsia"/>
        </w:rPr>
        <w:t xml:space="preserve">中际旭创、新易盛、天孚通信、工业富联，仅作为资金强度锚。</w:t>
      </w:r>
    </w:p>
    <w:p>
      <w:pPr>
        <w:pStyle w:val="Compact"/>
        <w:numPr>
          <w:ilvl w:val="0"/>
          <w:numId w:val="1021"/>
        </w:numPr>
      </w:pPr>
      <w:r>
        <w:rPr>
          <w:rFonts w:hint="eastAsia"/>
          <w:b/>
          <w:bCs/>
        </w:rPr>
        <w:t xml:space="preserve">触发条件：</w:t>
      </w:r>
      <w:r>
        <w:rPr>
          <w:rFonts w:hint="eastAsia"/>
        </w:rPr>
        <w:t xml:space="preserve">板块开盘后未出现快速冲高回落，核心资金锚回踩前一交易日收盘价后重新转强，同时板块主力资金保持净流入。</w:t>
      </w:r>
    </w:p>
    <w:p>
      <w:pPr>
        <w:pStyle w:val="Compact"/>
        <w:numPr>
          <w:ilvl w:val="0"/>
          <w:numId w:val="1021"/>
        </w:numPr>
      </w:pPr>
      <w:r>
        <w:rPr>
          <w:rFonts w:hint="eastAsia"/>
          <w:b/>
          <w:bCs/>
        </w:rPr>
        <w:t xml:space="preserve">失效条件：</w:t>
      </w:r>
      <w:r>
        <w:rPr>
          <w:rFonts w:hint="eastAsia"/>
        </w:rPr>
        <w:t xml:space="preserve">通信设备资金由净流入转为持续净流出，或核心资金锚集体跌破前一交易日收盘价后无法收回。</w:t>
      </w:r>
    </w:p>
    <w:p>
      <w:pPr>
        <w:pStyle w:val="Compact"/>
        <w:numPr>
          <w:ilvl w:val="0"/>
          <w:numId w:val="1021"/>
        </w:numPr>
      </w:pPr>
      <w:r>
        <w:rPr>
          <w:rFonts w:hint="eastAsia"/>
          <w:b/>
          <w:bCs/>
        </w:rPr>
        <w:t xml:space="preserve">执行：</w:t>
      </w:r>
      <w:r>
        <w:rPr>
          <w:rFonts w:hint="eastAsia"/>
        </w:rPr>
        <w:t xml:space="preserve">只做回踩确认，不在一致性高开阶段追涨。</w:t>
      </w:r>
    </w:p>
    <w:bookmarkEnd w:id="39"/>
    <w:bookmarkStart w:id="40" w:name="可参与半导体存储与元件"/>
    <w:p>
      <w:pPr>
        <w:pStyle w:val="Heading3"/>
      </w:pPr>
      <w:r>
        <w:t xml:space="preserve">✅ </w:t>
      </w:r>
      <w:r>
        <w:rPr>
          <w:rFonts w:hint="eastAsia"/>
        </w:rPr>
        <w:t xml:space="preserve">可参与：半导体、存储与元件</w:t>
      </w:r>
    </w:p>
    <w:p>
      <w:pPr>
        <w:pStyle w:val="Compact"/>
        <w:numPr>
          <w:ilvl w:val="0"/>
          <w:numId w:val="1022"/>
        </w:numPr>
      </w:pPr>
      <w:r>
        <w:rPr>
          <w:rFonts w:hint="eastAsia"/>
          <w:b/>
          <w:bCs/>
        </w:rPr>
        <w:t xml:space="preserve">证据链：</w:t>
      </w:r>
      <w:r>
        <w:rPr>
          <w:rFonts w:hint="eastAsia"/>
        </w:rPr>
        <w:t xml:space="preserve">半导体净流入68.91亿元、元件净流入50.31亿元；兆易创新净流入17.46亿，金安国纪、方正科技、沪电股份分别净流入6.49亿、6.41亿、6.04亿。</w:t>
      </w:r>
    </w:p>
    <w:p>
      <w:pPr>
        <w:pStyle w:val="Compact"/>
        <w:numPr>
          <w:ilvl w:val="0"/>
          <w:numId w:val="1022"/>
        </w:numPr>
      </w:pPr>
      <w:r>
        <w:rPr>
          <w:rFonts w:hint="eastAsia"/>
          <w:b/>
          <w:bCs/>
        </w:rPr>
        <w:t xml:space="preserve">海外映射：</w:t>
      </w:r>
      <w:r>
        <w:rPr>
          <w:rFonts w:hint="eastAsia"/>
        </w:rPr>
        <w:t xml:space="preserve">美光上涨5.86%、AMD上涨3.24%、博通上涨2.77%，国内高端存储部件进口增长1.5倍。</w:t>
      </w:r>
    </w:p>
    <w:p>
      <w:pPr>
        <w:pStyle w:val="Compact"/>
        <w:numPr>
          <w:ilvl w:val="0"/>
          <w:numId w:val="1022"/>
        </w:numPr>
      </w:pPr>
      <w:r>
        <w:rPr>
          <w:rFonts w:hint="eastAsia"/>
          <w:b/>
          <w:bCs/>
        </w:rPr>
        <w:t xml:space="preserve">核心标的：</w:t>
      </w:r>
      <w:r>
        <w:rPr>
          <w:rFonts w:hint="eastAsia"/>
        </w:rPr>
        <w:t xml:space="preserve">半导体ETF</w:t>
      </w:r>
      <w:r>
        <w:t xml:space="preserve"> </w:t>
      </w:r>
      <w:r>
        <w:rPr>
          <w:rFonts w:hint="eastAsia"/>
        </w:rPr>
        <w:t xml:space="preserve">512480、芯片ETF</w:t>
      </w:r>
      <w:r>
        <w:t xml:space="preserve"> </w:t>
      </w:r>
      <w:r>
        <w:rPr>
          <w:rFonts w:hint="eastAsia"/>
        </w:rPr>
        <w:t xml:space="preserve">159995；个股以兆易创新、沪电股份作为资金观察锚。</w:t>
      </w:r>
    </w:p>
    <w:p>
      <w:pPr>
        <w:pStyle w:val="Compact"/>
        <w:numPr>
          <w:ilvl w:val="0"/>
          <w:numId w:val="1022"/>
        </w:numPr>
      </w:pPr>
      <w:r>
        <w:rPr>
          <w:rFonts w:hint="eastAsia"/>
          <w:b/>
          <w:bCs/>
        </w:rPr>
        <w:t xml:space="preserve">触发条件：</w:t>
      </w:r>
      <w:r>
        <w:rPr>
          <w:rFonts w:hint="eastAsia"/>
        </w:rPr>
        <w:t xml:space="preserve">半导体ETF能够守住10月28日收盘价0.797，芯片ETF能够守住0.868，且回踩后成交承接稳定。</w:t>
      </w:r>
    </w:p>
    <w:p>
      <w:pPr>
        <w:pStyle w:val="Compact"/>
        <w:numPr>
          <w:ilvl w:val="0"/>
          <w:numId w:val="1022"/>
        </w:numPr>
      </w:pPr>
      <w:r>
        <w:rPr>
          <w:rFonts w:hint="eastAsia"/>
          <w:b/>
          <w:bCs/>
        </w:rPr>
        <w:t xml:space="preserve">失效条件：</w:t>
      </w:r>
      <w:r>
        <w:rPr>
          <w:rFonts w:hint="eastAsia"/>
        </w:rPr>
        <w:t xml:space="preserve">两只ETF均跌破10月28日收盘价且无法收回，半导体与元件板块同步出现主力净流出。</w:t>
      </w:r>
    </w:p>
    <w:p>
      <w:pPr>
        <w:pStyle w:val="Compact"/>
        <w:numPr>
          <w:ilvl w:val="0"/>
          <w:numId w:val="1022"/>
        </w:numPr>
      </w:pPr>
      <w:r>
        <w:rPr>
          <w:rFonts w:hint="eastAsia"/>
          <w:b/>
          <w:bCs/>
        </w:rPr>
        <w:t xml:space="preserve">执行：</w:t>
      </w:r>
      <w:r>
        <w:rPr>
          <w:rFonts w:hint="eastAsia"/>
        </w:rPr>
        <w:t xml:space="preserve">优先ETF分批，不将隔夜美股上涨直接等同于A股个股买点。</w:t>
      </w:r>
    </w:p>
    <w:bookmarkEnd w:id="40"/>
    <w:bookmarkStart w:id="41" w:name="可参与沪深300etf与创业板50etf"/>
    <w:p>
      <w:pPr>
        <w:pStyle w:val="Heading3"/>
      </w:pPr>
      <w:r>
        <w:t xml:space="preserve">✅ </w:t>
      </w:r>
      <w:r>
        <w:rPr>
          <w:rFonts w:hint="eastAsia"/>
        </w:rPr>
        <w:t xml:space="preserve">可参与：沪深300ETF与创业板50ETF</w:t>
      </w:r>
    </w:p>
    <w:p>
      <w:pPr>
        <w:pStyle w:val="Compact"/>
        <w:numPr>
          <w:ilvl w:val="0"/>
          <w:numId w:val="1023"/>
        </w:numPr>
      </w:pPr>
      <w:r>
        <w:rPr>
          <w:rFonts w:hint="eastAsia"/>
          <w:b/>
          <w:bCs/>
        </w:rPr>
        <w:t xml:space="preserve">证据链：</w:t>
      </w:r>
      <w:r>
        <w:rPr>
          <w:rFonts w:hint="eastAsia"/>
        </w:rPr>
        <w:t xml:space="preserve">沪深300ETF、创业板50ETF均连续3个区间份额增加，最新估算净申购分别为5.79204亿元和6.19884亿元。</w:t>
      </w:r>
    </w:p>
    <w:p>
      <w:pPr>
        <w:pStyle w:val="Compact"/>
        <w:numPr>
          <w:ilvl w:val="0"/>
          <w:numId w:val="1023"/>
        </w:numPr>
      </w:pPr>
      <w:r>
        <w:rPr>
          <w:rFonts w:hint="eastAsia"/>
          <w:b/>
          <w:bCs/>
        </w:rPr>
        <w:t xml:space="preserve">核心标的：</w:t>
      </w:r>
      <w:r>
        <w:rPr>
          <w:rFonts w:hint="eastAsia"/>
        </w:rPr>
        <w:t xml:space="preserve">沪深300ETF</w:t>
      </w:r>
      <w:r>
        <w:t xml:space="preserve"> </w:t>
      </w:r>
      <w:r>
        <w:rPr>
          <w:rFonts w:hint="eastAsia"/>
        </w:rPr>
        <w:t xml:space="preserve">510300、创业板50ETF</w:t>
      </w:r>
      <w:r>
        <w:t xml:space="preserve"> 159949。</w:t>
      </w:r>
    </w:p>
    <w:p>
      <w:pPr>
        <w:pStyle w:val="Compact"/>
        <w:numPr>
          <w:ilvl w:val="0"/>
          <w:numId w:val="1023"/>
        </w:numPr>
      </w:pPr>
      <w:r>
        <w:rPr>
          <w:rFonts w:hint="eastAsia"/>
          <w:b/>
          <w:bCs/>
        </w:rPr>
        <w:t xml:space="preserve">触发条件：</w:t>
      </w:r>
      <w:r>
        <w:rPr>
          <w:rFonts w:hint="eastAsia"/>
        </w:rPr>
        <w:t xml:space="preserve">指数震荡时ETF份额连续流入逻辑未被破坏，且全市场成交额没有显著低于10月28日的16420.93亿元。</w:t>
      </w:r>
    </w:p>
    <w:p>
      <w:pPr>
        <w:pStyle w:val="Compact"/>
        <w:numPr>
          <w:ilvl w:val="0"/>
          <w:numId w:val="1023"/>
        </w:numPr>
      </w:pPr>
      <w:r>
        <w:rPr>
          <w:rFonts w:hint="eastAsia"/>
          <w:b/>
          <w:bCs/>
        </w:rPr>
        <w:t xml:space="preserve">失效条件：</w:t>
      </w:r>
      <w:r>
        <w:rPr>
          <w:rFonts w:hint="eastAsia"/>
        </w:rPr>
        <w:t xml:space="preserve">后续份额变化转负、QVIX重新快速上升，或全市场成交额明显收缩。</w:t>
      </w:r>
    </w:p>
    <w:p>
      <w:pPr>
        <w:pStyle w:val="Compact"/>
        <w:numPr>
          <w:ilvl w:val="0"/>
          <w:numId w:val="1023"/>
        </w:numPr>
      </w:pPr>
      <w:r>
        <w:rPr>
          <w:rFonts w:hint="eastAsia"/>
          <w:b/>
          <w:bCs/>
        </w:rPr>
        <w:t xml:space="preserve">执行：</w:t>
      </w:r>
      <w:r>
        <w:rPr>
          <w:rFonts w:hint="eastAsia"/>
        </w:rPr>
        <w:t xml:space="preserve">作为底仓工具优于追逐单日高弹性个股。</w:t>
      </w:r>
    </w:p>
    <w:bookmarkEnd w:id="41"/>
    <w:bookmarkStart w:id="42" w:name="只观察新型电网特高压与虚拟电厂"/>
    <w:p>
      <w:pPr>
        <w:pStyle w:val="Heading3"/>
      </w:pPr>
      <w:r>
        <w:t xml:space="preserve">👀 </w:t>
      </w:r>
      <w:r>
        <w:rPr>
          <w:rFonts w:hint="eastAsia"/>
        </w:rPr>
        <w:t xml:space="preserve">只观察：新型电网、特高压与虚拟电厂</w:t>
      </w:r>
    </w:p>
    <w:p>
      <w:pPr>
        <w:pStyle w:val="Compact"/>
        <w:numPr>
          <w:ilvl w:val="0"/>
          <w:numId w:val="1024"/>
        </w:numPr>
      </w:pPr>
      <w:r>
        <w:rPr>
          <w:rFonts w:hint="eastAsia"/>
          <w:b/>
          <w:bCs/>
        </w:rPr>
        <w:t xml:space="preserve">证据链：</w:t>
      </w:r>
      <w:r>
        <w:rPr>
          <w:rFonts w:hint="eastAsia"/>
        </w:rPr>
        <w:t xml:space="preserve">新闻联播提供明确政策和工程进展；通用设备、自动化设备分别净流入17.57亿元、14.28亿元。</w:t>
      </w:r>
    </w:p>
    <w:p>
      <w:pPr>
        <w:pStyle w:val="Compact"/>
        <w:numPr>
          <w:ilvl w:val="0"/>
          <w:numId w:val="1024"/>
        </w:numPr>
      </w:pPr>
      <w:r>
        <w:rPr>
          <w:rFonts w:hint="eastAsia"/>
          <w:b/>
          <w:bCs/>
        </w:rPr>
        <w:t xml:space="preserve">核心标的：</w:t>
      </w:r>
      <w:r>
        <w:rPr>
          <w:rFonts w:hint="eastAsia"/>
        </w:rPr>
        <w:t xml:space="preserve">本轮采集未形成带资金、量价和右侧技术共同确认的个股名单。</w:t>
      </w:r>
    </w:p>
    <w:p>
      <w:pPr>
        <w:pStyle w:val="Compact"/>
        <w:numPr>
          <w:ilvl w:val="0"/>
          <w:numId w:val="1024"/>
        </w:numPr>
      </w:pPr>
      <w:r>
        <w:rPr>
          <w:rFonts w:hint="eastAsia"/>
          <w:b/>
          <w:bCs/>
        </w:rPr>
        <w:t xml:space="preserve">触发条件：</w:t>
      </w:r>
      <w:r>
        <w:rPr>
          <w:rFonts w:hint="eastAsia"/>
        </w:rPr>
        <w:t xml:space="preserve">电网设备进入板块资金流入前列，并出现成交额同步放大。</w:t>
      </w:r>
    </w:p>
    <w:p>
      <w:pPr>
        <w:pStyle w:val="Compact"/>
        <w:numPr>
          <w:ilvl w:val="0"/>
          <w:numId w:val="1024"/>
        </w:numPr>
      </w:pPr>
      <w:r>
        <w:rPr>
          <w:rFonts w:hint="eastAsia"/>
          <w:b/>
          <w:bCs/>
        </w:rPr>
        <w:t xml:space="preserve">失效条件：</w:t>
      </w:r>
      <w:r>
        <w:rPr>
          <w:rFonts w:hint="eastAsia"/>
        </w:rPr>
        <w:t xml:space="preserve">政策映射仅停留在题材扩散，板块资金仍未形成持续净流入。</w:t>
      </w:r>
    </w:p>
    <w:p>
      <w:pPr>
        <w:pStyle w:val="Compact"/>
        <w:numPr>
          <w:ilvl w:val="0"/>
          <w:numId w:val="1024"/>
        </w:numPr>
      </w:pPr>
      <w:r>
        <w:rPr>
          <w:rFonts w:hint="eastAsia"/>
          <w:b/>
          <w:bCs/>
        </w:rPr>
        <w:t xml:space="preserve">执行：</w:t>
      </w:r>
      <w:r>
        <w:rPr>
          <w:rFonts w:hint="eastAsia"/>
        </w:rPr>
        <w:t xml:space="preserve">不根据新闻标题直接买入，等待资金确认。</w:t>
      </w:r>
    </w:p>
    <w:bookmarkEnd w:id="42"/>
    <w:bookmarkStart w:id="43" w:name="只观察消费与内需修复"/>
    <w:p>
      <w:pPr>
        <w:pStyle w:val="Heading3"/>
      </w:pPr>
      <w:r>
        <w:t xml:space="preserve">👀 </w:t>
      </w:r>
      <w:r>
        <w:rPr>
          <w:rFonts w:hint="eastAsia"/>
        </w:rPr>
        <w:t xml:space="preserve">只观察：消费与内需修复</w:t>
      </w:r>
    </w:p>
    <w:p>
      <w:pPr>
        <w:pStyle w:val="Compact"/>
        <w:numPr>
          <w:ilvl w:val="0"/>
          <w:numId w:val="1025"/>
        </w:numPr>
      </w:pPr>
      <w:r>
        <w:rPr>
          <w:rFonts w:hint="eastAsia"/>
          <w:b/>
          <w:bCs/>
        </w:rPr>
        <w:t xml:space="preserve">证据链：</w:t>
      </w:r>
      <w:r>
        <w:rPr>
          <w:rFonts w:hint="eastAsia"/>
        </w:rPr>
        <w:t xml:space="preserve">财政金融协同政策支持汽车、家装、餐饮住宿、养老和零售服务；银行Ⅱ净流入7.81亿元，汽车零部件净流入25.24亿元。</w:t>
      </w:r>
    </w:p>
    <w:p>
      <w:pPr>
        <w:pStyle w:val="Compact"/>
        <w:numPr>
          <w:ilvl w:val="0"/>
          <w:numId w:val="1025"/>
        </w:numPr>
      </w:pPr>
      <w:r>
        <w:rPr>
          <w:rFonts w:hint="eastAsia"/>
          <w:b/>
          <w:bCs/>
        </w:rPr>
        <w:t xml:space="preserve">核心标的：</w:t>
      </w:r>
      <w:r>
        <w:rPr>
          <w:rFonts w:hint="eastAsia"/>
        </w:rPr>
        <w:t xml:space="preserve">汽车零部件板块与银行ETF类工具优先观察。</w:t>
      </w:r>
    </w:p>
    <w:p>
      <w:pPr>
        <w:pStyle w:val="Compact"/>
        <w:numPr>
          <w:ilvl w:val="0"/>
          <w:numId w:val="1025"/>
        </w:numPr>
      </w:pPr>
      <w:r>
        <w:rPr>
          <w:rFonts w:hint="eastAsia"/>
          <w:b/>
          <w:bCs/>
        </w:rPr>
        <w:t xml:space="preserve">触发条件：</w:t>
      </w:r>
      <w:r>
        <w:rPr>
          <w:rFonts w:hint="eastAsia"/>
        </w:rPr>
        <w:t xml:space="preserve">汽车零部件继续保持资金流入，零售板块由净流出转为净流入。</w:t>
      </w:r>
    </w:p>
    <w:p>
      <w:pPr>
        <w:pStyle w:val="Compact"/>
        <w:numPr>
          <w:ilvl w:val="0"/>
          <w:numId w:val="1025"/>
        </w:numPr>
      </w:pPr>
      <w:r>
        <w:rPr>
          <w:rFonts w:hint="eastAsia"/>
          <w:b/>
          <w:bCs/>
        </w:rPr>
        <w:t xml:space="preserve">失效条件：</w:t>
      </w:r>
      <w:r>
        <w:rPr>
          <w:rFonts w:hint="eastAsia"/>
        </w:rPr>
        <w:t xml:space="preserve">一般零售继续扩大流出，银行与汽车零部件资金同步转弱。</w:t>
      </w:r>
    </w:p>
    <w:p>
      <w:pPr>
        <w:pStyle w:val="Compact"/>
        <w:numPr>
          <w:ilvl w:val="0"/>
          <w:numId w:val="1025"/>
        </w:numPr>
      </w:pPr>
      <w:r>
        <w:rPr>
          <w:rFonts w:hint="eastAsia"/>
          <w:b/>
          <w:bCs/>
        </w:rPr>
        <w:t xml:space="preserve">执行：</w:t>
      </w:r>
      <w:r>
        <w:rPr>
          <w:rFonts w:hint="eastAsia"/>
        </w:rPr>
        <w:t xml:space="preserve">当前不扩散至白酒和一般零售，白酒Ⅱ上一交易日净流出3.80亿元。</w:t>
      </w:r>
    </w:p>
    <w:bookmarkEnd w:id="43"/>
    <w:bookmarkStart w:id="44" w:name="应回避电池券商与缺乏承接的高估值公告股"/>
    <w:p>
      <w:pPr>
        <w:pStyle w:val="Heading3"/>
      </w:pPr>
      <w:r>
        <w:t xml:space="preserve">⛔ </w:t>
      </w:r>
      <w:r>
        <w:rPr>
          <w:rFonts w:hint="eastAsia"/>
        </w:rPr>
        <w:t xml:space="preserve">应回避：电池、券商与缺乏承接的高估值公告股</w:t>
      </w:r>
    </w:p>
    <w:p>
      <w:pPr>
        <w:pStyle w:val="Compact"/>
        <w:numPr>
          <w:ilvl w:val="0"/>
          <w:numId w:val="1026"/>
        </w:numPr>
      </w:pPr>
      <w:r>
        <w:rPr>
          <w:rFonts w:hint="eastAsia"/>
          <w:b/>
          <w:bCs/>
        </w:rPr>
        <w:t xml:space="preserve">证据链：</w:t>
      </w:r>
      <w:r>
        <w:rPr>
          <w:rFonts w:hint="eastAsia"/>
        </w:rPr>
        <w:t xml:space="preserve">电池净流出14.40亿元，证券Ⅱ净流出13.98亿元；宁德时代、阳光电源、东方财富分别净流出12.26亿、3.23亿、2.81亿。</w:t>
      </w:r>
    </w:p>
    <w:p>
      <w:pPr>
        <w:pStyle w:val="Compact"/>
        <w:numPr>
          <w:ilvl w:val="0"/>
          <w:numId w:val="1026"/>
        </w:numPr>
      </w:pPr>
      <w:r>
        <w:rPr>
          <w:rFonts w:hint="eastAsia"/>
          <w:b/>
          <w:bCs/>
        </w:rPr>
        <w:t xml:space="preserve">核心标的：</w:t>
      </w:r>
      <w:r>
        <w:rPr>
          <w:rFonts w:hint="eastAsia"/>
        </w:rPr>
        <w:t xml:space="preserve">宁德时代、阳光电源、东方财富仅作为风险观察锚。</w:t>
      </w:r>
    </w:p>
    <w:p>
      <w:pPr>
        <w:pStyle w:val="Compact"/>
        <w:numPr>
          <w:ilvl w:val="0"/>
          <w:numId w:val="1026"/>
        </w:numPr>
      </w:pPr>
      <w:r>
        <w:rPr>
          <w:rFonts w:hint="eastAsia"/>
          <w:b/>
          <w:bCs/>
        </w:rPr>
        <w:t xml:space="preserve">触发条件：</w:t>
      </w:r>
      <w:r>
        <w:rPr>
          <w:rFonts w:hint="eastAsia"/>
        </w:rPr>
        <w:t xml:space="preserve">只有在板块资金由流出转为持续流入后，才重新评估。</w:t>
      </w:r>
    </w:p>
    <w:p>
      <w:pPr>
        <w:pStyle w:val="Compact"/>
        <w:numPr>
          <w:ilvl w:val="0"/>
          <w:numId w:val="1026"/>
        </w:numPr>
      </w:pPr>
      <w:r>
        <w:rPr>
          <w:rFonts w:hint="eastAsia"/>
          <w:b/>
          <w:bCs/>
        </w:rPr>
        <w:t xml:space="preserve">失效条件：</w:t>
      </w:r>
      <w:r>
        <w:rPr>
          <w:rFonts w:hint="eastAsia"/>
        </w:rPr>
        <w:t xml:space="preserve">流出延续且个股不能收复前一交易日收盘价。</w:t>
      </w:r>
    </w:p>
    <w:p>
      <w:pPr>
        <w:pStyle w:val="Compact"/>
        <w:numPr>
          <w:ilvl w:val="0"/>
          <w:numId w:val="1026"/>
        </w:numPr>
      </w:pPr>
      <w:r>
        <w:rPr>
          <w:rFonts w:hint="eastAsia"/>
          <w:b/>
          <w:bCs/>
        </w:rPr>
        <w:t xml:space="preserve">执行：</w:t>
      </w:r>
      <w:r>
        <w:rPr>
          <w:rFonts w:hint="eastAsia"/>
        </w:rPr>
        <w:t xml:space="preserve">不因指数放量上涨而逆资金方向抄底。</w:t>
      </w:r>
    </w:p>
    <w:bookmarkEnd w:id="44"/>
    <w:bookmarkEnd w:id="45"/>
    <w:bookmarkStart w:id="47" w:name="重点公告股证据卡"/>
    <w:p>
      <w:pPr>
        <w:pStyle w:val="Heading2"/>
      </w:pPr>
      <w:r>
        <w:t xml:space="preserve">🔎 </w:t>
      </w:r>
      <w:r>
        <w:rPr>
          <w:rFonts w:hint="eastAsia"/>
        </w:rPr>
        <w:t xml:space="preserve">重点公告股证据卡</w:t>
      </w:r>
    </w:p>
    <w:p>
      <w:pPr>
        <w:pStyle w:val="Compact"/>
        <w:numPr>
          <w:ilvl w:val="0"/>
          <w:numId w:val="1027"/>
        </w:numPr>
      </w:pPr>
      <w:r>
        <w:rPr>
          <w:rFonts w:hint="eastAsia"/>
          <w:b/>
          <w:bCs/>
        </w:rPr>
        <w:t xml:space="preserve">利扬芯片（688135）：</w:t>
      </w:r>
      <w:r>
        <w:rPr>
          <w:rFonts w:hint="eastAsia"/>
        </w:rPr>
        <w:t xml:space="preserve">核心催化：妙想mx-data显示2026三季报营收同比增长24.84%、净利润同比增长1259%，新闻增强显示第三季度归母净利润1990.82万元、同比增长154.72%；主要风险：10月28日收盘价27.60元，PE</w:t>
      </w:r>
      <w:r>
        <w:t xml:space="preserve"> </w:t>
      </w:r>
      <w:r>
        <w:rPr>
          <w:rFonts w:hint="eastAsia"/>
        </w:rPr>
        <w:t xml:space="preserve">486倍、ROE</w:t>
      </w:r>
      <w:r>
        <w:t xml:space="preserve"> </w:t>
      </w:r>
      <w:r>
        <w:rPr>
          <w:rFonts w:hint="eastAsia"/>
        </w:rPr>
        <w:t xml:space="preserve">2.37%，估值对盈利持续性要求高，且收盘价低于mx-data的MA20</w:t>
      </w:r>
      <w:r>
        <w:t xml:space="preserve"> </w:t>
      </w:r>
      <w:r>
        <w:rPr>
          <w:rFonts w:hint="eastAsia"/>
        </w:rPr>
        <w:t xml:space="preserve">33.18元和MA60</w:t>
      </w:r>
      <w:r>
        <w:t xml:space="preserve"> </w:t>
      </w:r>
      <w:r>
        <w:rPr>
          <w:rFonts w:hint="eastAsia"/>
        </w:rPr>
        <w:t xml:space="preserve">30.20元。</w:t>
      </w:r>
    </w:p>
    <w:p>
      <w:pPr>
        <w:pStyle w:val="Compact"/>
        <w:numPr>
          <w:ilvl w:val="0"/>
          <w:numId w:val="1027"/>
        </w:numPr>
      </w:pPr>
      <w:r>
        <w:rPr>
          <w:rFonts w:hint="eastAsia"/>
          <w:b/>
          <w:bCs/>
        </w:rPr>
        <w:t xml:space="preserve">臻宝科技（688797）：</w:t>
      </w:r>
      <w:r>
        <w:rPr>
          <w:rFonts w:hint="eastAsia"/>
        </w:rPr>
        <w:t xml:space="preserve">核心催化：妙想mx-data显示2026三季报营收同比增长32.13%、净利润同比增长14.96%、ROE</w:t>
      </w:r>
      <w:r>
        <w:t xml:space="preserve"> </w:t>
      </w:r>
      <w:r>
        <w:rPr>
          <w:rFonts w:hint="eastAsia"/>
        </w:rPr>
        <w:t xml:space="preserve">9.85%；主要风险：PE</w:t>
      </w:r>
      <w:r>
        <w:t xml:space="preserve"> </w:t>
      </w:r>
      <w:r>
        <w:rPr>
          <w:rFonts w:hint="eastAsia"/>
        </w:rPr>
        <w:t xml:space="preserve">123.2倍、PB</w:t>
      </w:r>
      <w:r>
        <w:t xml:space="preserve"> </w:t>
      </w:r>
      <w:r>
        <w:rPr>
          <w:rFonts w:hint="eastAsia"/>
        </w:rPr>
        <w:t xml:space="preserve">10.17倍、换手率11.28%，公告内容显示前三季度计提减值准备2852.45万元，收盘价196.70元低于MA20</w:t>
      </w:r>
      <w:r>
        <w:t xml:space="preserve"> </w:t>
      </w:r>
      <w:r>
        <w:rPr>
          <w:rFonts w:hint="eastAsia"/>
        </w:rPr>
        <w:t xml:space="preserve">218.90元和MA60</w:t>
      </w:r>
      <w:r>
        <w:t xml:space="preserve"> </w:t>
      </w:r>
      <w:r>
        <w:rPr>
          <w:rFonts w:hint="eastAsia"/>
        </w:rPr>
        <w:t xml:space="preserve">274.60元。</w:t>
      </w:r>
    </w:p>
    <w:p>
      <w:pPr>
        <w:pStyle w:val="Compact"/>
        <w:numPr>
          <w:ilvl w:val="0"/>
          <w:numId w:val="1027"/>
        </w:numPr>
      </w:pPr>
      <w:r>
        <w:rPr>
          <w:rFonts w:hint="eastAsia"/>
          <w:b/>
          <w:bCs/>
        </w:rPr>
        <w:t xml:space="preserve">先锋精科（688605）：</w:t>
      </w:r>
      <w:r>
        <w:rPr>
          <w:rFonts w:hint="eastAsia"/>
        </w:rPr>
        <w:t xml:space="preserve">核心催化：巨潮资讯披露2026年第三季度报告，妙想mx-data显示营收同比增长20.02%；主要风险：净利润同比下降35.32%，PE</w:t>
      </w:r>
      <w:r>
        <w:t xml:space="preserve"> </w:t>
      </w:r>
      <w:r>
        <w:rPr>
          <w:rFonts w:hint="eastAsia"/>
        </w:rPr>
        <w:t xml:space="preserve">87.88倍，收盘价59.81元低于MA20</w:t>
      </w:r>
      <w:r>
        <w:t xml:space="preserve"> </w:t>
      </w:r>
      <w:r>
        <w:rPr>
          <w:rFonts w:hint="eastAsia"/>
        </w:rPr>
        <w:t xml:space="preserve">69.44元和MA60</w:t>
      </w:r>
      <w:r>
        <w:t xml:space="preserve"> </w:t>
      </w:r>
      <w:r>
        <w:rPr>
          <w:rFonts w:hint="eastAsia"/>
        </w:rPr>
        <w:t xml:space="preserve">73.54元，同时公司披露计提资产减值准备公告。</w:t>
      </w:r>
    </w:p>
    <w:p>
      <w:pPr>
        <w:pStyle w:val="Compact"/>
        <w:numPr>
          <w:ilvl w:val="0"/>
          <w:numId w:val="1027"/>
        </w:numPr>
      </w:pPr>
      <w:r>
        <w:rPr>
          <w:rFonts w:hint="eastAsia"/>
          <w:b/>
          <w:bCs/>
        </w:rPr>
        <w:t xml:space="preserve">淳中科技（603516）：</w:t>
      </w:r>
      <w:r>
        <w:rPr>
          <w:rFonts w:hint="eastAsia"/>
        </w:rPr>
        <w:t xml:space="preserve">核心催化：巨潮资讯披露2026年第三季度报告，10月28日股价上涨8.35%；主要风险：妙想mx-data显示三季报营收同比下降3.618%、净利润同比下降178.1%、ROE为-5.13%，收盘价65.02元低于MA20</w:t>
      </w:r>
      <w:r>
        <w:t xml:space="preserve"> </w:t>
      </w:r>
      <w:r>
        <w:rPr>
          <w:rFonts w:hint="eastAsia"/>
        </w:rPr>
        <w:t xml:space="preserve">70.55元和MA60</w:t>
      </w:r>
      <w:r>
        <w:t xml:space="preserve"> </w:t>
      </w:r>
      <w:r>
        <w:rPr>
          <w:rFonts w:hint="eastAsia"/>
        </w:rPr>
        <w:t xml:space="preserve">85.60元。</w:t>
      </w:r>
    </w:p>
    <w:p>
      <w:pPr>
        <w:pStyle w:val="Compact"/>
        <w:numPr>
          <w:ilvl w:val="0"/>
          <w:numId w:val="1027"/>
        </w:numPr>
      </w:pPr>
      <w:r>
        <w:rPr>
          <w:rFonts w:hint="eastAsia"/>
          <w:b/>
          <w:bCs/>
        </w:rPr>
        <w:t xml:space="preserve">南威软件（603636）：</w:t>
      </w:r>
      <w:r>
        <w:rPr>
          <w:rFonts w:hint="eastAsia"/>
        </w:rPr>
        <w:t xml:space="preserve">核心催化：三季报披露在建存量订单22.68亿元，并继续布局C端AI应用；主要风险：前三季度营业收入3.35亿元、同比下降44.59%，归母净利润为-2.21亿元、同比下降119.23%，mx-data显示ROE为-12.32%，订单转化和信用减值压力仍需验证。</w:t>
      </w:r>
    </w:p>
    <w:bookmarkStart w:id="46" w:name="技术与财务校验边界"/>
    <w:p>
      <w:pPr>
        <w:pStyle w:val="Heading3"/>
      </w:pPr>
      <w:r>
        <w:t xml:space="preserve">🧪 </w:t>
      </w:r>
      <w:r>
        <w:rPr>
          <w:rFonts w:hint="eastAsia"/>
        </w:rPr>
        <w:t xml:space="preserve">技术与财务校验边界</w:t>
      </w:r>
    </w:p>
    <w:p>
      <w:pPr>
        <w:pStyle w:val="Compact"/>
        <w:numPr>
          <w:ilvl w:val="0"/>
          <w:numId w:val="1028"/>
        </w:numPr>
      </w:pPr>
      <w:r>
        <w:rPr>
          <w:rFonts w:hint="eastAsia"/>
        </w:rPr>
        <w:t xml:space="preserve">TickFlow重点股日K本轮请求样本为0、完成分析0只，无法形成A/B/C/D右侧评级、60日高点距离、量比及ATR证伪参考；原因是采集结果没有生成可分析的重点股样本。</w:t>
      </w:r>
    </w:p>
    <w:p>
      <w:pPr>
        <w:pStyle w:val="Compact"/>
        <w:numPr>
          <w:ilvl w:val="0"/>
          <w:numId w:val="1028"/>
        </w:numPr>
      </w:pPr>
      <w:r>
        <w:rPr>
          <w:rFonts w:hint="eastAsia"/>
        </w:rPr>
        <w:t xml:space="preserve">上述重点公告股全部仅作观察，不以mx-data的单项MA数据替代TickFlow右侧评级，不估算ATR止损线，不纳入技术确认。</w:t>
      </w:r>
    </w:p>
    <w:p>
      <w:pPr>
        <w:pStyle w:val="Compact"/>
        <w:numPr>
          <w:ilvl w:val="0"/>
          <w:numId w:val="1028"/>
        </w:numPr>
      </w:pPr>
      <w:r>
        <w:rPr>
          <w:rFonts w:hint="eastAsia"/>
        </w:rPr>
        <w:t xml:space="preserve">financial_rigor本轮未产出可确认的验算结论，原因是采集结果没有给出判定；市值、PE、PB和财务指标采用mx-data原值，不作二次确认。</w:t>
      </w:r>
    </w:p>
    <w:bookmarkEnd w:id="46"/>
    <w:bookmarkEnd w:id="47"/>
    <w:bookmarkStart w:id="51" w:name="今日操作策略三档仓位"/>
    <w:p>
      <w:pPr>
        <w:pStyle w:val="Heading2"/>
      </w:pPr>
      <w:r>
        <w:t xml:space="preserve">💡 </w:t>
      </w:r>
      <w:r>
        <w:rPr>
          <w:rFonts w:hint="eastAsia"/>
        </w:rPr>
        <w:t xml:space="preserve">今日操作策略：三档仓位</w:t>
      </w:r>
    </w:p>
    <w:bookmarkStart w:id="48" w:name="进取档最高50"/>
    <w:p>
      <w:pPr>
        <w:pStyle w:val="Heading3"/>
      </w:pPr>
      <w:r>
        <w:t xml:space="preserve">🚀 </w:t>
      </w:r>
      <w:r>
        <w:rPr>
          <w:rFonts w:hint="eastAsia"/>
        </w:rPr>
        <w:t xml:space="preserve">进取档：最高50%</w:t>
      </w:r>
    </w:p>
    <w:p>
      <w:pPr>
        <w:pStyle w:val="Compact"/>
        <w:numPr>
          <w:ilvl w:val="0"/>
          <w:numId w:val="1029"/>
        </w:numPr>
      </w:pPr>
      <w:r>
        <w:rPr>
          <w:rFonts w:hint="eastAsia"/>
        </w:rPr>
        <w:t xml:space="preserve">20%配置沪深300ETF或创业板50ETF，承担底仓功能。</w:t>
      </w:r>
    </w:p>
    <w:p>
      <w:pPr>
        <w:pStyle w:val="Compact"/>
        <w:numPr>
          <w:ilvl w:val="0"/>
          <w:numId w:val="1029"/>
        </w:numPr>
      </w:pPr>
      <w:r>
        <w:rPr>
          <w:rFonts w:hint="eastAsia"/>
        </w:rPr>
        <w:t xml:space="preserve">20%等待通信设备、半导体或元件回踩确认后分批参与。</w:t>
      </w:r>
    </w:p>
    <w:p>
      <w:pPr>
        <w:pStyle w:val="Compact"/>
        <w:numPr>
          <w:ilvl w:val="0"/>
          <w:numId w:val="1029"/>
        </w:numPr>
      </w:pPr>
      <w:r>
        <w:rPr>
          <w:rFonts w:hint="eastAsia"/>
        </w:rPr>
        <w:t xml:space="preserve">10%保留为盘中机动资金，仅在板块资金继续净流入时使用。</w:t>
      </w:r>
    </w:p>
    <w:p>
      <w:pPr>
        <w:pStyle w:val="Compact"/>
        <w:numPr>
          <w:ilvl w:val="0"/>
          <w:numId w:val="1029"/>
        </w:numPr>
      </w:pPr>
      <w:r>
        <w:rPr>
          <w:rFonts w:hint="eastAsia"/>
        </w:rPr>
        <w:t xml:space="preserve">若科技板块高开后快速回落，不使用机动仓补跌，仓位退回35%。</w:t>
      </w:r>
    </w:p>
    <w:bookmarkEnd w:id="48"/>
    <w:bookmarkStart w:id="49" w:name="均衡档最高50"/>
    <w:p>
      <w:pPr>
        <w:pStyle w:val="Heading3"/>
      </w:pPr>
      <w:r>
        <w:t xml:space="preserve">⚖️ </w:t>
      </w:r>
      <w:r>
        <w:rPr>
          <w:rFonts w:hint="eastAsia"/>
        </w:rPr>
        <w:t xml:space="preserve">均衡档：最高50%</w:t>
      </w:r>
    </w:p>
    <w:p>
      <w:pPr>
        <w:pStyle w:val="Compact"/>
        <w:numPr>
          <w:ilvl w:val="0"/>
          <w:numId w:val="1030"/>
        </w:numPr>
      </w:pPr>
      <w:r>
        <w:rPr>
          <w:rFonts w:hint="eastAsia"/>
        </w:rPr>
        <w:t xml:space="preserve">35%作为初始仓位，以宽基ETF和已有趋势仓为主。</w:t>
      </w:r>
    </w:p>
    <w:p>
      <w:pPr>
        <w:pStyle w:val="Compact"/>
        <w:numPr>
          <w:ilvl w:val="0"/>
          <w:numId w:val="1030"/>
        </w:numPr>
      </w:pPr>
      <w:r>
        <w:rPr>
          <w:rFonts w:hint="eastAsia"/>
        </w:rPr>
        <w:t xml:space="preserve">剩余15%必须等待成交承接与主力资金方向确认后再投入。</w:t>
      </w:r>
    </w:p>
    <w:p>
      <w:pPr>
        <w:pStyle w:val="Compact"/>
        <w:numPr>
          <w:ilvl w:val="0"/>
          <w:numId w:val="1030"/>
        </w:numPr>
      </w:pPr>
      <w:r>
        <w:rPr>
          <w:rFonts w:hint="eastAsia"/>
        </w:rPr>
        <w:t xml:space="preserve">通信与半导体不能同时追高，优先选择回踩更充分、资金延续更清晰的一个方向。</w:t>
      </w:r>
    </w:p>
    <w:p>
      <w:pPr>
        <w:pStyle w:val="Compact"/>
        <w:numPr>
          <w:ilvl w:val="0"/>
          <w:numId w:val="1030"/>
        </w:numPr>
      </w:pPr>
      <w:r>
        <w:rPr>
          <w:rFonts w:hint="eastAsia"/>
        </w:rPr>
        <w:t xml:space="preserve">两融余额下降意味着不使用融资扩大实际风险敞口。</w:t>
      </w:r>
    </w:p>
    <w:bookmarkEnd w:id="49"/>
    <w:bookmarkStart w:id="50" w:name="保守档35"/>
    <w:p>
      <w:pPr>
        <w:pStyle w:val="Heading3"/>
      </w:pPr>
      <w:r>
        <w:t xml:space="preserve">🛡️ </w:t>
      </w:r>
      <w:r>
        <w:rPr>
          <w:rFonts w:hint="eastAsia"/>
        </w:rPr>
        <w:t xml:space="preserve">保守档：35%</w:t>
      </w:r>
    </w:p>
    <w:p>
      <w:pPr>
        <w:pStyle w:val="Compact"/>
        <w:numPr>
          <w:ilvl w:val="0"/>
          <w:numId w:val="1031"/>
        </w:numPr>
      </w:pPr>
      <w:r>
        <w:rPr>
          <w:rFonts w:hint="eastAsia"/>
        </w:rPr>
        <w:t xml:space="preserve">以宽基ETF和低波动底仓为主，不参与开盘一致性冲高。</w:t>
      </w:r>
    </w:p>
    <w:p>
      <w:pPr>
        <w:pStyle w:val="Compact"/>
        <w:numPr>
          <w:ilvl w:val="0"/>
          <w:numId w:val="1031"/>
        </w:numPr>
      </w:pPr>
      <w:r>
        <w:rPr>
          <w:rFonts w:hint="eastAsia"/>
        </w:rPr>
        <w:t xml:space="preserve">公告高估值股、电池、券商、一般零售和白酒不做逆势抄底。</w:t>
      </w:r>
    </w:p>
    <w:p>
      <w:pPr>
        <w:pStyle w:val="Compact"/>
        <w:numPr>
          <w:ilvl w:val="0"/>
          <w:numId w:val="1031"/>
        </w:numPr>
      </w:pPr>
      <w:r>
        <w:rPr>
          <w:rFonts w:hint="eastAsia"/>
        </w:rPr>
        <w:t xml:space="preserve">若A50弱势传导至A股、成交额收缩或成长板块资金转负，维持35%而不加仓。</w:t>
      </w:r>
    </w:p>
    <w:p>
      <w:pPr>
        <w:pStyle w:val="Compact"/>
        <w:numPr>
          <w:ilvl w:val="0"/>
          <w:numId w:val="1031"/>
        </w:numPr>
      </w:pPr>
      <w:r>
        <w:rPr>
          <w:rFonts w:hint="eastAsia"/>
        </w:rPr>
        <w:t xml:space="preserve">若已有盈利科技仓位，可在冲高时降低集中度，不进行板块内无差别扩散。</w:t>
      </w:r>
    </w:p>
    <w:bookmarkEnd w:id="50"/>
    <w:bookmarkEnd w:id="51"/>
    <w:bookmarkStart w:id="52" w:name="仓位模型量化推导"/>
    <w:p>
      <w:pPr>
        <w:pStyle w:val="Heading2"/>
      </w:pPr>
      <w:r>
        <w:t xml:space="preserve">🧮 </w:t>
      </w:r>
      <w:r>
        <w:rPr>
          <w:rFonts w:hint="eastAsia"/>
        </w:rPr>
        <w:t xml:space="preserve">仓位模型：量化推导</w:t>
      </w:r>
    </w:p>
    <w:p>
      <w:pPr>
        <w:pStyle w:val="Compact"/>
        <w:numPr>
          <w:ilvl w:val="0"/>
          <w:numId w:val="1032"/>
        </w:numPr>
      </w:pPr>
      <w:r>
        <w:rPr>
          <w:rFonts w:hint="eastAsia"/>
        </w:rPr>
        <w:t xml:space="preserve">以保守档35%为基准。</w:t>
      </w:r>
    </w:p>
    <w:p>
      <w:pPr>
        <w:pStyle w:val="Compact"/>
        <w:numPr>
          <w:ilvl w:val="0"/>
          <w:numId w:val="1032"/>
        </w:numPr>
      </w:pPr>
      <w:r>
        <w:rPr>
          <w:rFonts w:hint="eastAsia"/>
        </w:rPr>
        <w:t xml:space="preserve">上一交易日涨跌比为3.354，对应仓位加10个百分点。</w:t>
      </w:r>
    </w:p>
    <w:p>
      <w:pPr>
        <w:pStyle w:val="Compact"/>
        <w:numPr>
          <w:ilvl w:val="0"/>
          <w:numId w:val="1032"/>
        </w:numPr>
      </w:pPr>
      <w:r>
        <w:rPr>
          <w:rFonts w:hint="eastAsia"/>
        </w:rPr>
        <w:t xml:space="preserve">全市场成交额由14728.81亿元升至16420.93亿元，增幅11.49%，对应仓位加5个百分点。</w:t>
      </w:r>
    </w:p>
    <w:p>
      <w:pPr>
        <w:pStyle w:val="Compact"/>
        <w:numPr>
          <w:ilvl w:val="0"/>
          <w:numId w:val="1032"/>
        </w:numPr>
      </w:pPr>
      <w:r>
        <w:rPr>
          <w:rFonts w:hint="eastAsia"/>
        </w:rPr>
        <w:t xml:space="preserve">推导结果：35%</w:t>
      </w:r>
      <w:r>
        <w:t xml:space="preserve"> + 10% + 5% = 50%。</w:t>
      </w:r>
    </w:p>
    <w:p>
      <w:pPr>
        <w:pStyle w:val="Compact"/>
        <w:numPr>
          <w:ilvl w:val="0"/>
          <w:numId w:val="1032"/>
        </w:numPr>
      </w:pPr>
      <w:r>
        <w:rPr>
          <w:rFonts w:hint="eastAsia"/>
        </w:rPr>
        <w:t xml:space="preserve">两融余额减少164.25亿元，且重点股估值/换手拥挤信号为中等，因此不再上调仓位，最终上限保持50%。</w:t>
      </w:r>
    </w:p>
    <w:p>
      <w:pPr>
        <w:pStyle w:val="Compact"/>
        <w:numPr>
          <w:ilvl w:val="0"/>
          <w:numId w:val="1032"/>
        </w:numPr>
      </w:pPr>
      <w:r>
        <w:rPr>
          <w:rStyle w:val="VerbatimChar"/>
        </w:rPr>
        <w:t xml:space="preserve">derived.position_model</w:t>
      </w:r>
      <w:r>
        <w:rPr>
          <w:rFonts w:hint="eastAsia"/>
        </w:rPr>
        <w:t xml:space="preserve">给出的进取档50%、均衡档50%、保守档35%与上述推导一致。</w:t>
      </w:r>
    </w:p>
    <w:bookmarkEnd w:id="52"/>
    <w:bookmarkStart w:id="53" w:name="回避清单"/>
    <w:p>
      <w:pPr>
        <w:pStyle w:val="Heading2"/>
      </w:pPr>
      <w:r>
        <w:t xml:space="preserve">🚫 </w:t>
      </w:r>
      <w:r>
        <w:rPr>
          <w:rFonts w:hint="eastAsia"/>
        </w:rPr>
        <w:t xml:space="preserve">回避清单</w:t>
      </w:r>
    </w:p>
    <w:p>
      <w:pPr>
        <w:pStyle w:val="Compact"/>
        <w:numPr>
          <w:ilvl w:val="0"/>
          <w:numId w:val="1033"/>
        </w:numPr>
      </w:pPr>
      <w:r>
        <w:rPr>
          <w:rFonts w:hint="eastAsia"/>
          <w:b/>
          <w:bCs/>
        </w:rPr>
        <w:t xml:space="preserve">电池链高位反抽：</w:t>
      </w:r>
      <w:r>
        <w:rPr>
          <w:rFonts w:hint="eastAsia"/>
        </w:rPr>
        <w:t xml:space="preserve">板块净流出14.40亿元，宁德时代净流出12.26亿，资金方向尚未扭转。</w:t>
      </w:r>
    </w:p>
    <w:p>
      <w:pPr>
        <w:pStyle w:val="Compact"/>
        <w:numPr>
          <w:ilvl w:val="0"/>
          <w:numId w:val="1033"/>
        </w:numPr>
      </w:pPr>
      <w:r>
        <w:rPr>
          <w:rFonts w:hint="eastAsia"/>
          <w:b/>
          <w:bCs/>
        </w:rPr>
        <w:t xml:space="preserve">券商冲高追入：</w:t>
      </w:r>
      <w:r>
        <w:rPr>
          <w:rFonts w:hint="eastAsia"/>
        </w:rPr>
        <w:t xml:space="preserve">证券Ⅱ净流出13.98亿元，东方财富净流出2.81亿，指数上涨并未带来券商资金共振。</w:t>
      </w:r>
    </w:p>
    <w:p>
      <w:pPr>
        <w:pStyle w:val="Compact"/>
        <w:numPr>
          <w:ilvl w:val="0"/>
          <w:numId w:val="1033"/>
        </w:numPr>
      </w:pPr>
      <w:r>
        <w:rPr>
          <w:rFonts w:hint="eastAsia"/>
          <w:b/>
          <w:bCs/>
        </w:rPr>
        <w:t xml:space="preserve">软件题材扩散：</w:t>
      </w:r>
      <w:r>
        <w:rPr>
          <w:rFonts w:hint="eastAsia"/>
        </w:rPr>
        <w:t xml:space="preserve">软件开发净流出11.80亿元，政策利好尚未获得资金确认。</w:t>
      </w:r>
    </w:p>
    <w:p>
      <w:pPr>
        <w:pStyle w:val="Compact"/>
        <w:numPr>
          <w:ilvl w:val="0"/>
          <w:numId w:val="1033"/>
        </w:numPr>
      </w:pPr>
      <w:r>
        <w:rPr>
          <w:rFonts w:hint="eastAsia"/>
          <w:b/>
          <w:bCs/>
        </w:rPr>
        <w:t xml:space="preserve">资产减值集中公司：</w:t>
      </w:r>
      <w:r>
        <w:rPr>
          <w:rFonts w:hint="eastAsia"/>
        </w:rPr>
        <w:t xml:space="preserve">今日减值类公告173条，需先核对减值规模、利润影响及是否重复计提。</w:t>
      </w:r>
    </w:p>
    <w:p>
      <w:pPr>
        <w:pStyle w:val="Compact"/>
        <w:numPr>
          <w:ilvl w:val="0"/>
          <w:numId w:val="1033"/>
        </w:numPr>
      </w:pPr>
      <w:r>
        <w:rPr>
          <w:rFonts w:hint="eastAsia"/>
          <w:b/>
          <w:bCs/>
        </w:rPr>
        <w:t xml:space="preserve">退市与停牌风险：</w:t>
      </w:r>
      <w:r>
        <w:rPr>
          <w:rFonts w:hint="eastAsia"/>
        </w:rPr>
        <w:t xml:space="preserve">*ST卓然披露触及交易类强制退市风险提示暨停牌公告，相关风险不参与博弈。</w:t>
      </w:r>
    </w:p>
    <w:p>
      <w:pPr>
        <w:pStyle w:val="Compact"/>
        <w:numPr>
          <w:ilvl w:val="0"/>
          <w:numId w:val="1033"/>
        </w:numPr>
      </w:pPr>
      <w:r>
        <w:rPr>
          <w:rFonts w:hint="eastAsia"/>
          <w:b/>
          <w:bCs/>
        </w:rPr>
        <w:t xml:space="preserve">高估值但右侧技术未确认的公告股：</w:t>
      </w:r>
      <w:r>
        <w:rPr>
          <w:rFonts w:hint="eastAsia"/>
        </w:rPr>
        <w:t xml:space="preserve">利扬芯片、臻宝科技、先锋精科仅观察，不因业绩标题追涨。</w:t>
      </w:r>
    </w:p>
    <w:p>
      <w:pPr>
        <w:pStyle w:val="Compact"/>
        <w:numPr>
          <w:ilvl w:val="0"/>
          <w:numId w:val="1033"/>
        </w:numPr>
      </w:pPr>
      <w:r>
        <w:rPr>
          <w:rFonts w:hint="eastAsia"/>
          <w:b/>
          <w:bCs/>
        </w:rPr>
        <w:t xml:space="preserve">资金与题材背离标的：</w:t>
      </w:r>
      <w:r>
        <w:rPr>
          <w:rFonts w:hint="eastAsia"/>
        </w:rPr>
        <w:t xml:space="preserve">源杰科技、中兴通讯等处于个股资金流出榜，即使所属产业链偏强，也应等待个股资金修复。</w:t>
      </w:r>
    </w:p>
    <w:bookmarkEnd w:id="53"/>
    <w:bookmarkStart w:id="54" w:name="风险日历"/>
    <w:p>
      <w:pPr>
        <w:pStyle w:val="Heading2"/>
      </w:pPr>
      <w:r>
        <w:t xml:space="preserve">⚠️ </w:t>
      </w:r>
      <w:r>
        <w:rPr>
          <w:rFonts w:hint="eastAsia"/>
        </w:rPr>
        <w:t xml:space="preserve">风险日历</w:t>
      </w:r>
    </w:p>
    <w:p>
      <w:pPr>
        <w:pStyle w:val="Compact"/>
        <w:numPr>
          <w:ilvl w:val="0"/>
          <w:numId w:val="1034"/>
        </w:numPr>
      </w:pPr>
      <w:r>
        <w:rPr>
          <w:rFonts w:hint="eastAsia"/>
          <w:b/>
          <w:bCs/>
        </w:rPr>
        <w:t xml:space="preserve">2026-10-29：</w:t>
      </w:r>
      <w:r>
        <w:rPr>
          <w:rFonts w:hint="eastAsia"/>
        </w:rPr>
        <w:t xml:space="preserve">三季报与资产减值公告密集披露，业绩、减值、担保、问询函和限售解禁风险集中释放。</w:t>
      </w:r>
    </w:p>
    <w:p>
      <w:pPr>
        <w:pStyle w:val="Compact"/>
        <w:numPr>
          <w:ilvl w:val="0"/>
          <w:numId w:val="1034"/>
        </w:numPr>
      </w:pPr>
      <w:r>
        <w:rPr>
          <w:rFonts w:hint="eastAsia"/>
          <w:b/>
          <w:bCs/>
        </w:rPr>
        <w:t xml:space="preserve">2026-10-29起：</w:t>
      </w:r>
      <w:r>
        <w:rPr>
          <w:rFonts w:hint="eastAsia"/>
        </w:rPr>
        <w:t xml:space="preserve">冷空气影响北方多地，内蒙古中东部、东北和华北北部降温4℃—8℃，部分地区降幅超过10℃；关注煤炭、天然气、供热、交通运输及农业供应链波动。</w:t>
      </w:r>
    </w:p>
    <w:p>
      <w:pPr>
        <w:pStyle w:val="Compact"/>
        <w:numPr>
          <w:ilvl w:val="0"/>
          <w:numId w:val="1034"/>
        </w:numPr>
      </w:pPr>
      <w:r>
        <w:rPr>
          <w:rFonts w:hint="eastAsia"/>
          <w:b/>
          <w:bCs/>
        </w:rPr>
        <w:t xml:space="preserve">2026-10-29盘中：</w:t>
      </w:r>
      <w:r>
        <w:rPr>
          <w:rFonts w:hint="eastAsia"/>
        </w:rPr>
        <w:t xml:space="preserve">重点检查昨日科技主线能否在16420.93亿元成交额基准上继续获得承接。</w:t>
      </w:r>
    </w:p>
    <w:p>
      <w:pPr>
        <w:pStyle w:val="Compact"/>
        <w:numPr>
          <w:ilvl w:val="0"/>
          <w:numId w:val="1034"/>
        </w:numPr>
      </w:pPr>
      <w:r>
        <w:rPr>
          <w:b/>
          <w:bCs/>
        </w:rPr>
        <w:t xml:space="preserve">2026-11-11 </w:t>
      </w:r>
      <w:r>
        <w:rPr>
          <w:rFonts w:hint="eastAsia"/>
          <w:b/>
          <w:bCs/>
        </w:rPr>
        <w:t xml:space="preserve">14:00—15:00：</w:t>
      </w:r>
      <w:r>
        <w:rPr>
          <w:rFonts w:hint="eastAsia"/>
        </w:rPr>
        <w:t xml:space="preserve">南威软件计划召开2026年第三季度业绩说明会，重点关注在建订单验收、C端AI投入和信用减值解释。</w:t>
      </w:r>
    </w:p>
    <w:p>
      <w:pPr>
        <w:pStyle w:val="Compact"/>
        <w:numPr>
          <w:ilvl w:val="0"/>
          <w:numId w:val="1034"/>
        </w:numPr>
      </w:pPr>
      <w:r>
        <w:rPr>
          <w:rFonts w:hint="eastAsia"/>
        </w:rPr>
        <w:t xml:space="preserve">正式宏观经济日历未进入采集JSON，具体发布时间、预期值和前值不估算、不纳入确认。</w:t>
      </w:r>
    </w:p>
    <w:bookmarkEnd w:id="54"/>
    <w:bookmarkStart w:id="55" w:name="外资与离岸风险偏好"/>
    <w:p>
      <w:pPr>
        <w:pStyle w:val="Heading2"/>
      </w:pPr>
      <w:r>
        <w:t xml:space="preserve">🌊 </w:t>
      </w:r>
      <w:r>
        <w:rPr>
          <w:rFonts w:hint="eastAsia"/>
        </w:rPr>
        <w:t xml:space="preserve">外资与离岸风险偏好</w:t>
      </w:r>
    </w:p>
    <w:p>
      <w:pPr>
        <w:pStyle w:val="Compact"/>
        <w:numPr>
          <w:ilvl w:val="0"/>
          <w:numId w:val="1035"/>
        </w:numPr>
      </w:pPr>
      <w:r>
        <w:rPr>
          <w:rFonts w:hint="eastAsia"/>
        </w:rPr>
        <w:t xml:space="preserve">离岸人民币报6.6605，变动-0.0009，涨跌幅-0.01%；人民币小幅走强，对A股风险偏好构成轻微支持。</w:t>
      </w:r>
    </w:p>
    <w:p>
      <w:pPr>
        <w:pStyle w:val="Compact"/>
        <w:numPr>
          <w:ilvl w:val="0"/>
          <w:numId w:val="1035"/>
        </w:numPr>
      </w:pPr>
      <w:r>
        <w:rPr>
          <w:rFonts w:hint="eastAsia"/>
        </w:rPr>
        <w:t xml:space="preserve">恒生指数上涨0.23%，但富时中国A50期指下跌0.08%，离岸中国资产信号偏中性而非全面转强。</w:t>
      </w:r>
    </w:p>
    <w:p>
      <w:pPr>
        <w:pStyle w:val="Compact"/>
        <w:numPr>
          <w:ilvl w:val="0"/>
          <w:numId w:val="1035"/>
        </w:numPr>
      </w:pPr>
      <w:r>
        <w:rPr>
          <w:rFonts w:hint="eastAsia"/>
        </w:rPr>
        <w:t xml:space="preserve">沪深300ETF连续3个区间净申购，对大盘核心资产形成国内配置资金支撑。</w:t>
      </w:r>
    </w:p>
    <w:p>
      <w:pPr>
        <w:pStyle w:val="Compact"/>
        <w:numPr>
          <w:ilvl w:val="0"/>
          <w:numId w:val="1035"/>
        </w:numPr>
      </w:pPr>
      <w:r>
        <w:rPr>
          <w:rFonts w:hint="eastAsia"/>
        </w:rPr>
        <w:t xml:space="preserve">采集JSON未提供可核对的北向资金最新净买入额，原因是本轮数据链没有形成该字段；不估算、不据此确认外资流入或流出。</w:t>
      </w:r>
    </w:p>
    <w:p>
      <w:pPr>
        <w:pStyle w:val="Compact"/>
        <w:numPr>
          <w:ilvl w:val="0"/>
          <w:numId w:val="1035"/>
        </w:numPr>
      </w:pPr>
      <w:r>
        <w:rPr>
          <w:rFonts w:hint="eastAsia"/>
        </w:rPr>
        <w:t xml:space="preserve">盘前判断：离岸压力可控，但A50没有确认高开方向，A股开盘后仍需以人民币、宽基ETF和成交额三项共同验证。</w:t>
      </w:r>
    </w:p>
    <w:bookmarkEnd w:id="55"/>
    <w:bookmarkStart w:id="56" w:name="收盘证据核对"/>
    <w:p>
      <w:pPr>
        <w:pStyle w:val="Heading2"/>
      </w:pPr>
      <w:r>
        <w:t xml:space="preserve">📝 </w:t>
      </w:r>
      <w:r>
        <w:rPr>
          <w:rFonts w:hint="eastAsia"/>
        </w:rPr>
        <w:t xml:space="preserve">收盘证据核对</w:t>
      </w:r>
    </w:p>
    <w:p>
      <w:pPr>
        <w:pStyle w:val="Compact"/>
        <w:numPr>
          <w:ilvl w:val="0"/>
          <w:numId w:val="1036"/>
        </w:numPr>
      </w:pPr>
      <w:r>
        <w:rPr>
          <w:rFonts w:hint="eastAsia"/>
        </w:rPr>
        <w:t xml:space="preserve">今日没有可用的当日盘前或午盘正式报告作为策略评分基准，无法生成策略评分、命中率或综合分；原因是</w:t>
      </w:r>
      <w:r>
        <w:rPr>
          <w:rStyle w:val="VerbatimChar"/>
        </w:rPr>
        <w:t xml:space="preserve">strategy_review.available_docs</w:t>
      </w:r>
      <w:r>
        <w:rPr>
          <w:rFonts w:hint="eastAsia"/>
        </w:rPr>
        <w:t xml:space="preserve">显示morning与noon均为false。</w:t>
      </w:r>
    </w:p>
    <w:p>
      <w:pPr>
        <w:pStyle w:val="Compact"/>
        <w:numPr>
          <w:ilvl w:val="0"/>
          <w:numId w:val="1036"/>
        </w:numPr>
      </w:pPr>
      <w:r>
        <w:rPr>
          <w:rFonts w:hint="eastAsia"/>
        </w:rPr>
        <w:t xml:space="preserve">收盘后改为核对以下证据：</w:t>
      </w:r>
    </w:p>
    <w:p>
      <w:pPr>
        <w:pStyle w:val="Compact"/>
        <w:numPr>
          <w:ilvl w:val="1"/>
          <w:numId w:val="1037"/>
        </w:numPr>
      </w:pPr>
      <w:r>
        <w:rPr>
          <w:rFonts w:hint="eastAsia"/>
        </w:rPr>
        <w:t xml:space="preserve">通信设备、半导体、元件是否继续位居资金流入前列。</w:t>
      </w:r>
    </w:p>
    <w:p>
      <w:pPr>
        <w:pStyle w:val="Compact"/>
        <w:numPr>
          <w:ilvl w:val="1"/>
          <w:numId w:val="1037"/>
        </w:numPr>
      </w:pPr>
      <w:r>
        <w:rPr>
          <w:rFonts w:hint="eastAsia"/>
        </w:rPr>
        <w:t xml:space="preserve">全市场成交额是否维持或超过16420.93亿元。</w:t>
      </w:r>
    </w:p>
    <w:p>
      <w:pPr>
        <w:pStyle w:val="Compact"/>
        <w:numPr>
          <w:ilvl w:val="1"/>
          <w:numId w:val="1037"/>
        </w:numPr>
      </w:pPr>
      <w:r>
        <w:rPr>
          <w:rFonts w:hint="eastAsia"/>
        </w:rPr>
        <w:t xml:space="preserve">沪深300ETF与创业板50ETF份额连续流入是否延续。</w:t>
      </w:r>
    </w:p>
    <w:p>
      <w:pPr>
        <w:pStyle w:val="Compact"/>
        <w:numPr>
          <w:ilvl w:val="1"/>
          <w:numId w:val="1037"/>
        </w:numPr>
      </w:pPr>
      <w:r>
        <w:t xml:space="preserve">300ETF </w:t>
      </w:r>
      <w:r>
        <w:rPr>
          <w:rFonts w:hint="eastAsia"/>
        </w:rPr>
        <w:t xml:space="preserve">QVIX是否继续低于20.28并保持远离22.10峰值。</w:t>
      </w:r>
    </w:p>
    <w:p>
      <w:pPr>
        <w:pStyle w:val="Compact"/>
        <w:numPr>
          <w:ilvl w:val="1"/>
          <w:numId w:val="1037"/>
        </w:numPr>
      </w:pPr>
      <w:r>
        <w:rPr>
          <w:rFonts w:hint="eastAsia"/>
        </w:rPr>
        <w:t xml:space="preserve">电池、券商、软件开发的资金流出是否收敛。</w:t>
      </w:r>
    </w:p>
    <w:p>
      <w:pPr>
        <w:pStyle w:val="Compact"/>
        <w:numPr>
          <w:ilvl w:val="1"/>
          <w:numId w:val="1037"/>
        </w:numPr>
      </w:pPr>
      <w:r>
        <w:rPr>
          <w:rFonts w:hint="eastAsia"/>
        </w:rPr>
        <w:t xml:space="preserve">重点公告股是否出现业绩兑现、减值冲击或高开回落。</w:t>
      </w:r>
    </w:p>
    <w:p>
      <w:pPr>
        <w:pStyle w:val="BlockText"/>
      </w:pPr>
      <w:r>
        <w:t xml:space="preserve">📊 </w:t>
      </w:r>
      <w:r>
        <w:rPr>
          <w:rFonts w:hint="eastAsia"/>
        </w:rPr>
        <w:t xml:space="preserve">生成时间：2026-10-29</w:t>
      </w:r>
      <w:r>
        <w:t xml:space="preserve"> 08:30:55 +0800</w:t>
      </w:r>
      <w:r>
        <w:br/>
      </w:r>
      <w:r>
        <w:t xml:space="preserve">🦞 </w:t>
      </w:r>
      <w:r>
        <w:rPr>
          <w:rFonts w:hint="eastAsia"/>
        </w:rPr>
        <w:t xml:space="preserve">by：奇迹早知道</w:t>
      </w:r>
      <w:r>
        <w:t xml:space="preserve"> v4.1</w:t>
      </w:r>
      <w:r>
        <w:br/>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br/>
      </w:r>
      <w:r>
        <w:t xml:space="preserve">🔴 </w:t>
      </w:r>
      <w:r>
        <w:rPr>
          <w:rFonts w:hint="eastAsia"/>
        </w:rPr>
        <w:t xml:space="preserve">分析+写稿模型：GPT-5.6</w:t>
      </w:r>
      <w:r>
        <w:t xml:space="preserve"> Sol (openai-codex)</w:t>
      </w:r>
      <w:r>
        <w:br/>
      </w:r>
      <w:r>
        <w:t xml:space="preserve">📄 </w:t>
      </w:r>
      <w:r>
        <w:rPr>
          <w:rFonts w:hint="eastAsia"/>
        </w:rPr>
        <w:t xml:space="preserve">文档生成：pandoc</w:t>
      </w:r>
      <w:r>
        <w:t xml:space="preserve"> (markdown → docx)</w:t>
      </w:r>
    </w:p>
    <w:bookmarkEnd w:id="56"/>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2026-10-29T00:39:26Z</dcterms:created>
  <dcterms:modified xsi:type="dcterms:W3CDTF">2026-10-29T00:39:26Z</dcterms:modified>
</cp:coreProperties>
</file>

<file path=docProps/custom.xml><?xml version="1.0" encoding="utf-8"?>
<Properties xmlns="http://schemas.openxmlformats.org/officeDocument/2006/custom-properties" xmlns:vt="http://schemas.openxmlformats.org/officeDocument/2006/docPropsVTypes"/>
</file>