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0" w:name="奇迹早知道2026年10月22日盘前简报"/>
    <w:p>
      <w:pPr>
        <w:pStyle w:val="Heading1"/>
      </w:pPr>
      <w:r>
        <w:t xml:space="preserve">🌅 </w:t>
      </w:r>
      <w:r>
        <w:rPr>
          <w:rFonts w:hint="eastAsia"/>
        </w:rPr>
        <w:t xml:space="preserve">奇迹早知道｜2026年10月22日盘前简报</w:t>
      </w:r>
    </w:p>
    <w:bookmarkStart w:id="12" w:name="隔夜全球市场风险偏好回升半导体链集体上涨"/>
    <w:p>
      <w:pPr>
        <w:pStyle w:val="Heading2"/>
      </w:pPr>
      <w:r>
        <w:t xml:space="preserve">🌍 </w:t>
      </w:r>
      <w:r>
        <w:rPr>
          <w:rFonts w:hint="eastAsia"/>
        </w:rPr>
        <w:t xml:space="preserve">隔夜全球市场：风险偏好回升，半导体链集体上涨</w:t>
      </w:r>
    </w:p>
    <w:bookmarkStart w:id="9" w:name="美股三大指数"/>
    <w:p>
      <w:pPr>
        <w:pStyle w:val="Heading3"/>
      </w:pPr>
      <w:r>
        <w:t xml:space="preserve">📈🔴 </w:t>
      </w:r>
      <w:r>
        <w:rPr>
          <w:rFonts w:hint="eastAsia"/>
        </w:rPr>
        <w:t xml:space="preserve">美股三大指数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52856.09</w:t>
            </w:r>
          </w:p>
        </w:tc>
        <w:tc>
          <w:tcPr/>
          <w:p>
            <w:pPr>
              <w:pStyle w:val="Compact"/>
              <w:jc w:val="right"/>
            </w:pPr>
            <w:r>
              <w:t xml:space="preserve">📈 +0.69%</w:t>
            </w:r>
          </w:p>
        </w:tc>
      </w:tr>
      <w:tr>
        <w:tc>
          <w:tcPr/>
          <w:p>
            <w:pPr>
              <w:pStyle w:val="Compact"/>
            </w:pPr>
            <w:r>
              <w:rPr>
                <w:rFonts w:hint="eastAsia"/>
              </w:rPr>
              <w:t xml:space="preserve">纳斯达克</w:t>
            </w:r>
          </w:p>
        </w:tc>
        <w:tc>
          <w:tcPr/>
          <w:p>
            <w:pPr>
              <w:pStyle w:val="Compact"/>
              <w:jc w:val="right"/>
            </w:pPr>
            <w:r>
              <w:t xml:space="preserve">26702.86</w:t>
            </w:r>
          </w:p>
        </w:tc>
        <w:tc>
          <w:tcPr/>
          <w:p>
            <w:pPr>
              <w:pStyle w:val="Compact"/>
              <w:jc w:val="right"/>
            </w:pPr>
            <w:r>
              <w:t xml:space="preserve">📈 +1.05%</w:t>
            </w:r>
          </w:p>
        </w:tc>
      </w:tr>
      <w:tr>
        <w:tc>
          <w:tcPr/>
          <w:p>
            <w:pPr>
              <w:pStyle w:val="Compact"/>
            </w:pPr>
            <w:r>
              <w:rPr>
                <w:rFonts w:hint="eastAsia"/>
              </w:rPr>
              <w:t xml:space="preserve">标普500</w:t>
            </w:r>
          </w:p>
        </w:tc>
        <w:tc>
          <w:tcPr/>
          <w:p>
            <w:pPr>
              <w:pStyle w:val="Compact"/>
              <w:jc w:val="right"/>
            </w:pPr>
            <w:r>
              <w:t xml:space="preserve">7757.17</w:t>
            </w:r>
          </w:p>
        </w:tc>
        <w:tc>
          <w:tcPr/>
          <w:p>
            <w:pPr>
              <w:pStyle w:val="Compact"/>
              <w:jc w:val="right"/>
            </w:pPr>
            <w:r>
              <w:t xml:space="preserve">📈 +0.58%</w:t>
            </w:r>
          </w:p>
        </w:tc>
      </w:tr>
    </w:tbl>
    <w:p>
      <w:pPr>
        <w:pStyle w:val="Compact"/>
        <w:numPr>
          <w:ilvl w:val="0"/>
          <w:numId w:val="1001"/>
        </w:numPr>
      </w:pPr>
      <w:r>
        <w:t xml:space="preserve">📈 </w:t>
      </w:r>
      <w:r>
        <w:rPr>
          <w:rFonts w:hint="eastAsia"/>
        </w:rPr>
        <w:t xml:space="preserve">纳斯达克涨幅领先，隔夜风险偏好向成长科技倾斜。</w:t>
      </w:r>
    </w:p>
    <w:p>
      <w:pPr>
        <w:pStyle w:val="Compact"/>
        <w:numPr>
          <w:ilvl w:val="0"/>
          <w:numId w:val="1001"/>
        </w:numPr>
      </w:pPr>
      <w:r>
        <w:t xml:space="preserve">🔴 </w:t>
      </w:r>
      <w:r>
        <w:rPr>
          <w:rFonts w:hint="eastAsia"/>
        </w:rPr>
        <w:t xml:space="preserve">三大指数全部收涨，对A股科技方向开盘情绪构成正向映射。</w:t>
      </w:r>
    </w:p>
    <w:p>
      <w:pPr>
        <w:pStyle w:val="Compact"/>
        <w:numPr>
          <w:ilvl w:val="0"/>
          <w:numId w:val="1001"/>
        </w:numPr>
      </w:pPr>
      <w:r>
        <w:t xml:space="preserve">⚠️ </w:t>
      </w:r>
      <w:r>
        <w:rPr>
          <w:rFonts w:hint="eastAsia"/>
        </w:rPr>
        <w:t xml:space="preserve">美股上涨只能提供情绪催化，不能替代A股自身量价与趋势确认。</w:t>
      </w:r>
    </w:p>
    <w:bookmarkEnd w:id="9"/>
    <w:bookmarkStart w:id="10" w:name="五只核心半导体股"/>
    <w:p>
      <w:pPr>
        <w:pStyle w:val="Heading3"/>
      </w:pPr>
      <w:r>
        <w:t xml:space="preserve">📈🔴 </w:t>
      </w:r>
      <w:r>
        <w:rPr>
          <w:rFonts w:hint="eastAsia"/>
        </w:rPr>
        <w:t xml:space="preserve">五只核心半导体股</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公司</w:t>
            </w:r>
          </w:p>
        </w:tc>
        <w:tc>
          <w:tcPr/>
          <w:p>
            <w:pPr>
              <w:pStyle w:val="Compact"/>
              <w:jc w:val="right"/>
            </w:pPr>
            <w:r>
              <w:rPr>
                <w:rFonts w:hint="eastAsia"/>
              </w:rPr>
              <w:t xml:space="preserve">收盘价（美元）</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t xml:space="preserve">221.97</w:t>
            </w:r>
          </w:p>
        </w:tc>
        <w:tc>
          <w:tcPr/>
          <w:p>
            <w:pPr>
              <w:pStyle w:val="Compact"/>
              <w:jc w:val="right"/>
            </w:pPr>
            <w:r>
              <w:t xml:space="preserve">📈 +2.54%</w:t>
            </w:r>
          </w:p>
        </w:tc>
      </w:tr>
      <w:tr>
        <w:tc>
          <w:tcPr/>
          <w:p>
            <w:pPr>
              <w:pStyle w:val="Compact"/>
            </w:pPr>
            <w:r>
              <w:t xml:space="preserve">AMD</w:t>
            </w:r>
          </w:p>
        </w:tc>
        <w:tc>
          <w:tcPr/>
          <w:p>
            <w:pPr>
              <w:pStyle w:val="Compact"/>
              <w:jc w:val="right"/>
            </w:pPr>
            <w:r>
              <w:t xml:space="preserve">552.72</w:t>
            </w:r>
          </w:p>
        </w:tc>
        <w:tc>
          <w:tcPr/>
          <w:p>
            <w:pPr>
              <w:pStyle w:val="Compact"/>
              <w:jc w:val="right"/>
            </w:pPr>
            <w:r>
              <w:t xml:space="preserve">📈 +3.36%</w:t>
            </w:r>
          </w:p>
        </w:tc>
      </w:tr>
      <w:tr>
        <w:tc>
          <w:tcPr/>
          <w:p>
            <w:pPr>
              <w:pStyle w:val="Compact"/>
            </w:pPr>
            <w:r>
              <w:rPr>
                <w:rFonts w:hint="eastAsia"/>
              </w:rPr>
              <w:t xml:space="preserve">台积电</w:t>
            </w:r>
          </w:p>
        </w:tc>
        <w:tc>
          <w:tcPr/>
          <w:p>
            <w:pPr>
              <w:pStyle w:val="Compact"/>
              <w:jc w:val="right"/>
            </w:pPr>
            <w:r>
              <w:t xml:space="preserve">431.89</w:t>
            </w:r>
          </w:p>
        </w:tc>
        <w:tc>
          <w:tcPr/>
          <w:p>
            <w:pPr>
              <w:pStyle w:val="Compact"/>
              <w:jc w:val="right"/>
            </w:pPr>
            <w:r>
              <w:t xml:space="preserve">📈 +1.60%</w:t>
            </w:r>
          </w:p>
        </w:tc>
      </w:tr>
      <w:tr>
        <w:tc>
          <w:tcPr/>
          <w:p>
            <w:pPr>
              <w:pStyle w:val="Compact"/>
            </w:pPr>
            <w:r>
              <w:rPr>
                <w:rFonts w:hint="eastAsia"/>
              </w:rPr>
              <w:t xml:space="preserve">博通</w:t>
            </w:r>
          </w:p>
        </w:tc>
        <w:tc>
          <w:tcPr/>
          <w:p>
            <w:pPr>
              <w:pStyle w:val="Compact"/>
              <w:jc w:val="right"/>
            </w:pPr>
            <w:r>
              <w:t xml:space="preserve">337.80</w:t>
            </w:r>
          </w:p>
        </w:tc>
        <w:tc>
          <w:tcPr/>
          <w:p>
            <w:pPr>
              <w:pStyle w:val="Compact"/>
              <w:jc w:val="right"/>
            </w:pPr>
            <w:r>
              <w:t xml:space="preserve">📈 +1.03%</w:t>
            </w:r>
          </w:p>
        </w:tc>
      </w:tr>
      <w:tr>
        <w:tc>
          <w:tcPr/>
          <w:p>
            <w:pPr>
              <w:pStyle w:val="Compact"/>
            </w:pPr>
            <w:r>
              <w:rPr>
                <w:rFonts w:hint="eastAsia"/>
              </w:rPr>
              <w:t xml:space="preserve">美光</w:t>
            </w:r>
          </w:p>
        </w:tc>
        <w:tc>
          <w:tcPr/>
          <w:p>
            <w:pPr>
              <w:pStyle w:val="Compact"/>
              <w:jc w:val="right"/>
            </w:pPr>
            <w:r>
              <w:t xml:space="preserve">913.67</w:t>
            </w:r>
          </w:p>
        </w:tc>
        <w:tc>
          <w:tcPr/>
          <w:p>
            <w:pPr>
              <w:pStyle w:val="Compact"/>
              <w:jc w:val="right"/>
            </w:pPr>
            <w:r>
              <w:t xml:space="preserve">📈 +1.96%</w:t>
            </w:r>
          </w:p>
        </w:tc>
      </w:tr>
    </w:tbl>
    <w:p>
      <w:pPr>
        <w:pStyle w:val="Compact"/>
        <w:numPr>
          <w:ilvl w:val="0"/>
          <w:numId w:val="1002"/>
        </w:numPr>
      </w:pPr>
      <w:r>
        <w:t xml:space="preserve">📈 </w:t>
      </w:r>
      <w:r>
        <w:rPr>
          <w:rFonts w:hint="eastAsia"/>
        </w:rPr>
        <w:t xml:space="preserve">五只核心半导体股全部上涨，AMD、英伟达领涨。</w:t>
      </w:r>
    </w:p>
    <w:p>
      <w:pPr>
        <w:pStyle w:val="Compact"/>
        <w:numPr>
          <w:ilvl w:val="0"/>
          <w:numId w:val="1002"/>
        </w:numPr>
      </w:pPr>
      <w:r>
        <w:t xml:space="preserve">💡 </w:t>
      </w:r>
      <w:r>
        <w:rPr>
          <w:rFonts w:hint="eastAsia"/>
        </w:rPr>
        <w:t xml:space="preserve">对A股的直接映射集中在算力芯片、存储、先进封装、光模块、PCB及半导体设备。</w:t>
      </w:r>
    </w:p>
    <w:p>
      <w:pPr>
        <w:pStyle w:val="Compact"/>
        <w:numPr>
          <w:ilvl w:val="0"/>
          <w:numId w:val="1002"/>
        </w:numPr>
      </w:pPr>
      <w:r>
        <w:t xml:space="preserve">⚠️ </w:t>
      </w:r>
      <w:r>
        <w:rPr>
          <w:rFonts w:hint="eastAsia"/>
        </w:rPr>
        <w:t xml:space="preserve">A股重点科技股的TickFlow日K校验没有A/B级右侧标的，隔夜催化更适合观察修复强度，不适合开盘追高。</w:t>
      </w:r>
    </w:p>
    <w:bookmarkEnd w:id="10"/>
    <w:bookmarkStart w:id="11" w:name="其他关键资产"/>
    <w:p>
      <w:pPr>
        <w:pStyle w:val="Heading3"/>
      </w:pPr>
      <w:r>
        <w:t xml:space="preserve">🌐 </w:t>
      </w:r>
      <w:r>
        <w:rPr>
          <w:rFonts w:hint="eastAsia"/>
        </w:rPr>
        <w:t xml:space="preserve">其他关键资产</w:t>
      </w:r>
    </w:p>
    <w:p>
      <w:pPr>
        <w:pStyle w:val="Compact"/>
        <w:numPr>
          <w:ilvl w:val="0"/>
          <w:numId w:val="1003"/>
        </w:numPr>
      </w:pPr>
      <w:r>
        <w:t xml:space="preserve">📈 </w:t>
      </w:r>
      <w:r>
        <w:rPr>
          <w:rFonts w:hint="eastAsia"/>
        </w:rPr>
        <w:t xml:space="preserve">富时中国A50期指报13202.96点，上涨0.30%。</w:t>
      </w:r>
    </w:p>
    <w:p>
      <w:pPr>
        <w:pStyle w:val="Compact"/>
        <w:numPr>
          <w:ilvl w:val="0"/>
          <w:numId w:val="1003"/>
        </w:numPr>
      </w:pPr>
      <w:r>
        <w:t xml:space="preserve">🟢 </w:t>
      </w:r>
      <w:r>
        <w:rPr>
          <w:rFonts w:hint="eastAsia"/>
        </w:rPr>
        <w:t xml:space="preserve">恒生指数上一时段报23867.74点，下跌0.90%，港股风险偏好仍弱于美股。</w:t>
      </w:r>
    </w:p>
    <w:p>
      <w:pPr>
        <w:pStyle w:val="Compact"/>
        <w:numPr>
          <w:ilvl w:val="0"/>
          <w:numId w:val="1003"/>
        </w:numPr>
      </w:pPr>
      <w:r>
        <w:t xml:space="preserve">📈 </w:t>
      </w:r>
      <w:r>
        <w:rPr>
          <w:rFonts w:hint="eastAsia"/>
        </w:rPr>
        <w:t xml:space="preserve">WTI原油报98.071美元，上涨0.95%。</w:t>
      </w:r>
    </w:p>
    <w:p>
      <w:pPr>
        <w:pStyle w:val="Compact"/>
        <w:numPr>
          <w:ilvl w:val="0"/>
          <w:numId w:val="1003"/>
        </w:numPr>
      </w:pPr>
      <w:r>
        <w:t xml:space="preserve">🟢 </w:t>
      </w:r>
      <w:r>
        <w:rPr>
          <w:rFonts w:hint="eastAsia"/>
        </w:rPr>
        <w:t xml:space="preserve">COMEX黄金报4135.703美元，下跌0.34%。</w:t>
      </w:r>
    </w:p>
    <w:p>
      <w:pPr>
        <w:pStyle w:val="Compact"/>
        <w:numPr>
          <w:ilvl w:val="0"/>
          <w:numId w:val="1003"/>
        </w:numPr>
      </w:pPr>
      <w:r>
        <w:t xml:space="preserve">🟢 </w:t>
      </w:r>
      <w:r>
        <w:rPr>
          <w:rFonts w:hint="eastAsia"/>
        </w:rPr>
        <w:t xml:space="preserve">伦铜报14335.65，下跌0.14%。</w:t>
      </w:r>
    </w:p>
    <w:p>
      <w:pPr>
        <w:pStyle w:val="Compact"/>
        <w:numPr>
          <w:ilvl w:val="0"/>
          <w:numId w:val="1003"/>
        </w:numPr>
      </w:pPr>
      <w:r>
        <w:rPr>
          <w:rFonts w:hint="eastAsia"/>
        </w:rPr>
        <w:t xml:space="preserve">离岸人民币报6.6728，美元兑离岸人民币下跌0.01%，汇率端总体平稳。</w:t>
      </w:r>
    </w:p>
    <w:p>
      <w:r>
        <w:pict>
          <v:rect style="width:0;height:1.5pt" o:hralign="center" o:hrstd="t" o:hr="t"/>
        </w:pict>
      </w:r>
    </w:p>
    <w:bookmarkEnd w:id="11"/>
    <w:bookmarkEnd w:id="12"/>
    <w:bookmarkStart w:id="19" w:name="新闻联播政策面科技创新创投资金与应用场景形成主线闭环"/>
    <w:p>
      <w:pPr>
        <w:pStyle w:val="Heading2"/>
      </w:pPr>
      <w:r>
        <w:t xml:space="preserve">📰 </w:t>
      </w:r>
      <w:r>
        <w:rPr>
          <w:rFonts w:hint="eastAsia"/>
        </w:rPr>
        <w:t xml:space="preserve">新闻联播政策面：科技创新、创投资金与应用场景形成主线闭环</w:t>
      </w:r>
    </w:p>
    <w:bookmarkStart w:id="13" w:name="科技创新与产业创新深度融合"/>
    <w:p>
      <w:pPr>
        <w:pStyle w:val="Heading3"/>
      </w:pPr>
      <w:r>
        <w:t xml:space="preserve">🚀 </w:t>
      </w:r>
      <w:r>
        <w:rPr>
          <w:rFonts w:hint="eastAsia"/>
        </w:rPr>
        <w:t xml:space="preserve">科技创新与产业创新深度融合</w:t>
      </w:r>
    </w:p>
    <w:p>
      <w:pPr>
        <w:pStyle w:val="FirstParagraph"/>
      </w:pPr>
      <w:r>
        <w:rPr>
          <w:rFonts w:hint="eastAsia"/>
        </w:rPr>
        <w:t xml:space="preserve">10月21日《新闻联播》披露：</w:t>
      </w:r>
    </w:p>
    <w:p>
      <w:pPr>
        <w:pStyle w:val="Compact"/>
        <w:numPr>
          <w:ilvl w:val="0"/>
          <w:numId w:val="1004"/>
        </w:numPr>
      </w:pPr>
      <w:r>
        <w:rPr>
          <w:rFonts w:hint="eastAsia"/>
        </w:rPr>
        <w:t xml:space="preserve">集成电路关键核心技术攻关取得突破。</w:t>
      </w:r>
    </w:p>
    <w:p>
      <w:pPr>
        <w:pStyle w:val="Compact"/>
        <w:numPr>
          <w:ilvl w:val="0"/>
          <w:numId w:val="1004"/>
        </w:numPr>
      </w:pPr>
      <w:r>
        <w:rPr>
          <w:rFonts w:hint="eastAsia"/>
        </w:rPr>
        <w:t xml:space="preserve">AI开源大模型全球累计下载量突破100亿次。</w:t>
      </w:r>
    </w:p>
    <w:p>
      <w:pPr>
        <w:pStyle w:val="Compact"/>
        <w:numPr>
          <w:ilvl w:val="0"/>
          <w:numId w:val="1004"/>
        </w:numPr>
      </w:pPr>
      <w:r>
        <w:rPr>
          <w:rFonts w:hint="eastAsia"/>
        </w:rPr>
        <w:t xml:space="preserve">人形机器人出货量全球占比超过90%。</w:t>
      </w:r>
    </w:p>
    <w:p>
      <w:pPr>
        <w:pStyle w:val="Compact"/>
        <w:numPr>
          <w:ilvl w:val="0"/>
          <w:numId w:val="1004"/>
        </w:numPr>
      </w:pPr>
      <w:r>
        <w:rPr>
          <w:rFonts w:hint="eastAsia"/>
        </w:rPr>
        <w:t xml:space="preserve">前三季度创新药对外技术授权达到1300亿美元。</w:t>
      </w:r>
    </w:p>
    <w:p>
      <w:pPr>
        <w:pStyle w:val="Compact"/>
        <w:numPr>
          <w:ilvl w:val="0"/>
          <w:numId w:val="1004"/>
        </w:numPr>
      </w:pPr>
      <w:r>
        <w:rPr>
          <w:rFonts w:hint="eastAsia"/>
        </w:rPr>
        <w:t xml:space="preserve">新能源汽车渗透率达到53.6%。</w:t>
      </w:r>
    </w:p>
    <w:p>
      <w:pPr>
        <w:pStyle w:val="Compact"/>
        <w:numPr>
          <w:ilvl w:val="0"/>
          <w:numId w:val="1004"/>
        </w:numPr>
      </w:pPr>
      <w:r>
        <w:rPr>
          <w:rFonts w:hint="eastAsia"/>
        </w:rPr>
        <w:t xml:space="preserve">数据产业规模超过6万亿元。</w:t>
      </w:r>
    </w:p>
    <w:p>
      <w:pPr>
        <w:pStyle w:val="FirstParagraph"/>
      </w:pPr>
      <w:r>
        <w:t xml:space="preserve">💡 </w:t>
      </w:r>
      <w:r>
        <w:rPr>
          <w:rFonts w:hint="eastAsia"/>
        </w:rPr>
        <w:t xml:space="preserve">A股映射：</w:t>
      </w:r>
    </w:p>
    <w:p>
      <w:pPr>
        <w:numPr>
          <w:ilvl w:val="0"/>
          <w:numId w:val="1005"/>
        </w:numPr>
      </w:pPr>
      <w:r>
        <w:rPr>
          <w:rFonts w:hint="eastAsia"/>
          <w:b/>
          <w:bCs/>
        </w:rPr>
        <w:t xml:space="preserve">集成电路与自主可控</w:t>
      </w:r>
      <w:r>
        <w:br/>
      </w:r>
      <w:r>
        <w:rPr>
          <w:rFonts w:hint="eastAsia"/>
        </w:rPr>
        <w:t xml:space="preserve">对半导体设计、制造、设备、材料、存储形成中期政策支撑。昨日半导体板块主力净流入9.52亿元，但半导体设备净流出13.93亿元，说明板块内部并非普涨，资金更偏向有业绩和成交额承载力的细分龙头。</w:t>
      </w:r>
    </w:p>
    <w:p>
      <w:pPr>
        <w:numPr>
          <w:ilvl w:val="0"/>
          <w:numId w:val="1005"/>
        </w:numPr>
      </w:pPr>
      <w:r>
        <w:rPr>
          <w:rFonts w:hint="eastAsia"/>
          <w:b/>
          <w:bCs/>
        </w:rPr>
        <w:t xml:space="preserve">人工智能与算力基础设施</w:t>
      </w:r>
      <w:r>
        <w:br/>
      </w:r>
      <w:r>
        <w:rPr>
          <w:rFonts w:hint="eastAsia"/>
        </w:rPr>
        <w:t xml:space="preserve">甘肃庆阳“东数西算”产业园继续扩容，叠加物理AI与世界模型大会重点项目签约金额超过60亿元，利好算力、光模块、服务器、数据中心配套及AI应用。</w:t>
      </w:r>
    </w:p>
    <w:p>
      <w:pPr>
        <w:numPr>
          <w:ilvl w:val="0"/>
          <w:numId w:val="1005"/>
        </w:numPr>
      </w:pPr>
      <w:r>
        <w:rPr>
          <w:rFonts w:hint="eastAsia"/>
          <w:b/>
          <w:bCs/>
        </w:rPr>
        <w:t xml:space="preserve">人形机器人与高端装备</w:t>
      </w:r>
      <w:r>
        <w:br/>
      </w:r>
      <w:r>
        <w:rPr>
          <w:rFonts w:hint="eastAsia"/>
        </w:rPr>
        <w:t xml:space="preserve">人形机器人出货量占全球比重超过90%，政策方向明确，但当前采集数据没有形成机器人方向的资金、趋势和重点股三重确认，今日只能观察，不能仅凭政策表述追涨。</w:t>
      </w:r>
    </w:p>
    <w:p>
      <w:pPr>
        <w:numPr>
          <w:ilvl w:val="0"/>
          <w:numId w:val="1005"/>
        </w:numPr>
      </w:pPr>
      <w:r>
        <w:rPr>
          <w:rFonts w:hint="eastAsia"/>
          <w:b/>
          <w:bCs/>
        </w:rPr>
        <w:t xml:space="preserve">创新药</w:t>
      </w:r>
      <w:r>
        <w:br/>
      </w:r>
      <w:r>
        <w:rPr>
          <w:rFonts w:hint="eastAsia"/>
        </w:rPr>
        <w:t xml:space="preserve">创新药对外技术授权达到1300亿美元，上海谊众披露创新药YXC-001Ⅰ期临床试验完成首个剂量组首次给药。政策与产业事件形成正向共振，但临床早期项目仍存在研发失败和商业化周期风险。</w:t>
      </w:r>
    </w:p>
    <w:bookmarkEnd w:id="13"/>
    <w:bookmarkStart w:id="14" w:name="央行金融政策科技金融与市场流动性工具扩容"/>
    <w:p>
      <w:pPr>
        <w:pStyle w:val="Heading3"/>
      </w:pPr>
      <w:r>
        <w:t xml:space="preserve">💰 </w:t>
      </w:r>
      <w:r>
        <w:rPr>
          <w:rFonts w:hint="eastAsia"/>
        </w:rPr>
        <w:t xml:space="preserve">央行金融政策：科技金融与市场流动性工具扩容</w:t>
      </w:r>
    </w:p>
    <w:p>
      <w:pPr>
        <w:pStyle w:val="FirstParagraph"/>
      </w:pPr>
      <w:r>
        <w:rPr>
          <w:rFonts w:hint="eastAsia"/>
        </w:rPr>
        <w:t xml:space="preserve">中国人民银行宣布：</w:t>
      </w:r>
    </w:p>
    <w:p>
      <w:pPr>
        <w:pStyle w:val="Compact"/>
        <w:numPr>
          <w:ilvl w:val="0"/>
          <w:numId w:val="1006"/>
        </w:numPr>
      </w:pPr>
      <w:r>
        <w:rPr>
          <w:rFonts w:hint="eastAsia"/>
        </w:rPr>
        <w:t xml:space="preserve">支持北京、上海、粤港澳大湾区打造国际级创投中心。</w:t>
      </w:r>
    </w:p>
    <w:p>
      <w:pPr>
        <w:pStyle w:val="Compact"/>
        <w:numPr>
          <w:ilvl w:val="0"/>
          <w:numId w:val="1006"/>
        </w:numPr>
      </w:pPr>
      <w:r>
        <w:rPr>
          <w:rFonts w:hint="eastAsia"/>
        </w:rPr>
        <w:t xml:space="preserve">将研发投入较高的民营中小企业纳入科技创新和技术改造再贷款支持范围。</w:t>
      </w:r>
    </w:p>
    <w:p>
      <w:pPr>
        <w:pStyle w:val="Compact"/>
        <w:numPr>
          <w:ilvl w:val="0"/>
          <w:numId w:val="1006"/>
        </w:numPr>
      </w:pPr>
      <w:r>
        <w:rPr>
          <w:rFonts w:hint="eastAsia"/>
        </w:rPr>
        <w:t xml:space="preserve">推动“创新积分制”在京津冀、长三角、粤港澳大湾区互联互通互认。</w:t>
      </w:r>
    </w:p>
    <w:p>
      <w:pPr>
        <w:pStyle w:val="Compact"/>
        <w:numPr>
          <w:ilvl w:val="0"/>
          <w:numId w:val="1006"/>
        </w:numPr>
      </w:pPr>
      <w:r>
        <w:rPr>
          <w:rFonts w:hint="eastAsia"/>
        </w:rPr>
        <w:t xml:space="preserve">推出应对非银机构大额赎回的流动性支持工具。</w:t>
      </w:r>
    </w:p>
    <w:p>
      <w:pPr>
        <w:pStyle w:val="Compact"/>
        <w:numPr>
          <w:ilvl w:val="0"/>
          <w:numId w:val="1006"/>
        </w:numPr>
      </w:pPr>
      <w:r>
        <w:rPr>
          <w:rFonts w:hint="eastAsia"/>
        </w:rPr>
        <w:t xml:space="preserve">扩大常备借贷便利适用机构范围。</w:t>
      </w:r>
    </w:p>
    <w:p>
      <w:pPr>
        <w:pStyle w:val="Compact"/>
        <w:numPr>
          <w:ilvl w:val="0"/>
          <w:numId w:val="1006"/>
        </w:numPr>
      </w:pPr>
      <w:r>
        <w:rPr>
          <w:rFonts w:hint="eastAsia"/>
        </w:rPr>
        <w:t xml:space="preserve">推动银行间与交易所债券市场互联互通。</w:t>
      </w:r>
    </w:p>
    <w:p>
      <w:pPr>
        <w:pStyle w:val="FirstParagraph"/>
      </w:pPr>
      <w:r>
        <w:t xml:space="preserve">💡 </w:t>
      </w:r>
      <w:r>
        <w:rPr>
          <w:rFonts w:hint="eastAsia"/>
        </w:rPr>
        <w:t xml:space="preserve">市场含义：</w:t>
      </w:r>
    </w:p>
    <w:p>
      <w:pPr>
        <w:pStyle w:val="Compact"/>
        <w:numPr>
          <w:ilvl w:val="0"/>
          <w:numId w:val="1007"/>
        </w:numPr>
      </w:pPr>
      <w:r>
        <w:rPr>
          <w:rFonts w:hint="eastAsia"/>
        </w:rPr>
        <w:t xml:space="preserve">科创企业融资环境改善，直接利好创投、专精特新、科技制造和高研发投入民营企业。</w:t>
      </w:r>
    </w:p>
    <w:p>
      <w:pPr>
        <w:pStyle w:val="Compact"/>
        <w:numPr>
          <w:ilvl w:val="0"/>
          <w:numId w:val="1007"/>
        </w:numPr>
      </w:pPr>
      <w:r>
        <w:rPr>
          <w:rFonts w:hint="eastAsia"/>
        </w:rPr>
        <w:t xml:space="preserve">非银流动性工具有助于降低极端赎回冲击，对券商、基金及债券市场稳定性偏正面。</w:t>
      </w:r>
    </w:p>
    <w:p>
      <w:pPr>
        <w:pStyle w:val="Compact"/>
        <w:numPr>
          <w:ilvl w:val="0"/>
          <w:numId w:val="1007"/>
        </w:numPr>
      </w:pPr>
      <w:r>
        <w:rPr>
          <w:rFonts w:hint="eastAsia"/>
        </w:rPr>
        <w:t xml:space="preserve">昨日证券Ⅱ主力净流出19.22亿元，政策利好能否转化为行情，需观察证券板块能否由净流出转为持续净流入。</w:t>
      </w:r>
    </w:p>
    <w:bookmarkEnd w:id="14"/>
    <w:bookmarkStart w:id="15" w:name="重大应用场景与新型基础设施"/>
    <w:p>
      <w:pPr>
        <w:pStyle w:val="Heading3"/>
      </w:pPr>
      <w:r>
        <w:t xml:space="preserve">🏗️ </w:t>
      </w:r>
      <w:r>
        <w:rPr>
          <w:rFonts w:hint="eastAsia"/>
        </w:rPr>
        <w:t xml:space="preserve">重大应用场景与新型基础设施</w:t>
      </w:r>
    </w:p>
    <w:p>
      <w:pPr>
        <w:pStyle w:val="FirstParagraph"/>
      </w:pPr>
      <w:r>
        <w:rPr>
          <w:rFonts w:hint="eastAsia"/>
        </w:rPr>
        <w:t xml:space="preserve">国家发展改革委等部门发布首批136项标志性重大应用场景项目，覆盖：</w:t>
      </w:r>
    </w:p>
    <w:p>
      <w:pPr>
        <w:pStyle w:val="Compact"/>
        <w:numPr>
          <w:ilvl w:val="0"/>
          <w:numId w:val="1008"/>
        </w:numPr>
      </w:pPr>
      <w:r>
        <w:rPr>
          <w:rFonts w:hint="eastAsia"/>
        </w:rPr>
        <w:t xml:space="preserve">新领域新赛道</w:t>
      </w:r>
    </w:p>
    <w:p>
      <w:pPr>
        <w:pStyle w:val="Compact"/>
        <w:numPr>
          <w:ilvl w:val="0"/>
          <w:numId w:val="1008"/>
        </w:numPr>
      </w:pPr>
      <w:r>
        <w:rPr>
          <w:rFonts w:hint="eastAsia"/>
        </w:rPr>
        <w:t xml:space="preserve">产业转型升级</w:t>
      </w:r>
    </w:p>
    <w:p>
      <w:pPr>
        <w:pStyle w:val="Compact"/>
        <w:numPr>
          <w:ilvl w:val="0"/>
          <w:numId w:val="1008"/>
        </w:numPr>
      </w:pPr>
      <w:r>
        <w:rPr>
          <w:rFonts w:hint="eastAsia"/>
        </w:rPr>
        <w:t xml:space="preserve">行业领域应用</w:t>
      </w:r>
    </w:p>
    <w:p>
      <w:pPr>
        <w:pStyle w:val="Compact"/>
        <w:numPr>
          <w:ilvl w:val="0"/>
          <w:numId w:val="1008"/>
        </w:numPr>
      </w:pPr>
      <w:r>
        <w:rPr>
          <w:rFonts w:hint="eastAsia"/>
        </w:rPr>
        <w:t xml:space="preserve">社会治理服务</w:t>
      </w:r>
    </w:p>
    <w:p>
      <w:pPr>
        <w:pStyle w:val="Compact"/>
        <w:numPr>
          <w:ilvl w:val="0"/>
          <w:numId w:val="1008"/>
        </w:numPr>
      </w:pPr>
      <w:r>
        <w:rPr>
          <w:rFonts w:hint="eastAsia"/>
        </w:rPr>
        <w:t xml:space="preserve">民生领域</w:t>
      </w:r>
    </w:p>
    <w:p>
      <w:pPr>
        <w:pStyle w:val="FirstParagraph"/>
      </w:pPr>
      <w:r>
        <w:t xml:space="preserve">💡 </w:t>
      </w:r>
      <w:r>
        <w:rPr>
          <w:rFonts w:hint="eastAsia"/>
        </w:rPr>
        <w:t xml:space="preserve">A股映射：</w:t>
      </w:r>
    </w:p>
    <w:p>
      <w:pPr>
        <w:pStyle w:val="Compact"/>
        <w:numPr>
          <w:ilvl w:val="0"/>
          <w:numId w:val="1009"/>
        </w:numPr>
      </w:pPr>
      <w:r>
        <w:rPr>
          <w:rFonts w:hint="eastAsia"/>
        </w:rPr>
        <w:t xml:space="preserve">利好AI应用、工业软件、数字政府、数据要素、智能制造和高端装备。</w:t>
      </w:r>
    </w:p>
    <w:p>
      <w:pPr>
        <w:pStyle w:val="Compact"/>
        <w:numPr>
          <w:ilvl w:val="0"/>
          <w:numId w:val="1009"/>
        </w:numPr>
      </w:pPr>
      <w:r>
        <w:rPr>
          <w:rFonts w:hint="eastAsia"/>
        </w:rPr>
        <w:t xml:space="preserve">昨日IT服务Ⅱ主力净流入11.43亿元，软件开发类板块上涨0.69%，已有资金响应。</w:t>
      </w:r>
    </w:p>
    <w:p>
      <w:pPr>
        <w:pStyle w:val="Compact"/>
        <w:numPr>
          <w:ilvl w:val="0"/>
          <w:numId w:val="1009"/>
        </w:numPr>
      </w:pPr>
      <w:r>
        <w:rPr>
          <w:rFonts w:hint="eastAsia"/>
        </w:rPr>
        <w:t xml:space="preserve">应重点区分“有订单、有场景、有收入”的公司与纯概念公司，避免将场景发布直接等同于利润兑现。</w:t>
      </w:r>
    </w:p>
    <w:bookmarkEnd w:id="15"/>
    <w:bookmarkStart w:id="16" w:name="能源转型与氢能应用"/>
    <w:p>
      <w:pPr>
        <w:pStyle w:val="Heading3"/>
      </w:pPr>
      <w:r>
        <w:t xml:space="preserve">⚡ </w:t>
      </w:r>
      <w:r>
        <w:rPr>
          <w:rFonts w:hint="eastAsia"/>
        </w:rPr>
        <w:t xml:space="preserve">能源转型与氢能应用</w:t>
      </w:r>
    </w:p>
    <w:p>
      <w:pPr>
        <w:pStyle w:val="Compact"/>
        <w:numPr>
          <w:ilvl w:val="0"/>
          <w:numId w:val="1010"/>
        </w:numPr>
      </w:pPr>
      <w:r>
        <w:rPr>
          <w:rFonts w:hint="eastAsia"/>
        </w:rPr>
        <w:t xml:space="preserve">京津冀氢能综合应用试点城市群正式启动，计划推广氢燃料电池汽车不少于1.2万辆，加氢站保有量超过100座。</w:t>
      </w:r>
    </w:p>
    <w:p>
      <w:pPr>
        <w:pStyle w:val="Compact"/>
        <w:numPr>
          <w:ilvl w:val="0"/>
          <w:numId w:val="1010"/>
        </w:numPr>
      </w:pPr>
      <w:r>
        <w:rPr>
          <w:rFonts w:hint="eastAsia"/>
        </w:rPr>
        <w:t xml:space="preserve">青海共和百万千瓦级清洁能源工程并网，年均上网电量可达25.3亿千瓦时。</w:t>
      </w:r>
    </w:p>
    <w:p>
      <w:pPr>
        <w:pStyle w:val="Compact"/>
        <w:numPr>
          <w:ilvl w:val="0"/>
          <w:numId w:val="1010"/>
        </w:numPr>
      </w:pPr>
      <w:r>
        <w:rPr>
          <w:rFonts w:hint="eastAsia"/>
        </w:rPr>
        <w:t xml:space="preserve">全国碳市场配额累计成交量突破10亿吨。</w:t>
      </w:r>
    </w:p>
    <w:p>
      <w:pPr>
        <w:pStyle w:val="FirstParagraph"/>
      </w:pPr>
      <w:r>
        <w:t xml:space="preserve">💡 </w:t>
      </w:r>
      <w:r>
        <w:rPr>
          <w:rFonts w:hint="eastAsia"/>
        </w:rPr>
        <w:t xml:space="preserve">A股映射：</w:t>
      </w:r>
    </w:p>
    <w:p>
      <w:pPr>
        <w:pStyle w:val="Compact"/>
        <w:numPr>
          <w:ilvl w:val="0"/>
          <w:numId w:val="1011"/>
        </w:numPr>
      </w:pPr>
      <w:r>
        <w:rPr>
          <w:rFonts w:hint="eastAsia"/>
        </w:rPr>
        <w:t xml:space="preserve">氢能装备、燃料电池、加氢站设备、碳监测和碳交易服务存在政策催化。</w:t>
      </w:r>
    </w:p>
    <w:p>
      <w:pPr>
        <w:pStyle w:val="Compact"/>
        <w:numPr>
          <w:ilvl w:val="0"/>
          <w:numId w:val="1011"/>
        </w:numPr>
      </w:pPr>
      <w:r>
        <w:rPr>
          <w:rFonts w:hint="eastAsia"/>
        </w:rPr>
        <w:t xml:space="preserve">但昨日电力设备净流出57.74亿元、太阳能净流出16.12亿元，新能源板块资金承接偏弱。</w:t>
      </w:r>
    </w:p>
    <w:p>
      <w:pPr>
        <w:pStyle w:val="Compact"/>
        <w:numPr>
          <w:ilvl w:val="0"/>
          <w:numId w:val="1011"/>
        </w:numPr>
      </w:pPr>
      <w:r>
        <w:rPr>
          <w:rFonts w:hint="eastAsia"/>
        </w:rPr>
        <w:t xml:space="preserve">今日即使出现高开，也应等待资金回流和右侧趋势确认，不能仅凭政策做逆势抄底。</w:t>
      </w:r>
    </w:p>
    <w:bookmarkEnd w:id="16"/>
    <w:bookmarkStart w:id="17" w:name="消费结构服务消费强于商品消费"/>
    <w:p>
      <w:pPr>
        <w:pStyle w:val="Heading3"/>
      </w:pPr>
      <w:r>
        <w:t xml:space="preserve">🛍️ </w:t>
      </w:r>
      <w:r>
        <w:rPr>
          <w:rFonts w:hint="eastAsia"/>
        </w:rPr>
        <w:t xml:space="preserve">消费结构：服务消费强于商品消费</w:t>
      </w:r>
    </w:p>
    <w:p>
      <w:pPr>
        <w:pStyle w:val="FirstParagraph"/>
      </w:pPr>
      <w:r>
        <w:rPr>
          <w:rFonts w:hint="eastAsia"/>
        </w:rPr>
        <w:t xml:space="preserve">前三季度：</w:t>
      </w:r>
    </w:p>
    <w:p>
      <w:pPr>
        <w:pStyle w:val="Compact"/>
        <w:numPr>
          <w:ilvl w:val="0"/>
          <w:numId w:val="1012"/>
        </w:numPr>
      </w:pPr>
      <w:r>
        <w:rPr>
          <w:rFonts w:hint="eastAsia"/>
        </w:rPr>
        <w:t xml:space="preserve">社会消费商品和服务零售总额同比增长2.6%。</w:t>
      </w:r>
    </w:p>
    <w:p>
      <w:pPr>
        <w:pStyle w:val="Compact"/>
        <w:numPr>
          <w:ilvl w:val="0"/>
          <w:numId w:val="1012"/>
        </w:numPr>
      </w:pPr>
      <w:r>
        <w:rPr>
          <w:rFonts w:hint="eastAsia"/>
        </w:rPr>
        <w:t xml:space="preserve">服务零售额同比增长5.0%。</w:t>
      </w:r>
    </w:p>
    <w:p>
      <w:pPr>
        <w:pStyle w:val="Compact"/>
        <w:numPr>
          <w:ilvl w:val="0"/>
          <w:numId w:val="1012"/>
        </w:numPr>
      </w:pPr>
      <w:r>
        <w:rPr>
          <w:rFonts w:hint="eastAsia"/>
        </w:rPr>
        <w:t xml:space="preserve">旅游咨询租赁服务类增长10.7%。</w:t>
      </w:r>
    </w:p>
    <w:p>
      <w:pPr>
        <w:pStyle w:val="Compact"/>
        <w:numPr>
          <w:ilvl w:val="0"/>
          <w:numId w:val="1012"/>
        </w:numPr>
      </w:pPr>
      <w:r>
        <w:rPr>
          <w:rFonts w:hint="eastAsia"/>
        </w:rPr>
        <w:t xml:space="preserve">文体休闲服务类增长9.7%。</w:t>
      </w:r>
    </w:p>
    <w:p>
      <w:pPr>
        <w:pStyle w:val="Compact"/>
        <w:numPr>
          <w:ilvl w:val="0"/>
          <w:numId w:val="1012"/>
        </w:numPr>
      </w:pPr>
      <w:r>
        <w:rPr>
          <w:rFonts w:hint="eastAsia"/>
        </w:rPr>
        <w:t xml:space="preserve">通讯器材类商品零售额增长18.1%。</w:t>
      </w:r>
    </w:p>
    <w:p>
      <w:pPr>
        <w:pStyle w:val="Compact"/>
        <w:numPr>
          <w:ilvl w:val="0"/>
          <w:numId w:val="1012"/>
        </w:numPr>
      </w:pPr>
      <w:r>
        <w:rPr>
          <w:rFonts w:hint="eastAsia"/>
        </w:rPr>
        <w:t xml:space="preserve">高能效等级家电零售额增长超过20%。</w:t>
      </w:r>
    </w:p>
    <w:p>
      <w:pPr>
        <w:pStyle w:val="Compact"/>
        <w:numPr>
          <w:ilvl w:val="0"/>
          <w:numId w:val="1012"/>
        </w:numPr>
      </w:pPr>
      <w:r>
        <w:rPr>
          <w:rFonts w:hint="eastAsia"/>
        </w:rPr>
        <w:t xml:space="preserve">网上商品和服务零售额达到151471亿元，同比增长4.4%。</w:t>
      </w:r>
    </w:p>
    <w:p>
      <w:pPr>
        <w:pStyle w:val="FirstParagraph"/>
      </w:pPr>
      <w:r>
        <w:t xml:space="preserve">💡 </w:t>
      </w:r>
      <w:r>
        <w:rPr>
          <w:rFonts w:hint="eastAsia"/>
        </w:rPr>
        <w:t xml:space="preserve">A股映射：</w:t>
      </w:r>
    </w:p>
    <w:p>
      <w:pPr>
        <w:pStyle w:val="Compact"/>
        <w:numPr>
          <w:ilvl w:val="0"/>
          <w:numId w:val="1013"/>
        </w:numPr>
      </w:pPr>
      <w:r>
        <w:rPr>
          <w:rFonts w:hint="eastAsia"/>
        </w:rPr>
        <w:t xml:space="preserve">结构上优先关注通讯器材、文体休闲、旅游服务、线上服务与高能效家电。</w:t>
      </w:r>
    </w:p>
    <w:p>
      <w:pPr>
        <w:pStyle w:val="Compact"/>
        <w:numPr>
          <w:ilvl w:val="0"/>
          <w:numId w:val="1013"/>
        </w:numPr>
      </w:pPr>
      <w:r>
        <w:rPr>
          <w:rFonts w:hint="eastAsia"/>
        </w:rPr>
        <w:t xml:space="preserve">昨日文化传媒上涨1.82%、互联网服务上涨1.58%，与服务消费和数字内容方向形成一定呼应。</w:t>
      </w:r>
    </w:p>
    <w:p>
      <w:pPr>
        <w:pStyle w:val="Compact"/>
        <w:numPr>
          <w:ilvl w:val="0"/>
          <w:numId w:val="1013"/>
        </w:numPr>
      </w:pPr>
      <w:r>
        <w:rPr>
          <w:rFonts w:hint="eastAsia"/>
        </w:rPr>
        <w:t xml:space="preserve">传媒板块同时出现14.99亿元主力净流出，说明上涨中存在资金兑现，今日不宜追逐一致性高开。</w:t>
      </w:r>
    </w:p>
    <w:bookmarkEnd w:id="17"/>
    <w:bookmarkStart w:id="18" w:name="中俄合作与国际科技协作"/>
    <w:p>
      <w:pPr>
        <w:pStyle w:val="Heading3"/>
      </w:pPr>
      <w:r>
        <w:t xml:space="preserve">🤝 </w:t>
      </w:r>
      <w:r>
        <w:rPr>
          <w:rFonts w:hint="eastAsia"/>
        </w:rPr>
        <w:t xml:space="preserve">中俄合作与国际科技协作</w:t>
      </w:r>
    </w:p>
    <w:p>
      <w:pPr>
        <w:pStyle w:val="FirstParagraph"/>
      </w:pPr>
      <w:r>
        <w:rPr>
          <w:rFonts w:hint="eastAsia"/>
        </w:rPr>
        <w:t xml:space="preserve">中俄总理第三十一次定期会晤明确推进：</w:t>
      </w:r>
    </w:p>
    <w:p>
      <w:pPr>
        <w:pStyle w:val="Compact"/>
        <w:numPr>
          <w:ilvl w:val="0"/>
          <w:numId w:val="1014"/>
        </w:numPr>
      </w:pPr>
      <w:r>
        <w:rPr>
          <w:rFonts w:hint="eastAsia"/>
        </w:rPr>
        <w:t xml:space="preserve">经贸投资</w:t>
      </w:r>
    </w:p>
    <w:p>
      <w:pPr>
        <w:pStyle w:val="Compact"/>
        <w:numPr>
          <w:ilvl w:val="0"/>
          <w:numId w:val="1014"/>
        </w:numPr>
      </w:pPr>
      <w:r>
        <w:rPr>
          <w:rFonts w:hint="eastAsia"/>
        </w:rPr>
        <w:t xml:space="preserve">能源资源</w:t>
      </w:r>
    </w:p>
    <w:p>
      <w:pPr>
        <w:pStyle w:val="Compact"/>
        <w:numPr>
          <w:ilvl w:val="0"/>
          <w:numId w:val="1014"/>
        </w:numPr>
      </w:pPr>
      <w:r>
        <w:rPr>
          <w:rFonts w:hint="eastAsia"/>
        </w:rPr>
        <w:t xml:space="preserve">互联互通</w:t>
      </w:r>
    </w:p>
    <w:p>
      <w:pPr>
        <w:pStyle w:val="Compact"/>
        <w:numPr>
          <w:ilvl w:val="0"/>
          <w:numId w:val="1014"/>
        </w:numPr>
      </w:pPr>
      <w:r>
        <w:rPr>
          <w:rFonts w:hint="eastAsia"/>
        </w:rPr>
        <w:t xml:space="preserve">航天、科技、教育</w:t>
      </w:r>
    </w:p>
    <w:p>
      <w:pPr>
        <w:pStyle w:val="Compact"/>
        <w:numPr>
          <w:ilvl w:val="0"/>
          <w:numId w:val="1014"/>
        </w:numPr>
      </w:pPr>
      <w:r>
        <w:rPr>
          <w:rFonts w:hint="eastAsia"/>
        </w:rPr>
        <w:t xml:space="preserve">人工智能等前沿领域</w:t>
      </w:r>
    </w:p>
    <w:p>
      <w:pPr>
        <w:pStyle w:val="FirstParagraph"/>
      </w:pPr>
      <w:r>
        <w:t xml:space="preserve">💡 </w:t>
      </w:r>
      <w:r>
        <w:rPr>
          <w:rFonts w:hint="eastAsia"/>
        </w:rPr>
        <w:t xml:space="preserve">A股映射：</w:t>
      </w:r>
    </w:p>
    <w:p>
      <w:pPr>
        <w:pStyle w:val="Compact"/>
        <w:numPr>
          <w:ilvl w:val="0"/>
          <w:numId w:val="1015"/>
        </w:numPr>
      </w:pPr>
      <w:r>
        <w:rPr>
          <w:rFonts w:hint="eastAsia"/>
        </w:rPr>
        <w:t xml:space="preserve">对跨境物流、能源贸易、工程机械、航天科技及对俄贸易链偏正面。</w:t>
      </w:r>
    </w:p>
    <w:p>
      <w:pPr>
        <w:pStyle w:val="Compact"/>
        <w:numPr>
          <w:ilvl w:val="0"/>
          <w:numId w:val="1015"/>
        </w:numPr>
      </w:pPr>
      <w:r>
        <w:rPr>
          <w:rFonts w:hint="eastAsia"/>
        </w:rPr>
        <w:t xml:space="preserve">相关方向尚未进入昨日资金流入前列，暂按事件观察，不提前扩大仓位。</w:t>
      </w:r>
    </w:p>
    <w:p>
      <w:r>
        <w:pict>
          <v:rect style="width:0;height:1.5pt" o:hralign="center" o:hrstd="t" o:hr="t"/>
        </w:pict>
      </w:r>
    </w:p>
    <w:bookmarkEnd w:id="18"/>
    <w:bookmarkEnd w:id="19"/>
    <w:bookmarkStart w:id="22" w:name="今日公告巨潮官方历史公告回源"/>
    <w:p>
      <w:pPr>
        <w:pStyle w:val="Heading2"/>
      </w:pPr>
      <w:r>
        <w:t xml:space="preserve">📣 </w:t>
      </w:r>
      <w:r>
        <w:rPr>
          <w:rFonts w:hint="eastAsia"/>
        </w:rPr>
        <w:t xml:space="preserve">今日公告：巨潮官方历史公告回源</w:t>
      </w:r>
    </w:p>
    <w:p>
      <w:pPr>
        <w:pStyle w:val="FirstParagraph"/>
      </w:pPr>
      <w:r>
        <w:rPr>
          <w:rFonts w:hint="eastAsia"/>
        </w:rPr>
        <w:t xml:space="preserve">公告实时主接口返回异常，采集器通过巨潮资讯历史公告官方接口完成上海、深圳两市回源，共获取2026年10月22日公告919条；以下仅提炼具有盘前定价意义的事项。</w:t>
      </w:r>
    </w:p>
    <w:bookmarkStart w:id="20" w:name="偏正面或存在催化"/>
    <w:p>
      <w:pPr>
        <w:pStyle w:val="Heading3"/>
      </w:pPr>
      <w:r>
        <w:t xml:space="preserve">📈🔴 </w:t>
      </w:r>
      <w:r>
        <w:rPr>
          <w:rFonts w:hint="eastAsia"/>
        </w:rPr>
        <w:t xml:space="preserve">偏正面或存在催化</w:t>
      </w:r>
    </w:p>
    <w:p>
      <w:pPr>
        <w:pStyle w:val="Compact"/>
        <w:numPr>
          <w:ilvl w:val="0"/>
          <w:numId w:val="1016"/>
        </w:numPr>
      </w:pPr>
      <w:r>
        <w:rPr>
          <w:rFonts w:hint="eastAsia"/>
          <w:b/>
          <w:bCs/>
        </w:rPr>
        <w:t xml:space="preserve">上海谊众（688091）</w:t>
      </w:r>
      <w:r>
        <w:rPr>
          <w:rFonts w:hint="eastAsia"/>
        </w:rPr>
        <w:t xml:space="preserve">：创新药YXC-001Ⅰ期临床试验完成首个剂量组首次给药。属于早期研发进展，利好研发预期，但距离有效性验证和商业化仍远。</w:t>
      </w:r>
    </w:p>
    <w:p>
      <w:pPr>
        <w:pStyle w:val="Compact"/>
        <w:numPr>
          <w:ilvl w:val="0"/>
          <w:numId w:val="1016"/>
        </w:numPr>
      </w:pPr>
      <w:r>
        <w:rPr>
          <w:rFonts w:hint="eastAsia"/>
          <w:b/>
          <w:bCs/>
        </w:rPr>
        <w:t xml:space="preserve">生益科技（600183）</w:t>
      </w:r>
      <w:r>
        <w:rPr>
          <w:rFonts w:hint="eastAsia"/>
        </w:rPr>
        <w:t xml:space="preserve">：披露集中竞价回购股份方案。公司昨日上涨1.50%，成交额72.55亿元，同时进入资金流入与流出榜，显示多空换手显著。</w:t>
      </w:r>
    </w:p>
    <w:p>
      <w:pPr>
        <w:pStyle w:val="Compact"/>
        <w:numPr>
          <w:ilvl w:val="0"/>
          <w:numId w:val="1016"/>
        </w:numPr>
      </w:pPr>
      <w:r>
        <w:rPr>
          <w:rFonts w:hint="eastAsia"/>
          <w:b/>
          <w:bCs/>
        </w:rPr>
        <w:t xml:space="preserve">海通发展（603162）</w:t>
      </w:r>
      <w:r>
        <w:rPr>
          <w:rFonts w:hint="eastAsia"/>
        </w:rPr>
        <w:t xml:space="preserve">：披露集中竞价回购股份预案，同时存在限制性股票解除限售事项，利好与供给压力需分别评估。</w:t>
      </w:r>
    </w:p>
    <w:p>
      <w:pPr>
        <w:pStyle w:val="Compact"/>
        <w:numPr>
          <w:ilvl w:val="0"/>
          <w:numId w:val="1016"/>
        </w:numPr>
      </w:pPr>
      <w:r>
        <w:rPr>
          <w:rFonts w:hint="eastAsia"/>
          <w:b/>
          <w:bCs/>
        </w:rPr>
        <w:t xml:space="preserve">东吴证券（601555）</w:t>
      </w:r>
      <w:r>
        <w:rPr>
          <w:rFonts w:hint="eastAsia"/>
        </w:rPr>
        <w:t xml:space="preserve">：披露控股股东增持进展，情绪偏正面，但证券Ⅱ昨日主力净流出19.22亿元，仍需板块资金确认。</w:t>
      </w:r>
    </w:p>
    <w:p>
      <w:pPr>
        <w:pStyle w:val="Compact"/>
        <w:numPr>
          <w:ilvl w:val="0"/>
          <w:numId w:val="1016"/>
        </w:numPr>
      </w:pPr>
      <w:r>
        <w:rPr>
          <w:rFonts w:hint="eastAsia"/>
          <w:b/>
          <w:bCs/>
        </w:rPr>
        <w:t xml:space="preserve">兴发集团（600141）</w:t>
      </w:r>
      <w:r>
        <w:rPr>
          <w:rFonts w:hint="eastAsia"/>
        </w:rPr>
        <w:t xml:space="preserve">：董事、高级管理人员增持股份进展，提供一定信心支撑。</w:t>
      </w:r>
    </w:p>
    <w:p>
      <w:pPr>
        <w:pStyle w:val="Compact"/>
        <w:numPr>
          <w:ilvl w:val="0"/>
          <w:numId w:val="1016"/>
        </w:numPr>
      </w:pPr>
      <w:r>
        <w:rPr>
          <w:rFonts w:hint="eastAsia"/>
          <w:b/>
          <w:bCs/>
        </w:rPr>
        <w:t xml:space="preserve">国机重装（601399）</w:t>
      </w:r>
      <w:r>
        <w:rPr>
          <w:rFonts w:hint="eastAsia"/>
        </w:rPr>
        <w:t xml:space="preserve">：披露向特定对象发行A股股票预案、募集资金可行性报告及未来三年分红回报规划。需进一步关注发行价格、融资规模、募投回报和摊薄影响。</w:t>
      </w:r>
    </w:p>
    <w:bookmarkEnd w:id="20"/>
    <w:bookmarkStart w:id="21" w:name="风险与不确定事项"/>
    <w:p>
      <w:pPr>
        <w:pStyle w:val="Heading3"/>
      </w:pPr>
      <w:r>
        <w:t xml:space="preserve">⚠️ </w:t>
      </w:r>
      <w:r>
        <w:rPr>
          <w:rFonts w:hint="eastAsia"/>
        </w:rPr>
        <w:t xml:space="preserve">风险与不确定事项</w:t>
      </w:r>
    </w:p>
    <w:p>
      <w:pPr>
        <w:pStyle w:val="Compact"/>
        <w:numPr>
          <w:ilvl w:val="0"/>
          <w:numId w:val="1017"/>
        </w:numPr>
      </w:pPr>
      <w:r>
        <w:rPr>
          <w:rFonts w:hint="eastAsia"/>
          <w:b/>
          <w:bCs/>
        </w:rPr>
        <w:t xml:space="preserve">南威软件（603636）</w:t>
      </w:r>
      <w:r>
        <w:rPr>
          <w:rFonts w:hint="eastAsia"/>
        </w:rPr>
        <w:t xml:space="preserve">：发布股票交易风险提示公告，叠加监管警示信息，高波动下不宜追涨。</w:t>
      </w:r>
    </w:p>
    <w:p>
      <w:pPr>
        <w:pStyle w:val="Compact"/>
        <w:numPr>
          <w:ilvl w:val="0"/>
          <w:numId w:val="1017"/>
        </w:numPr>
      </w:pPr>
      <w:r>
        <w:rPr>
          <w:rFonts w:hint="eastAsia"/>
          <w:b/>
          <w:bCs/>
        </w:rPr>
        <w:t xml:space="preserve">容百科技（688005）</w:t>
      </w:r>
      <w:r>
        <w:rPr>
          <w:rFonts w:hint="eastAsia"/>
        </w:rPr>
        <w:t xml:space="preserve">：韩国全资子公司拟签署委托加工、租赁及无形资产转让合同，构成关联交易；需核查定价公允性及对利润的实际影响。</w:t>
      </w:r>
    </w:p>
    <w:p>
      <w:pPr>
        <w:pStyle w:val="Compact"/>
        <w:numPr>
          <w:ilvl w:val="0"/>
          <w:numId w:val="1017"/>
        </w:numPr>
      </w:pPr>
      <w:r>
        <w:rPr>
          <w:rFonts w:hint="eastAsia"/>
          <w:b/>
          <w:bCs/>
        </w:rPr>
        <w:t xml:space="preserve">珠海冠宇（688772）、派能科技（688063）、华特气体（688268）</w:t>
      </w:r>
      <w:r>
        <w:rPr>
          <w:rFonts w:hint="eastAsia"/>
        </w:rPr>
        <w:t xml:space="preserve">：披露股东减持结果或权益变动事项。</w:t>
      </w:r>
    </w:p>
    <w:p>
      <w:pPr>
        <w:pStyle w:val="Compact"/>
        <w:numPr>
          <w:ilvl w:val="0"/>
          <w:numId w:val="1017"/>
        </w:numPr>
      </w:pPr>
      <w:r>
        <w:rPr>
          <w:rFonts w:hint="eastAsia"/>
          <w:b/>
          <w:bCs/>
        </w:rPr>
        <w:t xml:space="preserve">新亚制程（002388）</w:t>
      </w:r>
      <w:r>
        <w:rPr>
          <w:rFonts w:hint="eastAsia"/>
        </w:rPr>
        <w:t xml:space="preserve">：披露发行股份购买资产并募集配套资金预案相关文件并复牌，重组预期与复牌波动风险并存。</w:t>
      </w:r>
    </w:p>
    <w:p>
      <w:pPr>
        <w:pStyle w:val="Compact"/>
        <w:numPr>
          <w:ilvl w:val="0"/>
          <w:numId w:val="1017"/>
        </w:numPr>
      </w:pPr>
      <w:r>
        <w:rPr>
          <w:rFonts w:hint="eastAsia"/>
          <w:b/>
          <w:bCs/>
        </w:rPr>
        <w:t xml:space="preserve">中毅达、高铁电气、恒光股份、上海钢联、ST荣科、西部建设、视源股份、通光线缆等</w:t>
      </w:r>
      <w:r>
        <w:rPr>
          <w:rFonts w:hint="eastAsia"/>
        </w:rPr>
        <w:t xml:space="preserve">：披露计提信用或资产减值事项，需防范利润下修。</w:t>
      </w:r>
    </w:p>
    <w:p>
      <w:pPr>
        <w:pStyle w:val="Compact"/>
        <w:numPr>
          <w:ilvl w:val="0"/>
          <w:numId w:val="1017"/>
        </w:numPr>
      </w:pPr>
      <w:r>
        <w:rPr>
          <w:rFonts w:hint="eastAsia"/>
          <w:b/>
          <w:bCs/>
        </w:rPr>
        <w:t xml:space="preserve">厦门银行、巨星农牧、拉普拉斯等</w:t>
      </w:r>
      <w:r>
        <w:rPr>
          <w:rFonts w:hint="eastAsia"/>
        </w:rPr>
        <w:t xml:space="preserve">：涉及限售股上市流通，关注短期供给压力。</w:t>
      </w:r>
    </w:p>
    <w:p>
      <w:r>
        <w:pict>
          <v:rect style="width:0;height:1.5pt" o:hralign="center" o:hrstd="t" o:hr="t"/>
        </w:pict>
      </w:r>
    </w:p>
    <w:bookmarkEnd w:id="21"/>
    <w:bookmarkEnd w:id="22"/>
    <w:bookmarkStart w:id="23" w:name="经济数据与今日事件"/>
    <w:p>
      <w:pPr>
        <w:pStyle w:val="Heading2"/>
      </w:pPr>
      <w:r>
        <w:t xml:space="preserve">🗓️ </w:t>
      </w:r>
      <w:r>
        <w:rPr>
          <w:rFonts w:hint="eastAsia"/>
        </w:rPr>
        <w:t xml:space="preserve">经济数据与今日事件</w:t>
      </w:r>
    </w:p>
    <w:p>
      <w:pPr>
        <w:pStyle w:val="Compact"/>
        <w:numPr>
          <w:ilvl w:val="0"/>
          <w:numId w:val="1018"/>
        </w:numPr>
      </w:pPr>
      <w:r>
        <w:rPr>
          <w:rFonts w:hint="eastAsia"/>
        </w:rPr>
        <w:t xml:space="preserve">10月22日为中国工农红军长征胜利90周年纪念日，相关主题宣传强度较高，但其直接业绩映射弱于科技、基建和乡村振兴政策线。</w:t>
      </w:r>
    </w:p>
    <w:p>
      <w:pPr>
        <w:pStyle w:val="Compact"/>
        <w:numPr>
          <w:ilvl w:val="0"/>
          <w:numId w:val="1018"/>
        </w:numPr>
      </w:pPr>
      <w:r>
        <w:rPr>
          <w:rFonts w:hint="eastAsia"/>
        </w:rPr>
        <w:t xml:space="preserve">2026金融街论坛释放科技金融、非银流动性支持和资本市场长期资金政策信号，今日重点观察金融板块对政策的真实定价。</w:t>
      </w:r>
    </w:p>
    <w:p>
      <w:pPr>
        <w:pStyle w:val="Compact"/>
        <w:numPr>
          <w:ilvl w:val="0"/>
          <w:numId w:val="1018"/>
        </w:numPr>
      </w:pPr>
      <w:r>
        <w:rPr>
          <w:rFonts w:hint="eastAsia"/>
        </w:rPr>
        <w:t xml:space="preserve">物理AI与世界模型大会释放超过60亿元项目签约信息，关注后续订单归属和上市公司公告验证。</w:t>
      </w:r>
    </w:p>
    <w:p>
      <w:pPr>
        <w:pStyle w:val="Compact"/>
        <w:numPr>
          <w:ilvl w:val="0"/>
          <w:numId w:val="1018"/>
        </w:numPr>
      </w:pPr>
      <w:r>
        <w:rPr>
          <w:rFonts w:hint="eastAsia"/>
        </w:rPr>
        <w:t xml:space="preserve">当日国内外具体宏观数据发布时间表未在采集JSON中完成核验，不补充未经核验的发布项目。</w:t>
      </w:r>
    </w:p>
    <w:p>
      <w:r>
        <w:pict>
          <v:rect style="width:0;height:1.5pt" o:hralign="center" o:hrstd="t" o:hr="t"/>
        </w:pict>
      </w:r>
    </w:p>
    <w:bookmarkEnd w:id="23"/>
    <w:bookmarkStart w:id="26" w:name="全球事件能源价格与地缘局势仍是主要尾部风险"/>
    <w:p>
      <w:pPr>
        <w:pStyle w:val="Heading2"/>
      </w:pPr>
      <w:r>
        <w:t xml:space="preserve">🌐 </w:t>
      </w:r>
      <w:r>
        <w:rPr>
          <w:rFonts w:hint="eastAsia"/>
        </w:rPr>
        <w:t xml:space="preserve">全球事件：能源价格与地缘局势仍是主要尾部风险</w:t>
      </w:r>
    </w:p>
    <w:bookmarkStart w:id="24" w:name="俄乌谈判"/>
    <w:p>
      <w:pPr>
        <w:pStyle w:val="Heading3"/>
      </w:pPr>
      <w:r>
        <w:t xml:space="preserve">⚠️ </w:t>
      </w:r>
      <w:r>
        <w:rPr>
          <w:rFonts w:hint="eastAsia"/>
        </w:rPr>
        <w:t xml:space="preserve">俄乌谈判</w:t>
      </w:r>
    </w:p>
    <w:p>
      <w:pPr>
        <w:pStyle w:val="Compact"/>
        <w:numPr>
          <w:ilvl w:val="0"/>
          <w:numId w:val="1019"/>
        </w:numPr>
      </w:pPr>
      <w:r>
        <w:rPr>
          <w:rFonts w:hint="eastAsia"/>
        </w:rPr>
        <w:t xml:space="preserve">美国总统特使分别与乌克兰、俄罗斯领导人会面。</w:t>
      </w:r>
    </w:p>
    <w:p>
      <w:pPr>
        <w:pStyle w:val="Compact"/>
        <w:numPr>
          <w:ilvl w:val="0"/>
          <w:numId w:val="1019"/>
        </w:numPr>
      </w:pPr>
      <w:r>
        <w:rPr>
          <w:rFonts w:hint="eastAsia"/>
        </w:rPr>
        <w:t xml:space="preserve">会谈涉及安全保障、冲突结束后的经济安排及恢复三方谈判。</w:t>
      </w:r>
    </w:p>
    <w:p>
      <w:pPr>
        <w:pStyle w:val="Compact"/>
        <w:numPr>
          <w:ilvl w:val="0"/>
          <w:numId w:val="1019"/>
        </w:numPr>
      </w:pPr>
      <w:r>
        <w:rPr>
          <w:rFonts w:hint="eastAsia"/>
        </w:rPr>
        <w:t xml:space="preserve">目前存在外交推进信号，但尚不足以确认冲突结束。</w:t>
      </w:r>
    </w:p>
    <w:p>
      <w:pPr>
        <w:pStyle w:val="FirstParagraph"/>
      </w:pPr>
      <w:r>
        <w:t xml:space="preserve">💡 </w:t>
      </w:r>
      <w:r>
        <w:rPr>
          <w:rFonts w:hint="eastAsia"/>
        </w:rPr>
        <w:t xml:space="preserve">影响：</w:t>
      </w:r>
    </w:p>
    <w:p>
      <w:pPr>
        <w:pStyle w:val="Compact"/>
        <w:numPr>
          <w:ilvl w:val="0"/>
          <w:numId w:val="1020"/>
        </w:numPr>
      </w:pPr>
      <w:r>
        <w:rPr>
          <w:rFonts w:hint="eastAsia"/>
        </w:rPr>
        <w:t xml:space="preserve">若谈判取得突破，避险资产可能承压，欧洲风险资产和战后重建方向可能受益。</w:t>
      </w:r>
    </w:p>
    <w:p>
      <w:pPr>
        <w:pStyle w:val="Compact"/>
        <w:numPr>
          <w:ilvl w:val="0"/>
          <w:numId w:val="1020"/>
        </w:numPr>
      </w:pPr>
      <w:r>
        <w:rPr>
          <w:rFonts w:hint="eastAsia"/>
        </w:rPr>
        <w:t xml:space="preserve">若谈判反复，能源、黄金和军工仍可能出现事件驱动波动。</w:t>
      </w:r>
    </w:p>
    <w:bookmarkEnd w:id="24"/>
    <w:bookmarkStart w:id="25" w:name="中东与欧洲能源"/>
    <w:p>
      <w:pPr>
        <w:pStyle w:val="Heading3"/>
      </w:pPr>
      <w:r>
        <w:t xml:space="preserve">⚠️ </w:t>
      </w:r>
      <w:r>
        <w:rPr>
          <w:rFonts w:hint="eastAsia"/>
        </w:rPr>
        <w:t xml:space="preserve">中东与欧洲能源</w:t>
      </w:r>
    </w:p>
    <w:p>
      <w:pPr>
        <w:pStyle w:val="Compact"/>
        <w:numPr>
          <w:ilvl w:val="0"/>
          <w:numId w:val="1021"/>
        </w:numPr>
      </w:pPr>
      <w:r>
        <w:rPr>
          <w:rFonts w:hint="eastAsia"/>
        </w:rPr>
        <w:t xml:space="preserve">欧洲天然气基准价格盘中突破90欧元/兆瓦时，为2022年12月以来高位。</w:t>
      </w:r>
    </w:p>
    <w:p>
      <w:pPr>
        <w:pStyle w:val="Compact"/>
        <w:numPr>
          <w:ilvl w:val="0"/>
          <w:numId w:val="1021"/>
        </w:numPr>
      </w:pPr>
      <w:r>
        <w:rPr>
          <w:rFonts w:hint="eastAsia"/>
        </w:rPr>
        <w:t xml:space="preserve">中东战事导致海湾地区液化天然气出口持续受阻。</w:t>
      </w:r>
    </w:p>
    <w:p>
      <w:pPr>
        <w:pStyle w:val="Compact"/>
        <w:numPr>
          <w:ilvl w:val="0"/>
          <w:numId w:val="1021"/>
        </w:numPr>
      </w:pPr>
      <w:r>
        <w:rPr>
          <w:rFonts w:hint="eastAsia"/>
        </w:rPr>
        <w:t xml:space="preserve">英国将派战机协助沙特执行防御性制空任务。</w:t>
      </w:r>
    </w:p>
    <w:p>
      <w:pPr>
        <w:pStyle w:val="Compact"/>
        <w:numPr>
          <w:ilvl w:val="0"/>
          <w:numId w:val="1021"/>
        </w:numPr>
      </w:pPr>
      <w:r>
        <w:rPr>
          <w:rFonts w:hint="eastAsia"/>
        </w:rPr>
        <w:t xml:space="preserve">伊朗与美国谈判仍以解除制裁为前提，地区不确定性较高。</w:t>
      </w:r>
    </w:p>
    <w:p>
      <w:pPr>
        <w:pStyle w:val="FirstParagraph"/>
      </w:pPr>
      <w:r>
        <w:t xml:space="preserve">💡 </w:t>
      </w:r>
      <w:r>
        <w:rPr>
          <w:rFonts w:hint="eastAsia"/>
        </w:rPr>
        <w:t xml:space="preserve">影响：</w:t>
      </w:r>
    </w:p>
    <w:p>
      <w:pPr>
        <w:pStyle w:val="Compact"/>
        <w:numPr>
          <w:ilvl w:val="0"/>
          <w:numId w:val="1022"/>
        </w:numPr>
      </w:pPr>
      <w:r>
        <w:rPr>
          <w:rFonts w:hint="eastAsia"/>
        </w:rPr>
        <w:t xml:space="preserve">欧洲天然气高位利好天然气资源、LNG运输及替代能源逻辑。</w:t>
      </w:r>
    </w:p>
    <w:p>
      <w:pPr>
        <w:pStyle w:val="Compact"/>
        <w:numPr>
          <w:ilvl w:val="0"/>
          <w:numId w:val="1022"/>
        </w:numPr>
      </w:pPr>
      <w:r>
        <w:rPr>
          <w:rFonts w:hint="eastAsia"/>
        </w:rPr>
        <w:t xml:space="preserve">同时会抬升欧洲制造业成本，对外需和高耗能行业形成压力。</w:t>
      </w:r>
    </w:p>
    <w:p>
      <w:pPr>
        <w:pStyle w:val="Compact"/>
        <w:numPr>
          <w:ilvl w:val="0"/>
          <w:numId w:val="1022"/>
        </w:numPr>
      </w:pPr>
      <w:r>
        <w:rPr>
          <w:rFonts w:hint="eastAsia"/>
        </w:rPr>
        <w:t xml:space="preserve">WTI原油上涨0.95%，能源通胀风险尚未解除。</w:t>
      </w:r>
    </w:p>
    <w:p>
      <w:r>
        <w:pict>
          <v:rect style="width:0;height:1.5pt" o:hralign="center" o:hrstd="t" o:hr="t"/>
        </w:pict>
      </w:r>
    </w:p>
    <w:bookmarkEnd w:id="25"/>
    <w:bookmarkEnd w:id="26"/>
    <w:bookmarkStart w:id="30" w:name="昨日a股复盘指数普跌科创50相对抗跌"/>
    <w:p>
      <w:pPr>
        <w:pStyle w:val="Heading2"/>
      </w:pPr>
      <w:r>
        <w:t xml:space="preserve">📉 </w:t>
      </w:r>
      <w:r>
        <w:rPr>
          <w:rFonts w:hint="eastAsia"/>
        </w:rPr>
        <w:t xml:space="preserve">昨日A股复盘：指数普跌，科创50相对抗跌</w:t>
      </w:r>
    </w:p>
    <w:bookmarkStart w:id="27"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r>
      <w:tr>
        <w:tc>
          <w:tcPr/>
          <w:p>
            <w:pPr>
              <w:pStyle w:val="Compact"/>
            </w:pPr>
            <w:r>
              <w:rPr>
                <w:rFonts w:hint="eastAsia"/>
              </w:rPr>
              <w:t xml:space="preserve">上证指数</w:t>
            </w:r>
          </w:p>
        </w:tc>
        <w:tc>
          <w:tcPr/>
          <w:p>
            <w:pPr>
              <w:pStyle w:val="Compact"/>
              <w:jc w:val="right"/>
            </w:pPr>
            <w:r>
              <w:t xml:space="preserve">3713.03</w:t>
            </w:r>
          </w:p>
        </w:tc>
        <w:tc>
          <w:tcPr/>
          <w:p>
            <w:pPr>
              <w:pStyle w:val="Compact"/>
              <w:jc w:val="right"/>
            </w:pPr>
            <w:r>
              <w:t xml:space="preserve">📉 -0.60%</w:t>
            </w:r>
          </w:p>
        </w:tc>
      </w:tr>
      <w:tr>
        <w:tc>
          <w:tcPr/>
          <w:p>
            <w:pPr>
              <w:pStyle w:val="Compact"/>
            </w:pPr>
            <w:r>
              <w:rPr>
                <w:rFonts w:hint="eastAsia"/>
              </w:rPr>
              <w:t xml:space="preserve">深证成指</w:t>
            </w:r>
          </w:p>
        </w:tc>
        <w:tc>
          <w:tcPr/>
          <w:p>
            <w:pPr>
              <w:pStyle w:val="Compact"/>
              <w:jc w:val="right"/>
            </w:pPr>
            <w:r>
              <w:t xml:space="preserve">11704.35</w:t>
            </w:r>
          </w:p>
        </w:tc>
        <w:tc>
          <w:tcPr/>
          <w:p>
            <w:pPr>
              <w:pStyle w:val="Compact"/>
              <w:jc w:val="right"/>
            </w:pPr>
            <w:r>
              <w:t xml:space="preserve">📉 -0.82%</w:t>
            </w:r>
          </w:p>
        </w:tc>
      </w:tr>
      <w:tr>
        <w:tc>
          <w:tcPr/>
          <w:p>
            <w:pPr>
              <w:pStyle w:val="Compact"/>
            </w:pPr>
            <w:r>
              <w:rPr>
                <w:rFonts w:hint="eastAsia"/>
              </w:rPr>
              <w:t xml:space="preserve">创业板指</w:t>
            </w:r>
          </w:p>
        </w:tc>
        <w:tc>
          <w:tcPr/>
          <w:p>
            <w:pPr>
              <w:pStyle w:val="Compact"/>
              <w:jc w:val="right"/>
            </w:pPr>
            <w:r>
              <w:t xml:space="preserve">2694.71</w:t>
            </w:r>
          </w:p>
        </w:tc>
        <w:tc>
          <w:tcPr/>
          <w:p>
            <w:pPr>
              <w:pStyle w:val="Compact"/>
              <w:jc w:val="right"/>
            </w:pPr>
            <w:r>
              <w:t xml:space="preserve">📉 -1.62%</w:t>
            </w:r>
          </w:p>
        </w:tc>
      </w:tr>
      <w:tr>
        <w:tc>
          <w:tcPr/>
          <w:p>
            <w:pPr>
              <w:pStyle w:val="Compact"/>
            </w:pPr>
            <w:r>
              <w:rPr>
                <w:rFonts w:hint="eastAsia"/>
              </w:rPr>
              <w:t xml:space="preserve">沪深300</w:t>
            </w:r>
          </w:p>
        </w:tc>
        <w:tc>
          <w:tcPr/>
          <w:p>
            <w:pPr>
              <w:pStyle w:val="Compact"/>
              <w:jc w:val="right"/>
            </w:pPr>
            <w:r>
              <w:t xml:space="preserve">4111.93</w:t>
            </w:r>
          </w:p>
        </w:tc>
        <w:tc>
          <w:tcPr/>
          <w:p>
            <w:pPr>
              <w:pStyle w:val="Compact"/>
              <w:jc w:val="right"/>
            </w:pPr>
            <w:r>
              <w:t xml:space="preserve">📉 -0.97%</w:t>
            </w:r>
          </w:p>
        </w:tc>
      </w:tr>
      <w:tr>
        <w:tc>
          <w:tcPr/>
          <w:p>
            <w:pPr>
              <w:pStyle w:val="Compact"/>
            </w:pPr>
            <w:r>
              <w:rPr>
                <w:rFonts w:hint="eastAsia"/>
              </w:rPr>
              <w:t xml:space="preserve">科创50</w:t>
            </w:r>
          </w:p>
        </w:tc>
        <w:tc>
          <w:tcPr/>
          <w:p>
            <w:pPr>
              <w:pStyle w:val="Compact"/>
              <w:jc w:val="right"/>
            </w:pPr>
            <w:r>
              <w:t xml:space="preserve">1343.28</w:t>
            </w:r>
          </w:p>
        </w:tc>
        <w:tc>
          <w:tcPr/>
          <w:p>
            <w:pPr>
              <w:pStyle w:val="Compact"/>
              <w:jc w:val="right"/>
            </w:pPr>
            <w:r>
              <w:t xml:space="preserve">📈 +0.06%</w:t>
            </w:r>
          </w:p>
        </w:tc>
      </w:tr>
    </w:tbl>
    <w:p>
      <w:pPr>
        <w:pStyle w:val="Compact"/>
        <w:numPr>
          <w:ilvl w:val="0"/>
          <w:numId w:val="1023"/>
        </w:numPr>
      </w:pPr>
      <w:r>
        <w:rPr>
          <w:rFonts w:hint="eastAsia"/>
        </w:rPr>
        <w:t xml:space="preserve">上涨1981家、下跌3364家、平盘223家，涨跌比为0.589。</w:t>
      </w:r>
    </w:p>
    <w:p>
      <w:pPr>
        <w:pStyle w:val="Compact"/>
        <w:numPr>
          <w:ilvl w:val="0"/>
          <w:numId w:val="1023"/>
        </w:numPr>
      </w:pPr>
      <w:r>
        <w:rPr>
          <w:rFonts w:hint="eastAsia"/>
        </w:rPr>
        <w:t xml:space="preserve">创业板指跌幅最大，科创50微涨，科技内部呈现结构性承接。</w:t>
      </w:r>
    </w:p>
    <w:p>
      <w:pPr>
        <w:pStyle w:val="Compact"/>
        <w:numPr>
          <w:ilvl w:val="0"/>
          <w:numId w:val="1023"/>
        </w:numPr>
      </w:pPr>
      <w:r>
        <w:rPr>
          <w:rFonts w:hint="eastAsia"/>
        </w:rPr>
        <w:t xml:space="preserve">全市场成交额14420.51亿元，前一交易日为14715.24亿元，减少294.73亿元，降幅2.00%。</w:t>
      </w:r>
    </w:p>
    <w:p>
      <w:pPr>
        <w:pStyle w:val="Compact"/>
        <w:numPr>
          <w:ilvl w:val="0"/>
          <w:numId w:val="1023"/>
        </w:numPr>
      </w:pPr>
      <w:r>
        <w:rPr>
          <w:rFonts w:hint="eastAsia"/>
        </w:rPr>
        <w:t xml:space="preserve">量能状态为“接近昨日”，不是明显放量修复。</w:t>
      </w:r>
    </w:p>
    <w:bookmarkEnd w:id="27"/>
    <w:bookmarkStart w:id="28" w:name="板块结构"/>
    <w:p>
      <w:pPr>
        <w:pStyle w:val="Heading3"/>
      </w:pPr>
      <w:r>
        <w:t xml:space="preserve">🧭 </w:t>
      </w:r>
      <w:r>
        <w:rPr>
          <w:rFonts w:hint="eastAsia"/>
        </w:rPr>
        <w:t xml:space="preserve">板块结构</w:t>
      </w:r>
    </w:p>
    <w:p>
      <w:pPr>
        <w:pStyle w:val="FirstParagraph"/>
      </w:pPr>
      <w:r>
        <w:rPr>
          <w:rFonts w:hint="eastAsia"/>
        </w:rPr>
        <w:t xml:space="preserve">昨日涨幅居前方向包括：</w:t>
      </w:r>
    </w:p>
    <w:p>
      <w:pPr>
        <w:pStyle w:val="Compact"/>
        <w:numPr>
          <w:ilvl w:val="0"/>
          <w:numId w:val="1024"/>
        </w:numPr>
      </w:pPr>
      <w:r>
        <w:rPr>
          <w:rFonts w:hint="eastAsia"/>
        </w:rPr>
        <w:t xml:space="preserve">文化传媒：+1.82%</w:t>
      </w:r>
    </w:p>
    <w:p>
      <w:pPr>
        <w:pStyle w:val="Compact"/>
        <w:numPr>
          <w:ilvl w:val="0"/>
          <w:numId w:val="1024"/>
        </w:numPr>
      </w:pPr>
      <w:r>
        <w:rPr>
          <w:rFonts w:hint="eastAsia"/>
        </w:rPr>
        <w:t xml:space="preserve">互联网服务：+1.58%</w:t>
      </w:r>
    </w:p>
    <w:p>
      <w:pPr>
        <w:pStyle w:val="Compact"/>
        <w:numPr>
          <w:ilvl w:val="0"/>
          <w:numId w:val="1024"/>
        </w:numPr>
      </w:pPr>
      <w:r>
        <w:rPr>
          <w:rFonts w:hint="eastAsia"/>
        </w:rPr>
        <w:t xml:space="preserve">农牧饲渔：+1.31%</w:t>
      </w:r>
    </w:p>
    <w:p>
      <w:pPr>
        <w:pStyle w:val="Compact"/>
        <w:numPr>
          <w:ilvl w:val="0"/>
          <w:numId w:val="1024"/>
        </w:numPr>
      </w:pPr>
      <w:r>
        <w:rPr>
          <w:rFonts w:hint="eastAsia"/>
        </w:rPr>
        <w:t xml:space="preserve">玻璃玻纤：+1.24%</w:t>
      </w:r>
    </w:p>
    <w:p>
      <w:pPr>
        <w:pStyle w:val="Compact"/>
        <w:numPr>
          <w:ilvl w:val="0"/>
          <w:numId w:val="1024"/>
        </w:numPr>
      </w:pPr>
      <w:r>
        <w:rPr>
          <w:rFonts w:hint="eastAsia"/>
        </w:rPr>
        <w:t xml:space="preserve">光学光电子：+0.87%</w:t>
      </w:r>
    </w:p>
    <w:p>
      <w:pPr>
        <w:pStyle w:val="Compact"/>
        <w:numPr>
          <w:ilvl w:val="0"/>
          <w:numId w:val="1024"/>
        </w:numPr>
      </w:pPr>
      <w:r>
        <w:rPr>
          <w:rFonts w:hint="eastAsia"/>
        </w:rPr>
        <w:t xml:space="preserve">通信服务：+0.86%</w:t>
      </w:r>
    </w:p>
    <w:p>
      <w:pPr>
        <w:pStyle w:val="Compact"/>
        <w:numPr>
          <w:ilvl w:val="0"/>
          <w:numId w:val="1024"/>
        </w:numPr>
      </w:pPr>
      <w:r>
        <w:rPr>
          <w:rFonts w:hint="eastAsia"/>
        </w:rPr>
        <w:t xml:space="preserve">电子化学品：+0.77%</w:t>
      </w:r>
    </w:p>
    <w:p>
      <w:pPr>
        <w:pStyle w:val="Compact"/>
        <w:numPr>
          <w:ilvl w:val="0"/>
          <w:numId w:val="1024"/>
        </w:numPr>
      </w:pPr>
      <w:r>
        <w:rPr>
          <w:rFonts w:hint="eastAsia"/>
        </w:rPr>
        <w:t xml:space="preserve">通信系统设备：+0.75%</w:t>
      </w:r>
    </w:p>
    <w:p>
      <w:pPr>
        <w:pStyle w:val="FirstParagraph"/>
      </w:pPr>
      <w:r>
        <w:t xml:space="preserve">💡 </w:t>
      </w:r>
      <w:r>
        <w:rPr>
          <w:rFonts w:hint="eastAsia"/>
        </w:rPr>
        <w:t xml:space="preserve">结构判断：</w:t>
      </w:r>
    </w:p>
    <w:p>
      <w:pPr>
        <w:pStyle w:val="Compact"/>
        <w:numPr>
          <w:ilvl w:val="0"/>
          <w:numId w:val="1025"/>
        </w:numPr>
      </w:pPr>
      <w:r>
        <w:rPr>
          <w:rFonts w:hint="eastAsia"/>
        </w:rPr>
        <w:t xml:space="preserve">科技方向表现强于指数，但主力资金集中在元件、通信设备、光学光电子与IT服务。</w:t>
      </w:r>
    </w:p>
    <w:p>
      <w:pPr>
        <w:pStyle w:val="Compact"/>
        <w:numPr>
          <w:ilvl w:val="0"/>
          <w:numId w:val="1025"/>
        </w:numPr>
      </w:pPr>
      <w:r>
        <w:rPr>
          <w:rFonts w:hint="eastAsia"/>
        </w:rPr>
        <w:t xml:space="preserve">电力设备、电池、锂电池和券商资金流出明显。</w:t>
      </w:r>
    </w:p>
    <w:p>
      <w:pPr>
        <w:pStyle w:val="Compact"/>
        <w:numPr>
          <w:ilvl w:val="0"/>
          <w:numId w:val="1025"/>
        </w:numPr>
      </w:pPr>
      <w:r>
        <w:rPr>
          <w:rFonts w:hint="eastAsia"/>
        </w:rPr>
        <w:t xml:space="preserve">宽基ETF持续获得申购，市场呈现“指数资金托底、个股广度偏弱、主线内部高换手”的组合。</w:t>
      </w:r>
    </w:p>
    <w:bookmarkEnd w:id="28"/>
    <w:bookmarkStart w:id="29" w:name="行为金融信号"/>
    <w:p>
      <w:pPr>
        <w:pStyle w:val="Heading3"/>
      </w:pPr>
      <w:r>
        <w:t xml:space="preserve">🧠 </w:t>
      </w:r>
      <w:r>
        <w:rPr>
          <w:rFonts w:hint="eastAsia"/>
        </w:rPr>
        <w:t xml:space="preserve">行为金融信号</w:t>
      </w:r>
    </w:p>
    <w:p>
      <w:pPr>
        <w:pStyle w:val="FirstParagraph"/>
      </w:pPr>
      <w:r>
        <w:rPr>
          <w:rStyle w:val="VerbatimChar"/>
        </w:rPr>
        <w:t xml:space="preserve">derived.behavioral_finance_signals</w:t>
      </w:r>
      <w:r>
        <w:rPr>
          <w:rFonts w:hint="eastAsia"/>
        </w:rPr>
        <w:t xml:space="preserve">风险分为1，立场为中性：</w:t>
      </w:r>
    </w:p>
    <w:p>
      <w:pPr>
        <w:pStyle w:val="Compact"/>
        <w:numPr>
          <w:ilvl w:val="0"/>
          <w:numId w:val="1026"/>
        </w:numPr>
      </w:pPr>
      <w:r>
        <w:rPr>
          <w:rFonts w:hint="eastAsia"/>
        </w:rPr>
        <w:t xml:space="preserve">未触发明确的FOMO追涨阈值。</w:t>
      </w:r>
    </w:p>
    <w:p>
      <w:pPr>
        <w:pStyle w:val="Compact"/>
        <w:numPr>
          <w:ilvl w:val="0"/>
          <w:numId w:val="1026"/>
        </w:numPr>
      </w:pPr>
      <w:r>
        <w:rPr>
          <w:rFonts w:hint="eastAsia"/>
        </w:rPr>
        <w:t xml:space="preserve">未触发估值或换手拥挤阈值。</w:t>
      </w:r>
    </w:p>
    <w:p>
      <w:pPr>
        <w:pStyle w:val="Compact"/>
        <w:numPr>
          <w:ilvl w:val="0"/>
          <w:numId w:val="1026"/>
        </w:numPr>
      </w:pPr>
      <w:r>
        <w:rPr>
          <w:rFonts w:hint="eastAsia"/>
        </w:rPr>
        <w:t xml:space="preserve">未触发亏损厌恶扩散阈值。</w:t>
      </w:r>
    </w:p>
    <w:p>
      <w:pPr>
        <w:pStyle w:val="Compact"/>
        <w:numPr>
          <w:ilvl w:val="0"/>
          <w:numId w:val="1026"/>
        </w:numPr>
      </w:pPr>
      <w:r>
        <w:rPr>
          <w:rFonts w:hint="eastAsia"/>
        </w:rPr>
        <w:t xml:space="preserve">但涨跌比只有0.589，说明多数股票承压，不能因隔夜美股上涨而无依据扩大仓位。</w:t>
      </w:r>
    </w:p>
    <w:p>
      <w:pPr>
        <w:pStyle w:val="Compact"/>
        <w:numPr>
          <w:ilvl w:val="0"/>
          <w:numId w:val="1026"/>
        </w:numPr>
      </w:pPr>
      <w:r>
        <w:rPr>
          <w:rFonts w:hint="eastAsia"/>
        </w:rPr>
        <w:t xml:space="preserve">昨日核心科技股同时进入流入榜与流出榜，反映高成交、高分歧，需防止锚定“净流入排名”而忽略趋势破位事实。</w:t>
      </w:r>
    </w:p>
    <w:p>
      <w:r>
        <w:pict>
          <v:rect style="width:0;height:1.5pt" o:hralign="center" o:hrstd="t" o:hr="t"/>
        </w:pict>
      </w:r>
    </w:p>
    <w:bookmarkEnd w:id="29"/>
    <w:bookmarkEnd w:id="30"/>
    <w:bookmarkStart w:id="39" w:name="上一交易日资金四榜"/>
    <w:p>
      <w:pPr>
        <w:pStyle w:val="Heading2"/>
      </w:pPr>
      <w:r>
        <w:t xml:space="preserve">💰 </w:t>
      </w:r>
      <w:r>
        <w:rPr>
          <w:rFonts w:hint="eastAsia"/>
        </w:rPr>
        <w:t xml:space="preserve">上一交易日资金四榜</w:t>
      </w:r>
    </w:p>
    <w:p>
      <w:pPr>
        <w:pStyle w:val="FirstParagraph"/>
      </w:pPr>
      <w:r>
        <w:rPr>
          <w:rFonts w:hint="eastAsia"/>
          <w:b/>
          <w:bCs/>
        </w:rPr>
        <w:t xml:space="preserve">统一口径：交易日2026年10月21日，15:00，</w:t>
      </w:r>
      <w:r>
        <w:rPr>
          <w:rStyle w:val="VerbatimChar"/>
          <w:b/>
          <w:bCs/>
        </w:rPr>
        <w:t xml:space="preserve">previous_close</w:t>
      </w:r>
      <w:r>
        <w:rPr>
          <w:rFonts w:hint="eastAsia"/>
          <w:b/>
          <w:bCs/>
        </w:rPr>
        <w:t xml:space="preserve">，申万二级行业，来源：华泰skill。盘前仅展示上一交易日资金金额，不混入报告日盘中行情。</w:t>
      </w:r>
    </w:p>
    <w:bookmarkStart w:id="31" w:name="流出top10板块15"/>
    <w:p>
      <w:pPr>
        <w:pStyle w:val="Heading3"/>
      </w:pPr>
      <w:r>
        <w:t xml:space="preserve">💰 </w:t>
      </w:r>
      <w:r>
        <w:rPr>
          <w:rFonts w:hint="eastAsia"/>
        </w:rPr>
        <w:t xml:space="preserve">流出TOP10板块（1—5）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电力设备</w:t>
            </w:r>
          </w:p>
        </w:tc>
        <w:tc>
          <w:tcPr/>
          <w:p>
            <w:pPr>
              <w:pStyle w:val="Compact"/>
              <w:jc w:val="right"/>
            </w:pPr>
            <w:r>
              <w:rPr>
                <w:rFonts w:hint="eastAsia"/>
              </w:rPr>
              <w:t xml:space="preserve">-57.74亿元</w:t>
            </w:r>
          </w:p>
        </w:tc>
      </w:tr>
      <w:tr>
        <w:tc>
          <w:tcPr/>
          <w:p>
            <w:pPr>
              <w:pStyle w:val="Compact"/>
              <w:jc w:val="right"/>
            </w:pPr>
            <w:r>
              <w:t xml:space="preserve">2</w:t>
            </w:r>
          </w:p>
        </w:tc>
        <w:tc>
          <w:tcPr/>
          <w:p>
            <w:pPr>
              <w:pStyle w:val="Compact"/>
            </w:pPr>
            <w:r>
              <w:rPr>
                <w:rFonts w:hint="eastAsia"/>
              </w:rPr>
              <w:t xml:space="preserve">电池</w:t>
            </w:r>
          </w:p>
        </w:tc>
        <w:tc>
          <w:tcPr/>
          <w:p>
            <w:pPr>
              <w:pStyle w:val="Compact"/>
              <w:jc w:val="right"/>
            </w:pPr>
            <w:r>
              <w:rPr>
                <w:rFonts w:hint="eastAsia"/>
              </w:rPr>
              <w:t xml:space="preserve">-52.13亿元</w:t>
            </w:r>
          </w:p>
        </w:tc>
      </w:tr>
      <w:tr>
        <w:tc>
          <w:tcPr/>
          <w:p>
            <w:pPr>
              <w:pStyle w:val="Compact"/>
              <w:jc w:val="right"/>
            </w:pPr>
            <w:r>
              <w:t xml:space="preserve">3</w:t>
            </w:r>
          </w:p>
        </w:tc>
        <w:tc>
          <w:tcPr/>
          <w:p>
            <w:pPr>
              <w:pStyle w:val="Compact"/>
            </w:pPr>
            <w:r>
              <w:rPr>
                <w:rFonts w:hint="eastAsia"/>
              </w:rPr>
              <w:t xml:space="preserve">锂电池</w:t>
            </w:r>
          </w:p>
        </w:tc>
        <w:tc>
          <w:tcPr/>
          <w:p>
            <w:pPr>
              <w:pStyle w:val="Compact"/>
              <w:jc w:val="right"/>
            </w:pPr>
            <w:r>
              <w:rPr>
                <w:rFonts w:hint="eastAsia"/>
              </w:rPr>
              <w:t xml:space="preserve">-27.40亿元</w:t>
            </w:r>
          </w:p>
        </w:tc>
      </w:tr>
      <w:tr>
        <w:tc>
          <w:tcPr/>
          <w:p>
            <w:pPr>
              <w:pStyle w:val="Compact"/>
              <w:jc w:val="right"/>
            </w:pPr>
            <w:r>
              <w:t xml:space="preserve">4</w:t>
            </w:r>
          </w:p>
        </w:tc>
        <w:tc>
          <w:tcPr/>
          <w:p>
            <w:pPr>
              <w:pStyle w:val="Compact"/>
            </w:pPr>
            <w:r>
              <w:rPr>
                <w:rFonts w:hint="eastAsia"/>
              </w:rPr>
              <w:t xml:space="preserve">汽车</w:t>
            </w:r>
          </w:p>
        </w:tc>
        <w:tc>
          <w:tcPr/>
          <w:p>
            <w:pPr>
              <w:pStyle w:val="Compact"/>
              <w:jc w:val="right"/>
            </w:pPr>
            <w:r>
              <w:rPr>
                <w:rFonts w:hint="eastAsia"/>
              </w:rPr>
              <w:t xml:space="preserve">-17.45亿元</w:t>
            </w:r>
          </w:p>
        </w:tc>
      </w:tr>
      <w:tr>
        <w:tc>
          <w:tcPr/>
          <w:p>
            <w:pPr>
              <w:pStyle w:val="Compact"/>
              <w:jc w:val="right"/>
            </w:pPr>
            <w:r>
              <w:t xml:space="preserve">5</w:t>
            </w:r>
          </w:p>
        </w:tc>
        <w:tc>
          <w:tcPr/>
          <w:p>
            <w:pPr>
              <w:pStyle w:val="Compact"/>
            </w:pPr>
            <w:r>
              <w:rPr>
                <w:rFonts w:hint="eastAsia"/>
              </w:rPr>
              <w:t xml:space="preserve">非银金融</w:t>
            </w:r>
          </w:p>
        </w:tc>
        <w:tc>
          <w:tcPr/>
          <w:p>
            <w:pPr>
              <w:pStyle w:val="Compact"/>
              <w:jc w:val="right"/>
            </w:pPr>
            <w:r>
              <w:rPr>
                <w:rFonts w:hint="eastAsia"/>
              </w:rPr>
              <w:t xml:space="preserve">-18.55亿元</w:t>
            </w:r>
          </w:p>
        </w:tc>
      </w:tr>
    </w:tbl>
    <w:bookmarkEnd w:id="31"/>
    <w:bookmarkStart w:id="32" w:name="流出top10板块610"/>
    <w:p>
      <w:pPr>
        <w:pStyle w:val="Heading3"/>
      </w:pPr>
      <w:r>
        <w:t xml:space="preserve">💰 </w:t>
      </w:r>
      <w:r>
        <w:rPr>
          <w:rFonts w:hint="eastAsia"/>
        </w:rPr>
        <w:t xml:space="preserve">流出TOP10板块（6—10）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证券Ⅱ</w:t>
            </w:r>
          </w:p>
        </w:tc>
        <w:tc>
          <w:tcPr/>
          <w:p>
            <w:pPr>
              <w:pStyle w:val="Compact"/>
              <w:jc w:val="right"/>
            </w:pPr>
            <w:r>
              <w:rPr>
                <w:rFonts w:hint="eastAsia"/>
              </w:rPr>
              <w:t xml:space="preserve">-19.22亿元</w:t>
            </w:r>
          </w:p>
        </w:tc>
      </w:tr>
      <w:tr>
        <w:tc>
          <w:tcPr/>
          <w:p>
            <w:pPr>
              <w:pStyle w:val="Compact"/>
              <w:jc w:val="right"/>
            </w:pPr>
            <w:r>
              <w:t xml:space="preserve">7</w:t>
            </w:r>
          </w:p>
        </w:tc>
        <w:tc>
          <w:tcPr/>
          <w:p>
            <w:pPr>
              <w:pStyle w:val="Compact"/>
            </w:pPr>
            <w:r>
              <w:rPr>
                <w:rFonts w:hint="eastAsia"/>
              </w:rPr>
              <w:t xml:space="preserve">电池化学品</w:t>
            </w:r>
          </w:p>
        </w:tc>
        <w:tc>
          <w:tcPr/>
          <w:p>
            <w:pPr>
              <w:pStyle w:val="Compact"/>
              <w:jc w:val="right"/>
            </w:pPr>
            <w:r>
              <w:rPr>
                <w:rFonts w:hint="eastAsia"/>
              </w:rPr>
              <w:t xml:space="preserve">-17.76亿元</w:t>
            </w:r>
          </w:p>
        </w:tc>
      </w:tr>
      <w:tr>
        <w:tc>
          <w:tcPr/>
          <w:p>
            <w:pPr>
              <w:pStyle w:val="Compact"/>
              <w:jc w:val="right"/>
            </w:pPr>
            <w:r>
              <w:t xml:space="preserve">8</w:t>
            </w:r>
          </w:p>
        </w:tc>
        <w:tc>
          <w:tcPr/>
          <w:p>
            <w:pPr>
              <w:pStyle w:val="Compact"/>
            </w:pPr>
            <w:r>
              <w:rPr>
                <w:rFonts w:hint="eastAsia"/>
              </w:rPr>
              <w:t xml:space="preserve">传媒</w:t>
            </w:r>
          </w:p>
        </w:tc>
        <w:tc>
          <w:tcPr/>
          <w:p>
            <w:pPr>
              <w:pStyle w:val="Compact"/>
              <w:jc w:val="right"/>
            </w:pPr>
            <w:r>
              <w:rPr>
                <w:rFonts w:hint="eastAsia"/>
              </w:rPr>
              <w:t xml:space="preserve">-14.99亿元</w:t>
            </w:r>
          </w:p>
        </w:tc>
      </w:tr>
      <w:tr>
        <w:tc>
          <w:tcPr/>
          <w:p>
            <w:pPr>
              <w:pStyle w:val="Compact"/>
              <w:jc w:val="right"/>
            </w:pPr>
            <w:r>
              <w:t xml:space="preserve">9</w:t>
            </w:r>
          </w:p>
        </w:tc>
        <w:tc>
          <w:tcPr/>
          <w:p>
            <w:pPr>
              <w:pStyle w:val="Compact"/>
            </w:pPr>
            <w:r>
              <w:rPr>
                <w:rFonts w:hint="eastAsia"/>
              </w:rPr>
              <w:t xml:space="preserve">半导体设备</w:t>
            </w:r>
          </w:p>
        </w:tc>
        <w:tc>
          <w:tcPr/>
          <w:p>
            <w:pPr>
              <w:pStyle w:val="Compact"/>
              <w:jc w:val="right"/>
            </w:pPr>
            <w:r>
              <w:rPr>
                <w:rFonts w:hint="eastAsia"/>
              </w:rPr>
              <w:t xml:space="preserve">-13.93亿元</w:t>
            </w:r>
          </w:p>
        </w:tc>
      </w:tr>
      <w:tr>
        <w:tc>
          <w:tcPr/>
          <w:p>
            <w:pPr>
              <w:pStyle w:val="Compact"/>
              <w:jc w:val="right"/>
            </w:pPr>
            <w:r>
              <w:t xml:space="preserve">10</w:t>
            </w:r>
          </w:p>
        </w:tc>
        <w:tc>
          <w:tcPr/>
          <w:p>
            <w:pPr>
              <w:pStyle w:val="Compact"/>
            </w:pPr>
            <w:r>
              <w:rPr>
                <w:rFonts w:hint="eastAsia"/>
              </w:rPr>
              <w:t xml:space="preserve">太阳能</w:t>
            </w:r>
          </w:p>
        </w:tc>
        <w:tc>
          <w:tcPr/>
          <w:p>
            <w:pPr>
              <w:pStyle w:val="Compact"/>
              <w:jc w:val="right"/>
            </w:pPr>
            <w:r>
              <w:rPr>
                <w:rFonts w:hint="eastAsia"/>
              </w:rPr>
              <w:t xml:space="preserve">-16.12亿元</w:t>
            </w:r>
          </w:p>
        </w:tc>
      </w:tr>
    </w:tbl>
    <w:bookmarkEnd w:id="32"/>
    <w:bookmarkStart w:id="33" w:name="流出top10个股15"/>
    <w:p>
      <w:pPr>
        <w:pStyle w:val="Heading3"/>
      </w:pPr>
      <w:r>
        <w:t xml:space="preserve">💰 </w:t>
      </w:r>
      <w:r>
        <w:rPr>
          <w:rFonts w:hint="eastAsia"/>
        </w:rPr>
        <w:t xml:space="preserve">流出TOP10个股（1—5）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1</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-200.54亿元</w:t>
            </w:r>
          </w:p>
        </w:tc>
      </w:tr>
      <w:tr>
        <w:tc>
          <w:tcPr/>
          <w:p>
            <w:pPr>
              <w:pStyle w:val="Compact"/>
              <w:jc w:val="right"/>
            </w:pPr>
            <w:r>
              <w:t xml:space="preserve">2</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-94.82亿元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-70.15亿元</w:t>
            </w:r>
          </w:p>
        </w:tc>
      </w:tr>
      <w:tr>
        <w:tc>
          <w:tcPr/>
          <w:p>
            <w:pPr>
              <w:pStyle w:val="Compact"/>
              <w:jc w:val="right"/>
            </w:pPr>
            <w:r>
              <w:t xml:space="preserve">4</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-50.12亿元</w:t>
            </w:r>
          </w:p>
        </w:tc>
      </w:tr>
      <w:tr>
        <w:tc>
          <w:tcPr/>
          <w:p>
            <w:pPr>
              <w:pStyle w:val="Compact"/>
              <w:jc w:val="right"/>
            </w:pPr>
            <w:r>
              <w:t xml:space="preserve">5</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-35.27亿元</w:t>
            </w:r>
          </w:p>
        </w:tc>
      </w:tr>
    </w:tbl>
    <w:bookmarkEnd w:id="33"/>
    <w:bookmarkStart w:id="34" w:name="流出top10个股610"/>
    <w:p>
      <w:pPr>
        <w:pStyle w:val="Heading3"/>
      </w:pPr>
      <w:r>
        <w:t xml:space="preserve">💰 </w:t>
      </w:r>
      <w:r>
        <w:rPr>
          <w:rFonts w:hint="eastAsia"/>
        </w:rPr>
        <w:t xml:space="preserve">流出TOP10个股（6—10）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主力净流出</w:t>
            </w:r>
          </w:p>
        </w:tc>
      </w:tr>
      <w:tr>
        <w:tc>
          <w:tcPr/>
          <w:p>
            <w:pPr>
              <w:pStyle w:val="Compact"/>
              <w:jc w:val="right"/>
            </w:pPr>
            <w:r>
              <w:t xml:space="preserve">6</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-34.21亿元</w:t>
            </w:r>
          </w:p>
        </w:tc>
      </w:tr>
      <w:tr>
        <w:tc>
          <w:tcPr/>
          <w:p>
            <w:pPr>
              <w:pStyle w:val="Compact"/>
              <w:jc w:val="right"/>
            </w:pPr>
            <w:r>
              <w:t xml:space="preserve">7</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-25.83亿元</w:t>
            </w:r>
          </w:p>
        </w:tc>
      </w:tr>
      <w:tr>
        <w:tc>
          <w:tcPr/>
          <w:p>
            <w:pPr>
              <w:pStyle w:val="Compact"/>
              <w:jc w:val="right"/>
            </w:pPr>
            <w:r>
              <w:t xml:space="preserve">8</w:t>
            </w:r>
          </w:p>
        </w:tc>
        <w:tc>
          <w:tcPr/>
          <w:p>
            <w:pPr>
              <w:pStyle w:val="Compact"/>
            </w:pPr>
            <w:r>
              <w:rPr>
                <w:rFonts w:hint="eastAsia"/>
              </w:rPr>
              <w:t xml:space="preserve">生益科技</w:t>
            </w:r>
          </w:p>
        </w:tc>
        <w:tc>
          <w:tcPr/>
          <w:p>
            <w:pPr>
              <w:pStyle w:val="Compact"/>
            </w:pPr>
            <w:r>
              <w:t xml:space="preserve">600183</w:t>
            </w:r>
          </w:p>
        </w:tc>
        <w:tc>
          <w:tcPr/>
          <w:p>
            <w:pPr>
              <w:pStyle w:val="Compact"/>
              <w:jc w:val="right"/>
            </w:pPr>
            <w:r>
              <w:rPr>
                <w:rFonts w:hint="eastAsia"/>
              </w:rPr>
              <w:t xml:space="preserve">-24.08亿元</w:t>
            </w:r>
          </w:p>
        </w:tc>
      </w:tr>
      <w:tr>
        <w:tc>
          <w:tcPr/>
          <w:p>
            <w:pPr>
              <w:pStyle w:val="Compact"/>
              <w:jc w:val="right"/>
            </w:pPr>
            <w:r>
              <w:t xml:space="preserve">9</w:t>
            </w:r>
          </w:p>
        </w:tc>
        <w:tc>
          <w:tcPr/>
          <w:p>
            <w:pPr>
              <w:pStyle w:val="Compact"/>
            </w:pPr>
            <w:r>
              <w:rPr>
                <w:rFonts w:hint="eastAsia"/>
              </w:rPr>
              <w:t xml:space="preserve">澜起科技</w:t>
            </w:r>
          </w:p>
        </w:tc>
        <w:tc>
          <w:tcPr/>
          <w:p>
            <w:pPr>
              <w:pStyle w:val="Compact"/>
            </w:pPr>
            <w:r>
              <w:t xml:space="preserve">688008</w:t>
            </w:r>
          </w:p>
        </w:tc>
        <w:tc>
          <w:tcPr/>
          <w:p>
            <w:pPr>
              <w:pStyle w:val="Compact"/>
              <w:jc w:val="right"/>
            </w:pPr>
            <w:r>
              <w:rPr>
                <w:rFonts w:hint="eastAsia"/>
              </w:rPr>
              <w:t xml:space="preserve">-23.34亿元</w:t>
            </w:r>
          </w:p>
        </w:tc>
      </w:tr>
      <w:tr>
        <w:tc>
          <w:tcPr/>
          <w:p>
            <w:pPr>
              <w:pStyle w:val="Compact"/>
              <w:jc w:val="right"/>
            </w:pPr>
            <w:r>
              <w:t xml:space="preserve">10</w:t>
            </w:r>
          </w:p>
        </w:tc>
        <w:tc>
          <w:tcPr/>
          <w:p>
            <w:pPr>
              <w:pStyle w:val="Compact"/>
            </w:pPr>
            <w:r>
              <w:rPr>
                <w:rFonts w:hint="eastAsia"/>
              </w:rPr>
              <w:t xml:space="preserve">亨通光电</w:t>
            </w:r>
          </w:p>
        </w:tc>
        <w:tc>
          <w:tcPr/>
          <w:p>
            <w:pPr>
              <w:pStyle w:val="Compact"/>
            </w:pPr>
            <w:r>
              <w:t xml:space="preserve">600487</w:t>
            </w:r>
          </w:p>
        </w:tc>
        <w:tc>
          <w:tcPr/>
          <w:p>
            <w:pPr>
              <w:pStyle w:val="Compact"/>
              <w:jc w:val="right"/>
            </w:pPr>
            <w:r>
              <w:rPr>
                <w:rFonts w:hint="eastAsia"/>
              </w:rPr>
              <w:t xml:space="preserve">-22.97亿元</w:t>
            </w:r>
          </w:p>
        </w:tc>
      </w:tr>
    </w:tbl>
    <w:bookmarkEnd w:id="34"/>
    <w:bookmarkStart w:id="35" w:name="流入top10板块15"/>
    <w:p>
      <w:pPr>
        <w:pStyle w:val="Heading3"/>
      </w:pPr>
      <w:r>
        <w:t xml:space="preserve">💰 </w:t>
      </w:r>
      <w:r>
        <w:rPr>
          <w:rFonts w:hint="eastAsia"/>
        </w:rPr>
        <w:t xml:space="preserve">流入TOP10板块（1—5）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元件</w:t>
            </w:r>
          </w:p>
        </w:tc>
        <w:tc>
          <w:tcPr/>
          <w:p>
            <w:pPr>
              <w:pStyle w:val="Compact"/>
              <w:jc w:val="right"/>
            </w:pPr>
            <w:r>
              <w:rPr>
                <w:rFonts w:hint="eastAsia"/>
              </w:rPr>
              <w:t xml:space="preserve">+19.68亿元</w:t>
            </w:r>
          </w:p>
        </w:tc>
      </w:tr>
      <w:tr>
        <w:tc>
          <w:tcPr/>
          <w:p>
            <w:pPr>
              <w:pStyle w:val="Compact"/>
              <w:jc w:val="right"/>
            </w:pPr>
            <w:r>
              <w:t xml:space="preserve">2</w:t>
            </w:r>
          </w:p>
        </w:tc>
        <w:tc>
          <w:tcPr/>
          <w:p>
            <w:pPr>
              <w:pStyle w:val="Compact"/>
            </w:pPr>
            <w:r>
              <w:rPr>
                <w:rFonts w:hint="eastAsia"/>
              </w:rPr>
              <w:t xml:space="preserve">通信设备</w:t>
            </w:r>
          </w:p>
        </w:tc>
        <w:tc>
          <w:tcPr/>
          <w:p>
            <w:pPr>
              <w:pStyle w:val="Compact"/>
              <w:jc w:val="right"/>
            </w:pPr>
            <w:r>
              <w:rPr>
                <w:rFonts w:hint="eastAsia"/>
              </w:rPr>
              <w:t xml:space="preserve">+15.49亿元</w:t>
            </w:r>
          </w:p>
        </w:tc>
      </w:tr>
      <w:tr>
        <w:tc>
          <w:tcPr/>
          <w:p>
            <w:pPr>
              <w:pStyle w:val="Compact"/>
              <w:jc w:val="right"/>
            </w:pPr>
            <w:r>
              <w:t xml:space="preserve">3</w:t>
            </w:r>
          </w:p>
        </w:tc>
        <w:tc>
          <w:tcPr/>
          <w:p>
            <w:pPr>
              <w:pStyle w:val="Compact"/>
            </w:pPr>
            <w:r>
              <w:rPr>
                <w:rFonts w:hint="eastAsia"/>
              </w:rPr>
              <w:t xml:space="preserve">光学光电子</w:t>
            </w:r>
          </w:p>
        </w:tc>
        <w:tc>
          <w:tcPr/>
          <w:p>
            <w:pPr>
              <w:pStyle w:val="Compact"/>
              <w:jc w:val="right"/>
            </w:pPr>
            <w:r>
              <w:rPr>
                <w:rFonts w:hint="eastAsia"/>
              </w:rPr>
              <w:t xml:space="preserve">+12.24亿元</w:t>
            </w:r>
          </w:p>
        </w:tc>
      </w:tr>
      <w:tr>
        <w:tc>
          <w:tcPr/>
          <w:p>
            <w:pPr>
              <w:pStyle w:val="Compact"/>
              <w:jc w:val="right"/>
            </w:pPr>
            <w:r>
              <w:t xml:space="preserve">4</w:t>
            </w:r>
          </w:p>
        </w:tc>
        <w:tc>
          <w:tcPr/>
          <w:p>
            <w:pPr>
              <w:pStyle w:val="Compact"/>
            </w:pPr>
            <w:r>
              <w:rPr>
                <w:rFonts w:hint="eastAsia"/>
              </w:rPr>
              <w:t xml:space="preserve">IT服务Ⅱ</w:t>
            </w:r>
          </w:p>
        </w:tc>
        <w:tc>
          <w:tcPr/>
          <w:p>
            <w:pPr>
              <w:pStyle w:val="Compact"/>
              <w:jc w:val="right"/>
            </w:pPr>
            <w:r>
              <w:rPr>
                <w:rFonts w:hint="eastAsia"/>
              </w:rPr>
              <w:t xml:space="preserve">+11.43亿元</w:t>
            </w:r>
          </w:p>
        </w:tc>
      </w:tr>
      <w:tr>
        <w:tc>
          <w:tcPr/>
          <w:p>
            <w:pPr>
              <w:pStyle w:val="Compact"/>
              <w:jc w:val="right"/>
            </w:pPr>
            <w:r>
              <w:t xml:space="preserve">5</w:t>
            </w:r>
          </w:p>
        </w:tc>
        <w:tc>
          <w:tcPr/>
          <w:p>
            <w:pPr>
              <w:pStyle w:val="Compact"/>
            </w:pPr>
            <w:r>
              <w:rPr>
                <w:rFonts w:hint="eastAsia"/>
              </w:rPr>
              <w:t xml:space="preserve">半导体</w:t>
            </w:r>
          </w:p>
        </w:tc>
        <w:tc>
          <w:tcPr/>
          <w:p>
            <w:pPr>
              <w:pStyle w:val="Compact"/>
              <w:jc w:val="right"/>
            </w:pPr>
            <w:r>
              <w:rPr>
                <w:rFonts w:hint="eastAsia"/>
              </w:rPr>
              <w:t xml:space="preserve">+9.52亿元</w:t>
            </w:r>
          </w:p>
        </w:tc>
      </w:tr>
    </w:tbl>
    <w:bookmarkEnd w:id="35"/>
    <w:bookmarkStart w:id="36" w:name="流入top10板块610"/>
    <w:p>
      <w:pPr>
        <w:pStyle w:val="Heading3"/>
      </w:pPr>
      <w:r>
        <w:t xml:space="preserve">💰 </w:t>
      </w:r>
      <w:r>
        <w:rPr>
          <w:rFonts w:hint="eastAsia"/>
        </w:rPr>
        <w:t xml:space="preserve">流入TOP10板块（6—10）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消费电子</w:t>
            </w:r>
          </w:p>
        </w:tc>
        <w:tc>
          <w:tcPr/>
          <w:p>
            <w:pPr>
              <w:pStyle w:val="Compact"/>
              <w:jc w:val="right"/>
            </w:pPr>
            <w:r>
              <w:rPr>
                <w:rFonts w:hint="eastAsia"/>
              </w:rPr>
              <w:t xml:space="preserve">+7.97亿元</w:t>
            </w:r>
          </w:p>
        </w:tc>
      </w:tr>
      <w:tr>
        <w:tc>
          <w:tcPr/>
          <w:p>
            <w:pPr>
              <w:pStyle w:val="Compact"/>
              <w:jc w:val="right"/>
            </w:pPr>
            <w:r>
              <w:t xml:space="preserve">7</w:t>
            </w:r>
          </w:p>
        </w:tc>
        <w:tc>
          <w:tcPr/>
          <w:p>
            <w:pPr>
              <w:pStyle w:val="Compact"/>
            </w:pPr>
            <w:r>
              <w:rPr>
                <w:rFonts w:hint="eastAsia"/>
              </w:rPr>
              <w:t xml:space="preserve">专用设备</w:t>
            </w:r>
          </w:p>
        </w:tc>
        <w:tc>
          <w:tcPr/>
          <w:p>
            <w:pPr>
              <w:pStyle w:val="Compact"/>
              <w:jc w:val="right"/>
            </w:pPr>
            <w:r>
              <w:rPr>
                <w:rFonts w:hint="eastAsia"/>
              </w:rPr>
              <w:t xml:space="preserve">+7.49亿元</w:t>
            </w:r>
          </w:p>
        </w:tc>
      </w:tr>
      <w:tr>
        <w:tc>
          <w:tcPr/>
          <w:p>
            <w:pPr>
              <w:pStyle w:val="Compact"/>
              <w:jc w:val="right"/>
            </w:pPr>
            <w:r>
              <w:t xml:space="preserve">8</w:t>
            </w:r>
          </w:p>
        </w:tc>
        <w:tc>
          <w:tcPr/>
          <w:p>
            <w:pPr>
              <w:pStyle w:val="Compact"/>
            </w:pPr>
            <w:r>
              <w:rPr>
                <w:rFonts w:hint="eastAsia"/>
              </w:rPr>
              <w:t xml:space="preserve">林业Ⅱ</w:t>
            </w:r>
          </w:p>
        </w:tc>
        <w:tc>
          <w:tcPr/>
          <w:p>
            <w:pPr>
              <w:pStyle w:val="Compact"/>
              <w:jc w:val="right"/>
            </w:pPr>
            <w:r>
              <w:rPr>
                <w:rFonts w:hint="eastAsia"/>
              </w:rPr>
              <w:t xml:space="preserve">+5.94亿元</w:t>
            </w:r>
          </w:p>
        </w:tc>
      </w:tr>
      <w:tr>
        <w:tc>
          <w:tcPr/>
          <w:p>
            <w:pPr>
              <w:pStyle w:val="Compact"/>
              <w:jc w:val="right"/>
            </w:pPr>
            <w:r>
              <w:t xml:space="preserve">9</w:t>
            </w:r>
          </w:p>
        </w:tc>
        <w:tc>
          <w:tcPr/>
          <w:p>
            <w:pPr>
              <w:pStyle w:val="Compact"/>
            </w:pPr>
            <w:r>
              <w:rPr>
                <w:rFonts w:hint="eastAsia"/>
              </w:rPr>
              <w:t xml:space="preserve">其他电子Ⅱ</w:t>
            </w:r>
          </w:p>
        </w:tc>
        <w:tc>
          <w:tcPr/>
          <w:p>
            <w:pPr>
              <w:pStyle w:val="Compact"/>
              <w:jc w:val="right"/>
            </w:pPr>
            <w:r>
              <w:rPr>
                <w:rFonts w:hint="eastAsia"/>
              </w:rPr>
              <w:t xml:space="preserve">+4.67亿元</w:t>
            </w:r>
          </w:p>
        </w:tc>
      </w:tr>
      <w:tr>
        <w:tc>
          <w:tcPr/>
          <w:p>
            <w:pPr>
              <w:pStyle w:val="Compact"/>
              <w:jc w:val="right"/>
            </w:pPr>
            <w:r>
              <w:t xml:space="preserve">10</w:t>
            </w:r>
          </w:p>
        </w:tc>
        <w:tc>
          <w:tcPr/>
          <w:p>
            <w:pPr>
              <w:pStyle w:val="Compact"/>
            </w:pPr>
            <w:r>
              <w:rPr>
                <w:rFonts w:hint="eastAsia"/>
              </w:rPr>
              <w:t xml:space="preserve">电子化学品Ⅱ</w:t>
            </w:r>
          </w:p>
        </w:tc>
        <w:tc>
          <w:tcPr/>
          <w:p>
            <w:pPr>
              <w:pStyle w:val="Compact"/>
              <w:jc w:val="right"/>
            </w:pPr>
            <w:r>
              <w:rPr>
                <w:rFonts w:hint="eastAsia"/>
              </w:rPr>
              <w:t xml:space="preserve">+4.26亿元</w:t>
            </w:r>
          </w:p>
        </w:tc>
      </w:tr>
    </w:tbl>
    <w:bookmarkEnd w:id="36"/>
    <w:bookmarkStart w:id="37" w:name="流入top10个股15"/>
    <w:p>
      <w:pPr>
        <w:pStyle w:val="Heading3"/>
      </w:pPr>
      <w:r>
        <w:t xml:space="preserve">💰 </w:t>
      </w:r>
      <w:r>
        <w:rPr>
          <w:rFonts w:hint="eastAsia"/>
        </w:rPr>
        <w:t xml:space="preserve">流入TOP10个股（1—5）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1</w:t>
            </w:r>
          </w:p>
        </w:tc>
        <w:tc>
          <w:tcPr/>
          <w:p>
            <w:pPr>
              <w:pStyle w:val="Compact"/>
            </w:pPr>
            <w:r>
              <w:rPr>
                <w:rFonts w:hint="eastAsia"/>
              </w:rPr>
              <w:t xml:space="preserve">宁德时代</w:t>
            </w:r>
          </w:p>
        </w:tc>
        <w:tc>
          <w:tcPr/>
          <w:p>
            <w:pPr>
              <w:pStyle w:val="Compact"/>
            </w:pPr>
            <w:r>
              <w:t xml:space="preserve">300750</w:t>
            </w:r>
          </w:p>
        </w:tc>
        <w:tc>
          <w:tcPr/>
          <w:p>
            <w:pPr>
              <w:pStyle w:val="Compact"/>
              <w:jc w:val="right"/>
            </w:pPr>
            <w:r>
              <w:rPr>
                <w:rFonts w:hint="eastAsia"/>
              </w:rPr>
              <w:t xml:space="preserve">+188.41亿元</w:t>
            </w:r>
          </w:p>
        </w:tc>
      </w:tr>
      <w:tr>
        <w:tc>
          <w:tcPr/>
          <w:p>
            <w:pPr>
              <w:pStyle w:val="Compact"/>
              <w:jc w:val="right"/>
            </w:pPr>
            <w:r>
              <w:t xml:space="preserve">2</w:t>
            </w:r>
          </w:p>
        </w:tc>
        <w:tc>
          <w:tcPr/>
          <w:p>
            <w:pPr>
              <w:pStyle w:val="Compact"/>
            </w:pPr>
            <w:r>
              <w:rPr>
                <w:rFonts w:hint="eastAsia"/>
              </w:rPr>
              <w:t xml:space="preserve">中际旭创</w:t>
            </w:r>
          </w:p>
        </w:tc>
        <w:tc>
          <w:tcPr/>
          <w:p>
            <w:pPr>
              <w:pStyle w:val="Compact"/>
            </w:pPr>
            <w:r>
              <w:t xml:space="preserve">300308</w:t>
            </w:r>
          </w:p>
        </w:tc>
        <w:tc>
          <w:tcPr/>
          <w:p>
            <w:pPr>
              <w:pStyle w:val="Compact"/>
              <w:jc w:val="right"/>
            </w:pPr>
            <w:r>
              <w:rPr>
                <w:rFonts w:hint="eastAsia"/>
              </w:rPr>
              <w:t xml:space="preserve">+93.14亿元</w:t>
            </w:r>
          </w:p>
        </w:tc>
      </w:tr>
      <w:tr>
        <w:tc>
          <w:tcPr/>
          <w:p>
            <w:pPr>
              <w:pStyle w:val="Compact"/>
              <w:jc w:val="right"/>
            </w:pPr>
            <w:r>
              <w:t xml:space="preserve">3</w:t>
            </w:r>
          </w:p>
        </w:tc>
        <w:tc>
          <w:tcPr/>
          <w:p>
            <w:pPr>
              <w:pStyle w:val="Compact"/>
            </w:pPr>
            <w:r>
              <w:rPr>
                <w:rFonts w:hint="eastAsia"/>
              </w:rPr>
              <w:t xml:space="preserve">新易盛</w:t>
            </w:r>
          </w:p>
        </w:tc>
        <w:tc>
          <w:tcPr/>
          <w:p>
            <w:pPr>
              <w:pStyle w:val="Compact"/>
            </w:pPr>
            <w:r>
              <w:t xml:space="preserve">300502</w:t>
            </w:r>
          </w:p>
        </w:tc>
        <w:tc>
          <w:tcPr/>
          <w:p>
            <w:pPr>
              <w:pStyle w:val="Compact"/>
              <w:jc w:val="right"/>
            </w:pPr>
            <w:r>
              <w:rPr>
                <w:rFonts w:hint="eastAsia"/>
              </w:rPr>
              <w:t xml:space="preserve">+62.26亿元</w:t>
            </w:r>
          </w:p>
        </w:tc>
      </w:tr>
      <w:tr>
        <w:tc>
          <w:tcPr/>
          <w:p>
            <w:pPr>
              <w:pStyle w:val="Compact"/>
              <w:jc w:val="right"/>
            </w:pPr>
            <w:r>
              <w:t xml:space="preserve">4</w:t>
            </w:r>
          </w:p>
        </w:tc>
        <w:tc>
          <w:tcPr/>
          <w:p>
            <w:pPr>
              <w:pStyle w:val="Compact"/>
            </w:pPr>
            <w:r>
              <w:rPr>
                <w:rFonts w:hint="eastAsia"/>
              </w:rPr>
              <w:t xml:space="preserve">长鑫科技</w:t>
            </w:r>
          </w:p>
        </w:tc>
        <w:tc>
          <w:tcPr/>
          <w:p>
            <w:pPr>
              <w:pStyle w:val="Compact"/>
            </w:pPr>
            <w:r>
              <w:t xml:space="preserve">688825</w:t>
            </w:r>
          </w:p>
        </w:tc>
        <w:tc>
          <w:tcPr/>
          <w:p>
            <w:pPr>
              <w:pStyle w:val="Compact"/>
              <w:jc w:val="right"/>
            </w:pPr>
            <w:r>
              <w:rPr>
                <w:rFonts w:hint="eastAsia"/>
              </w:rPr>
              <w:t xml:space="preserve">+52.27亿元</w:t>
            </w:r>
          </w:p>
        </w:tc>
      </w:tr>
      <w:tr>
        <w:tc>
          <w:tcPr/>
          <w:p>
            <w:pPr>
              <w:pStyle w:val="Compact"/>
              <w:jc w:val="right"/>
            </w:pPr>
            <w:r>
              <w:t xml:space="preserve">5</w:t>
            </w:r>
          </w:p>
        </w:tc>
        <w:tc>
          <w:tcPr/>
          <w:p>
            <w:pPr>
              <w:pStyle w:val="Compact"/>
            </w:pPr>
            <w:r>
              <w:rPr>
                <w:rFonts w:hint="eastAsia"/>
              </w:rPr>
              <w:t xml:space="preserve">源杰科技</w:t>
            </w:r>
          </w:p>
        </w:tc>
        <w:tc>
          <w:tcPr/>
          <w:p>
            <w:pPr>
              <w:pStyle w:val="Compact"/>
            </w:pPr>
            <w:r>
              <w:t xml:space="preserve">688498</w:t>
            </w:r>
          </w:p>
        </w:tc>
        <w:tc>
          <w:tcPr/>
          <w:p>
            <w:pPr>
              <w:pStyle w:val="Compact"/>
              <w:jc w:val="right"/>
            </w:pPr>
            <w:r>
              <w:rPr>
                <w:rFonts w:hint="eastAsia"/>
              </w:rPr>
              <w:t xml:space="preserve">+35.77亿元</w:t>
            </w:r>
          </w:p>
        </w:tc>
      </w:tr>
    </w:tbl>
    <w:bookmarkEnd w:id="37"/>
    <w:bookmarkStart w:id="38" w:name="流入top10个股610"/>
    <w:p>
      <w:pPr>
        <w:pStyle w:val="Heading3"/>
      </w:pPr>
      <w:r>
        <w:t xml:space="preserve">💰 </w:t>
      </w:r>
      <w:r>
        <w:rPr>
          <w:rFonts w:hint="eastAsia"/>
        </w:rPr>
        <w:t xml:space="preserve">流入TOP10个股（6—10）</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pPr>
            <w:r>
              <w:rPr>
                <w:rFonts w:hint="eastAsia"/>
              </w:rPr>
              <w:t xml:space="preserve">代码</w:t>
            </w:r>
          </w:p>
        </w:tc>
        <w:tc>
          <w:tcPr/>
          <w:p>
            <w:pPr>
              <w:pStyle w:val="Compact"/>
              <w:jc w:val="right"/>
            </w:pPr>
            <w:r>
              <w:rPr>
                <w:rFonts w:hint="eastAsia"/>
              </w:rPr>
              <w:t xml:space="preserve">主力净流入</w:t>
            </w:r>
          </w:p>
        </w:tc>
      </w:tr>
      <w:tr>
        <w:tc>
          <w:tcPr/>
          <w:p>
            <w:pPr>
              <w:pStyle w:val="Compact"/>
              <w:jc w:val="right"/>
            </w:pPr>
            <w:r>
              <w:t xml:space="preserve">6</w:t>
            </w:r>
          </w:p>
        </w:tc>
        <w:tc>
          <w:tcPr/>
          <w:p>
            <w:pPr>
              <w:pStyle w:val="Compact"/>
            </w:pPr>
            <w:r>
              <w:rPr>
                <w:rFonts w:hint="eastAsia"/>
              </w:rPr>
              <w:t xml:space="preserve">天孚通信</w:t>
            </w:r>
          </w:p>
        </w:tc>
        <w:tc>
          <w:tcPr/>
          <w:p>
            <w:pPr>
              <w:pStyle w:val="Compact"/>
            </w:pPr>
            <w:r>
              <w:t xml:space="preserve">300394</w:t>
            </w:r>
          </w:p>
        </w:tc>
        <w:tc>
          <w:tcPr/>
          <w:p>
            <w:pPr>
              <w:pStyle w:val="Compact"/>
              <w:jc w:val="right"/>
            </w:pPr>
            <w:r>
              <w:rPr>
                <w:rFonts w:hint="eastAsia"/>
              </w:rPr>
              <w:t xml:space="preserve">+33.15亿元</w:t>
            </w:r>
          </w:p>
        </w:tc>
      </w:tr>
      <w:tr>
        <w:tc>
          <w:tcPr/>
          <w:p>
            <w:pPr>
              <w:pStyle w:val="Compact"/>
              <w:jc w:val="right"/>
            </w:pPr>
            <w:r>
              <w:t xml:space="preserve">7</w:t>
            </w:r>
          </w:p>
        </w:tc>
        <w:tc>
          <w:tcPr/>
          <w:p>
            <w:pPr>
              <w:pStyle w:val="Compact"/>
            </w:pPr>
            <w:r>
              <w:rPr>
                <w:rFonts w:hint="eastAsia"/>
              </w:rPr>
              <w:t xml:space="preserve">寒武纪</w:t>
            </w:r>
          </w:p>
        </w:tc>
        <w:tc>
          <w:tcPr/>
          <w:p>
            <w:pPr>
              <w:pStyle w:val="Compact"/>
            </w:pPr>
            <w:r>
              <w:t xml:space="preserve">688256</w:t>
            </w:r>
          </w:p>
        </w:tc>
        <w:tc>
          <w:tcPr/>
          <w:p>
            <w:pPr>
              <w:pStyle w:val="Compact"/>
              <w:jc w:val="right"/>
            </w:pPr>
            <w:r>
              <w:rPr>
                <w:rFonts w:hint="eastAsia"/>
              </w:rPr>
              <w:t xml:space="preserve">+32.64亿元</w:t>
            </w:r>
          </w:p>
        </w:tc>
      </w:tr>
      <w:tr>
        <w:tc>
          <w:tcPr/>
          <w:p>
            <w:pPr>
              <w:pStyle w:val="Compact"/>
              <w:jc w:val="right"/>
            </w:pPr>
            <w:r>
              <w:t xml:space="preserve">8</w:t>
            </w:r>
          </w:p>
        </w:tc>
        <w:tc>
          <w:tcPr/>
          <w:p>
            <w:pPr>
              <w:pStyle w:val="Compact"/>
            </w:pPr>
            <w:r>
              <w:rPr>
                <w:rFonts w:hint="eastAsia"/>
              </w:rPr>
              <w:t xml:space="preserve">兆易创新</w:t>
            </w:r>
          </w:p>
        </w:tc>
        <w:tc>
          <w:tcPr/>
          <w:p>
            <w:pPr>
              <w:pStyle w:val="Compact"/>
            </w:pPr>
            <w:r>
              <w:t xml:space="preserve">603986</w:t>
            </w:r>
          </w:p>
        </w:tc>
        <w:tc>
          <w:tcPr/>
          <w:p>
            <w:pPr>
              <w:pStyle w:val="Compact"/>
              <w:jc w:val="right"/>
            </w:pPr>
            <w:r>
              <w:rPr>
                <w:rFonts w:hint="eastAsia"/>
              </w:rPr>
              <w:t xml:space="preserve">+29.56亿元</w:t>
            </w:r>
          </w:p>
        </w:tc>
      </w:tr>
      <w:tr>
        <w:tc>
          <w:tcPr/>
          <w:p>
            <w:pPr>
              <w:pStyle w:val="Compact"/>
              <w:jc w:val="right"/>
            </w:pPr>
            <w:r>
              <w:t xml:space="preserve">9</w:t>
            </w:r>
          </w:p>
        </w:tc>
        <w:tc>
          <w:tcPr/>
          <w:p>
            <w:pPr>
              <w:pStyle w:val="Compact"/>
            </w:pPr>
            <w:r>
              <w:rPr>
                <w:rFonts w:hint="eastAsia"/>
              </w:rPr>
              <w:t xml:space="preserve">生益科技</w:t>
            </w:r>
          </w:p>
        </w:tc>
        <w:tc>
          <w:tcPr/>
          <w:p>
            <w:pPr>
              <w:pStyle w:val="Compact"/>
            </w:pPr>
            <w:r>
              <w:t xml:space="preserve">600183</w:t>
            </w:r>
          </w:p>
        </w:tc>
        <w:tc>
          <w:tcPr/>
          <w:p>
            <w:pPr>
              <w:pStyle w:val="Compact"/>
              <w:jc w:val="right"/>
            </w:pPr>
            <w:r>
              <w:rPr>
                <w:rFonts w:hint="eastAsia"/>
              </w:rPr>
              <w:t xml:space="preserve">+28.27亿元</w:t>
            </w:r>
          </w:p>
        </w:tc>
      </w:tr>
      <w:tr>
        <w:tc>
          <w:tcPr/>
          <w:p>
            <w:pPr>
              <w:pStyle w:val="Compact"/>
              <w:jc w:val="right"/>
            </w:pPr>
            <w:r>
              <w:t xml:space="preserve">10</w:t>
            </w:r>
          </w:p>
        </w:tc>
        <w:tc>
          <w:tcPr/>
          <w:p>
            <w:pPr>
              <w:pStyle w:val="Compact"/>
            </w:pPr>
            <w:r>
              <w:rPr>
                <w:rFonts w:hint="eastAsia"/>
              </w:rPr>
              <w:t xml:space="preserve">澜起科技</w:t>
            </w:r>
          </w:p>
        </w:tc>
        <w:tc>
          <w:tcPr/>
          <w:p>
            <w:pPr>
              <w:pStyle w:val="Compact"/>
            </w:pPr>
            <w:r>
              <w:t xml:space="preserve">688008</w:t>
            </w:r>
          </w:p>
        </w:tc>
        <w:tc>
          <w:tcPr/>
          <w:p>
            <w:pPr>
              <w:pStyle w:val="Compact"/>
              <w:jc w:val="right"/>
            </w:pPr>
            <w:r>
              <w:rPr>
                <w:rFonts w:hint="eastAsia"/>
              </w:rPr>
              <w:t xml:space="preserve">+28.11亿元</w:t>
            </w:r>
          </w:p>
        </w:tc>
      </w:tr>
    </w:tbl>
    <w:p>
      <w:pPr>
        <w:pStyle w:val="BodyText"/>
      </w:pPr>
      <w:r>
        <w:t xml:space="preserve">⚠️ </w:t>
      </w:r>
      <w:r>
        <w:rPr>
          <w:rFonts w:hint="eastAsia"/>
        </w:rPr>
        <w:t xml:space="preserve">多只核心股同时出现在流入和流出榜，说明资金双向交易规模较大。不能把单侧流入金额直接理解为净买入结论，应结合股价、成交额和趋势状态判断真实承接。</w:t>
      </w:r>
    </w:p>
    <w:p>
      <w:r>
        <w:pict>
          <v:rect style="width:0;height:1.5pt" o:hralign="center" o:hrstd="t" o:hr="t"/>
        </w:pict>
      </w:r>
    </w:p>
    <w:bookmarkEnd w:id="38"/>
    <w:bookmarkEnd w:id="39"/>
    <w:bookmarkStart w:id="45" w:name="两融宽基etf成交额恐慌联合信号"/>
    <w:p>
      <w:pPr>
        <w:pStyle w:val="Heading2"/>
      </w:pPr>
      <w:r>
        <w:t xml:space="preserve">💧 </w:t>
      </w:r>
      <w:r>
        <w:rPr>
          <w:rFonts w:hint="eastAsia"/>
        </w:rPr>
        <w:t xml:space="preserve">两融·宽基ETF·成交额·恐慌联合信号</w:t>
      </w:r>
    </w:p>
    <w:bookmarkStart w:id="40" w:name="两融余额"/>
    <w:p>
      <w:pPr>
        <w:pStyle w:val="Heading3"/>
      </w:pPr>
      <w:r>
        <w:t xml:space="preserve">💰 </w:t>
      </w:r>
      <w:r>
        <w:rPr>
          <w:rFonts w:hint="eastAsia"/>
        </w:rPr>
        <w:t xml:space="preserve">两融余额</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指标</w:t>
            </w:r>
          </w:p>
        </w:tc>
        <w:tc>
          <w:tcPr/>
          <w:p>
            <w:pPr>
              <w:pStyle w:val="Compact"/>
              <w:jc w:val="right"/>
            </w:pPr>
            <w:r>
              <w:t xml:space="preserve">2026-10-20</w:t>
            </w:r>
          </w:p>
        </w:tc>
        <w:tc>
          <w:tcPr/>
          <w:p>
            <w:pPr>
              <w:pStyle w:val="Compact"/>
              <w:jc w:val="right"/>
            </w:pPr>
            <w:r>
              <w:t xml:space="preserve">2026-10-19</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24803.47亿元</w:t>
            </w:r>
          </w:p>
        </w:tc>
        <w:tc>
          <w:tcPr/>
          <w:p>
            <w:pPr>
              <w:pStyle w:val="Compact"/>
              <w:jc w:val="right"/>
            </w:pPr>
            <w:r>
              <w:rPr>
                <w:rFonts w:hint="eastAsia"/>
              </w:rPr>
              <w:t xml:space="preserve">24825.42亿元</w:t>
            </w:r>
          </w:p>
        </w:tc>
        <w:tc>
          <w:tcPr/>
          <w:p>
            <w:pPr>
              <w:pStyle w:val="Compact"/>
              <w:jc w:val="right"/>
            </w:pPr>
            <w:r>
              <w:rPr>
                <w:rFonts w:hint="eastAsia"/>
              </w:rPr>
              <w:t xml:space="preserve">-21.95亿元</w:t>
            </w:r>
          </w:p>
        </w:tc>
      </w:tr>
      <w:tr>
        <w:tc>
          <w:tcPr/>
          <w:p>
            <w:pPr>
              <w:pStyle w:val="Compact"/>
            </w:pPr>
            <w:r>
              <w:rPr>
                <w:rFonts w:hint="eastAsia"/>
              </w:rPr>
              <w:t xml:space="preserve">融资余额</w:t>
            </w:r>
          </w:p>
        </w:tc>
        <w:tc>
          <w:tcPr/>
          <w:p>
            <w:pPr>
              <w:pStyle w:val="Compact"/>
              <w:jc w:val="right"/>
            </w:pPr>
            <w:r>
              <w:rPr>
                <w:rFonts w:hint="eastAsia"/>
              </w:rPr>
              <w:t xml:space="preserve">24512.45亿元</w:t>
            </w:r>
          </w:p>
        </w:tc>
        <w:tc>
          <w:tcPr/>
          <w:p>
            <w:pPr>
              <w:pStyle w:val="Compact"/>
              <w:jc w:val="right"/>
            </w:pPr>
            <w:r>
              <w:rPr>
                <w:rFonts w:hint="eastAsia"/>
              </w:rPr>
              <w:t xml:space="preserve">24533.74亿元</w:t>
            </w:r>
          </w:p>
        </w:tc>
        <w:tc>
          <w:tcPr/>
          <w:p>
            <w:pPr>
              <w:pStyle w:val="Compact"/>
              <w:jc w:val="right"/>
            </w:pPr>
            <w:r>
              <w:rPr>
                <w:rFonts w:hint="eastAsia"/>
              </w:rPr>
              <w:t xml:space="preserve">-21.29亿元</w:t>
            </w:r>
          </w:p>
        </w:tc>
      </w:tr>
      <w:tr>
        <w:tc>
          <w:tcPr/>
          <w:p>
            <w:pPr>
              <w:pStyle w:val="Compact"/>
            </w:pPr>
            <w:r>
              <w:rPr>
                <w:rFonts w:hint="eastAsia"/>
              </w:rPr>
              <w:t xml:space="preserve">融券余额</w:t>
            </w:r>
          </w:p>
        </w:tc>
        <w:tc>
          <w:tcPr/>
          <w:p>
            <w:pPr>
              <w:pStyle w:val="Compact"/>
              <w:jc w:val="right"/>
            </w:pPr>
            <w:r>
              <w:rPr>
                <w:rFonts w:hint="eastAsia"/>
              </w:rPr>
              <w:t xml:space="preserve">291.02亿元</w:t>
            </w:r>
          </w:p>
        </w:tc>
        <w:tc>
          <w:tcPr/>
          <w:p>
            <w:pPr>
              <w:pStyle w:val="Compact"/>
              <w:jc w:val="right"/>
            </w:pPr>
            <w:r>
              <w:rPr>
                <w:rFonts w:hint="eastAsia"/>
              </w:rPr>
              <w:t xml:space="preserve">291.68亿元</w:t>
            </w:r>
          </w:p>
        </w:tc>
        <w:tc>
          <w:tcPr/>
          <w:p>
            <w:pPr>
              <w:pStyle w:val="Compact"/>
              <w:jc w:val="right"/>
            </w:pPr>
            <w:r>
              <w:rPr>
                <w:rFonts w:hint="eastAsia"/>
              </w:rPr>
              <w:t xml:space="preserve">-0.66亿元</w:t>
            </w:r>
          </w:p>
        </w:tc>
      </w:tr>
    </w:tbl>
    <w:p>
      <w:pPr>
        <w:pStyle w:val="Compact"/>
        <w:numPr>
          <w:ilvl w:val="0"/>
          <w:numId w:val="1027"/>
        </w:numPr>
      </w:pPr>
      <w:r>
        <w:rPr>
          <w:rFonts w:hint="eastAsia"/>
        </w:rPr>
        <w:t xml:space="preserve">实际最新结算日期为2026年10月20日。</w:t>
      </w:r>
    </w:p>
    <w:p>
      <w:pPr>
        <w:pStyle w:val="Compact"/>
        <w:numPr>
          <w:ilvl w:val="0"/>
          <w:numId w:val="1027"/>
        </w:numPr>
      </w:pPr>
      <w:r>
        <w:rPr>
          <w:rFonts w:hint="eastAsia"/>
          <w:b/>
          <w:bCs/>
        </w:rPr>
        <w:t xml:space="preserve">T+1滞后，报告日当日两融尚未发布</w:t>
      </w:r>
      <w:r>
        <w:t xml:space="preserve">。</w:t>
      </w:r>
    </w:p>
    <w:p>
      <w:pPr>
        <w:pStyle w:val="Compact"/>
        <w:numPr>
          <w:ilvl w:val="0"/>
          <w:numId w:val="1027"/>
        </w:numPr>
      </w:pPr>
      <w:r>
        <w:rPr>
          <w:rFonts w:hint="eastAsia"/>
        </w:rPr>
        <w:t xml:space="preserve">两融余额下降主要由融资余额减少驱动，表明杠杆资金风险偏好仍在收缩。</w:t>
      </w:r>
    </w:p>
    <w:p>
      <w:pPr>
        <w:pStyle w:val="Compact"/>
        <w:numPr>
          <w:ilvl w:val="0"/>
          <w:numId w:val="1027"/>
        </w:numPr>
      </w:pPr>
      <w:r>
        <w:rPr>
          <w:rFonts w:hint="eastAsia"/>
        </w:rPr>
        <w:t xml:space="preserve">融券余额同步小幅下降，但绝对变化远小于融资余额，不是本轮两融变化的主导因素。</w:t>
      </w:r>
    </w:p>
    <w:bookmarkEnd w:id="40"/>
    <w:bookmarkStart w:id="41" w:name="宽基etf份额变化"/>
    <w:p>
      <w:pPr>
        <w:pStyle w:val="Heading3"/>
      </w:pPr>
      <w:r>
        <w:t xml:space="preserve">💰 </w:t>
      </w:r>
      <w:r>
        <w:rPr>
          <w:rFonts w:hint="eastAsia"/>
        </w:rPr>
        <w:t xml:space="preserve">宽基ETF份额变化</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ETF</w:t>
            </w:r>
          </w:p>
        </w:tc>
        <w:tc>
          <w:tcPr/>
          <w:p>
            <w:pPr>
              <w:pStyle w:val="Compact"/>
              <w:jc w:val="right"/>
            </w:pPr>
            <w:r>
              <w:rPr>
                <w:rFonts w:hint="eastAsia"/>
              </w:rPr>
              <w:t xml:space="preserve">最新份额变化</w:t>
            </w:r>
          </w:p>
        </w:tc>
        <w:tc>
          <w:tcPr/>
          <w:p>
            <w:pPr>
              <w:pStyle w:val="Compact"/>
              <w:jc w:val="right"/>
            </w:pPr>
            <w:r>
              <w:rPr>
                <w:rFonts w:hint="eastAsia"/>
              </w:rPr>
              <w:t xml:space="preserve">估算净申购</w:t>
            </w:r>
          </w:p>
        </w:tc>
        <w:tc>
          <w:tcPr/>
          <w:p>
            <w:pPr>
              <w:pStyle w:val="Compact"/>
            </w:pPr>
            <w:r>
              <w:rPr>
                <w:rFonts w:hint="eastAsia"/>
              </w:rPr>
              <w:t xml:space="preserve">连续状态</w:t>
            </w:r>
          </w:p>
        </w:tc>
      </w:tr>
      <w:tr>
        <w:tc>
          <w:tcPr/>
          <w:p>
            <w:pPr>
              <w:pStyle w:val="Compact"/>
            </w:pPr>
            <w:r>
              <w:rPr>
                <w:rFonts w:hint="eastAsia"/>
              </w:rPr>
              <w:t xml:space="preserve">上证50ETF</w:t>
            </w:r>
          </w:p>
        </w:tc>
        <w:tc>
          <w:tcPr/>
          <w:p>
            <w:pPr>
              <w:pStyle w:val="Compact"/>
              <w:jc w:val="right"/>
            </w:pPr>
            <w:r>
              <w:rPr>
                <w:rFonts w:hint="eastAsia"/>
              </w:rPr>
              <w:t xml:space="preserve">+2.295亿份</w:t>
            </w:r>
          </w:p>
        </w:tc>
        <w:tc>
          <w:tcPr/>
          <w:p>
            <w:pPr>
              <w:pStyle w:val="Compact"/>
              <w:jc w:val="right"/>
            </w:pPr>
            <w:r>
              <w:rPr>
                <w:rFonts w:hint="eastAsia"/>
              </w:rPr>
              <w:t xml:space="preserve">+6.55亿元</w:t>
            </w:r>
          </w:p>
        </w:tc>
        <w:tc>
          <w:tcPr/>
          <w:p>
            <w:pPr>
              <w:pStyle w:val="Compact"/>
            </w:pPr>
            <w:r>
              <w:rPr>
                <w:rFonts w:hint="eastAsia"/>
              </w:rPr>
              <w:t xml:space="preserve">连续3个区间流入</w:t>
            </w:r>
          </w:p>
        </w:tc>
      </w:tr>
      <w:tr>
        <w:tc>
          <w:tcPr/>
          <w:p>
            <w:pPr>
              <w:pStyle w:val="Compact"/>
            </w:pPr>
            <w:r>
              <w:rPr>
                <w:rFonts w:hint="eastAsia"/>
              </w:rPr>
              <w:t xml:space="preserve">沪深300ETF</w:t>
            </w:r>
          </w:p>
        </w:tc>
        <w:tc>
          <w:tcPr/>
          <w:p>
            <w:pPr>
              <w:pStyle w:val="Compact"/>
              <w:jc w:val="right"/>
            </w:pPr>
            <w:r>
              <w:rPr>
                <w:rFonts w:hint="eastAsia"/>
              </w:rPr>
              <w:t xml:space="preserve">+7.983亿份</w:t>
            </w:r>
          </w:p>
        </w:tc>
        <w:tc>
          <w:tcPr/>
          <w:p>
            <w:pPr>
              <w:pStyle w:val="Compact"/>
              <w:jc w:val="right"/>
            </w:pPr>
            <w:r>
              <w:rPr>
                <w:rFonts w:hint="eastAsia"/>
              </w:rPr>
              <w:t xml:space="preserve">+33.41亿元</w:t>
            </w:r>
          </w:p>
        </w:tc>
        <w:tc>
          <w:tcPr/>
          <w:p>
            <w:pPr>
              <w:pStyle w:val="Compact"/>
            </w:pPr>
            <w:r>
              <w:rPr>
                <w:rFonts w:hint="eastAsia"/>
              </w:rPr>
              <w:t xml:space="preserve">连续3个区间流入</w:t>
            </w:r>
          </w:p>
        </w:tc>
      </w:tr>
      <w:tr>
        <w:tc>
          <w:tcPr/>
          <w:p>
            <w:pPr>
              <w:pStyle w:val="Compact"/>
            </w:pPr>
            <w:r>
              <w:rPr>
                <w:rFonts w:hint="eastAsia"/>
              </w:rPr>
              <w:t xml:space="preserve">科创50ETF</w:t>
            </w:r>
          </w:p>
        </w:tc>
        <w:tc>
          <w:tcPr/>
          <w:p>
            <w:pPr>
              <w:pStyle w:val="Compact"/>
              <w:jc w:val="right"/>
            </w:pPr>
            <w:r>
              <w:rPr>
                <w:rFonts w:hint="eastAsia"/>
              </w:rPr>
              <w:t xml:space="preserve">+10.470亿份</w:t>
            </w:r>
          </w:p>
        </w:tc>
        <w:tc>
          <w:tcPr/>
          <w:p>
            <w:pPr>
              <w:pStyle w:val="Compact"/>
              <w:jc w:val="right"/>
            </w:pPr>
            <w:r>
              <w:rPr>
                <w:rFonts w:hint="eastAsia"/>
              </w:rPr>
              <w:t xml:space="preserve">+14.85亿元</w:t>
            </w:r>
          </w:p>
        </w:tc>
        <w:tc>
          <w:tcPr/>
          <w:p>
            <w:pPr>
              <w:pStyle w:val="Compact"/>
            </w:pPr>
            <w:r>
              <w:rPr>
                <w:rFonts w:hint="eastAsia"/>
              </w:rPr>
              <w:t xml:space="preserve">连续3个区间流入</w:t>
            </w:r>
          </w:p>
        </w:tc>
      </w:tr>
      <w:tr>
        <w:tc>
          <w:tcPr/>
          <w:p>
            <w:pPr>
              <w:pStyle w:val="Compact"/>
            </w:pPr>
            <w:r>
              <w:rPr>
                <w:rFonts w:hint="eastAsia"/>
              </w:rPr>
              <w:t xml:space="preserve">创业板ETF</w:t>
            </w:r>
          </w:p>
        </w:tc>
        <w:tc>
          <w:tcPr/>
          <w:p>
            <w:pPr>
              <w:pStyle w:val="Compact"/>
              <w:jc w:val="right"/>
            </w:pPr>
            <w:r>
              <w:rPr>
                <w:rFonts w:hint="eastAsia"/>
              </w:rPr>
              <w:t xml:space="preserve">+18.610亿份</w:t>
            </w:r>
          </w:p>
        </w:tc>
        <w:tc>
          <w:tcPr/>
          <w:p>
            <w:pPr>
              <w:pStyle w:val="Compact"/>
              <w:jc w:val="right"/>
            </w:pPr>
            <w:r>
              <w:rPr>
                <w:rFonts w:hint="eastAsia"/>
              </w:rPr>
              <w:t xml:space="preserve">+50.49亿元</w:t>
            </w:r>
          </w:p>
        </w:tc>
        <w:tc>
          <w:tcPr/>
          <w:p>
            <w:pPr>
              <w:pStyle w:val="Compact"/>
            </w:pPr>
            <w:r>
              <w:rPr>
                <w:rFonts w:hint="eastAsia"/>
              </w:rPr>
              <w:t xml:space="preserve">连续3个区间流入</w:t>
            </w:r>
          </w:p>
        </w:tc>
      </w:tr>
      <w:tr>
        <w:tc>
          <w:tcPr/>
          <w:p>
            <w:pPr>
              <w:pStyle w:val="Compact"/>
            </w:pPr>
            <w:r>
              <w:rPr>
                <w:rFonts w:hint="eastAsia"/>
              </w:rPr>
              <w:t xml:space="preserve">创业板50ETF</w:t>
            </w:r>
          </w:p>
        </w:tc>
        <w:tc>
          <w:tcPr/>
          <w:p>
            <w:pPr>
              <w:pStyle w:val="Compact"/>
              <w:jc w:val="right"/>
            </w:pPr>
            <w:r>
              <w:rPr>
                <w:rFonts w:hint="eastAsia"/>
              </w:rPr>
              <w:t xml:space="preserve">+5.440亿份</w:t>
            </w:r>
          </w:p>
        </w:tc>
        <w:tc>
          <w:tcPr/>
          <w:p>
            <w:pPr>
              <w:pStyle w:val="Compact"/>
              <w:jc w:val="right"/>
            </w:pPr>
            <w:r>
              <w:rPr>
                <w:rFonts w:hint="eastAsia"/>
              </w:rPr>
              <w:t xml:space="preserve">+6.72亿元</w:t>
            </w:r>
          </w:p>
        </w:tc>
        <w:tc>
          <w:tcPr/>
          <w:p>
            <w:pPr>
              <w:pStyle w:val="Compact"/>
            </w:pPr>
            <w:r>
              <w:rPr>
                <w:rFonts w:hint="eastAsia"/>
              </w:rPr>
              <w:t xml:space="preserve">连续3个区间流入</w:t>
            </w:r>
          </w:p>
        </w:tc>
      </w:tr>
    </w:tbl>
    <w:p>
      <w:pPr>
        <w:pStyle w:val="Compact"/>
        <w:numPr>
          <w:ilvl w:val="0"/>
          <w:numId w:val="1028"/>
        </w:numPr>
      </w:pPr>
      <w:r>
        <w:rPr>
          <w:rFonts w:hint="eastAsia"/>
        </w:rPr>
        <w:t xml:space="preserve">五只宽基ETF均满足持续净申购和连续大额净申购条件。</w:t>
      </w:r>
    </w:p>
    <w:p>
      <w:pPr>
        <w:pStyle w:val="Compact"/>
        <w:numPr>
          <w:ilvl w:val="0"/>
          <w:numId w:val="1028"/>
        </w:numPr>
      </w:pPr>
      <w:r>
        <w:rPr>
          <w:rFonts w:hint="eastAsia"/>
        </w:rPr>
        <w:t xml:space="preserve">中证500ETF最新份额减少1080万份，估算净赎回0.74亿元。</w:t>
      </w:r>
    </w:p>
    <w:p>
      <w:pPr>
        <w:pStyle w:val="Compact"/>
        <w:numPr>
          <w:ilvl w:val="0"/>
          <w:numId w:val="1028"/>
        </w:numPr>
      </w:pPr>
      <w:r>
        <w:rPr>
          <w:rFonts w:hint="eastAsia"/>
        </w:rPr>
        <w:t xml:space="preserve">深证100ETF最新份额减少560万份，估算净赎回0.17亿元。</w:t>
      </w:r>
    </w:p>
    <w:p>
      <w:pPr>
        <w:pStyle w:val="Compact"/>
        <w:numPr>
          <w:ilvl w:val="0"/>
          <w:numId w:val="1028"/>
        </w:numPr>
      </w:pPr>
      <w:r>
        <w:rPr>
          <w:rFonts w:hint="eastAsia"/>
        </w:rPr>
        <w:t xml:space="preserve">资金更偏向上证50、沪深300、科创50与创业板核心宽基，而不是全面扩散。</w:t>
      </w:r>
    </w:p>
    <w:bookmarkEnd w:id="41"/>
    <w:bookmarkStart w:id="42" w:name="成交额质量"/>
    <w:p>
      <w:pPr>
        <w:pStyle w:val="Heading3"/>
      </w:pPr>
      <w:r>
        <w:t xml:space="preserve">📊 </w:t>
      </w:r>
      <w:r>
        <w:rPr>
          <w:rFonts w:hint="eastAsia"/>
        </w:rPr>
        <w:t xml:space="preserve">成交额质量</w:t>
      </w:r>
    </w:p>
    <w:p>
      <w:pPr>
        <w:pStyle w:val="Compact"/>
        <w:numPr>
          <w:ilvl w:val="0"/>
          <w:numId w:val="1029"/>
        </w:numPr>
      </w:pPr>
      <w:r>
        <w:rPr>
          <w:rFonts w:hint="eastAsia"/>
        </w:rPr>
        <w:t xml:space="preserve">上一交易日全市场成交额：14420.51亿元。</w:t>
      </w:r>
    </w:p>
    <w:p>
      <w:pPr>
        <w:pStyle w:val="Compact"/>
        <w:numPr>
          <w:ilvl w:val="0"/>
          <w:numId w:val="1029"/>
        </w:numPr>
      </w:pPr>
      <w:r>
        <w:rPr>
          <w:rFonts w:hint="eastAsia"/>
        </w:rPr>
        <w:t xml:space="preserve">前一交易日成交额：14715.24亿元。</w:t>
      </w:r>
    </w:p>
    <w:p>
      <w:pPr>
        <w:pStyle w:val="Compact"/>
        <w:numPr>
          <w:ilvl w:val="0"/>
          <w:numId w:val="1029"/>
        </w:numPr>
      </w:pPr>
      <w:r>
        <w:rPr>
          <w:rFonts w:hint="eastAsia"/>
        </w:rPr>
        <w:t xml:space="preserve">成交额减少：294.73亿元。</w:t>
      </w:r>
    </w:p>
    <w:p>
      <w:pPr>
        <w:pStyle w:val="Compact"/>
        <w:numPr>
          <w:ilvl w:val="0"/>
          <w:numId w:val="1029"/>
        </w:numPr>
      </w:pPr>
      <w:r>
        <w:rPr>
          <w:rFonts w:hint="eastAsia"/>
        </w:rPr>
        <w:t xml:space="preserve">成交额变化：-2.00%。</w:t>
      </w:r>
    </w:p>
    <w:p>
      <w:pPr>
        <w:pStyle w:val="Compact"/>
        <w:numPr>
          <w:ilvl w:val="0"/>
          <w:numId w:val="1029"/>
        </w:numPr>
      </w:pPr>
      <w:r>
        <w:rPr>
          <w:rFonts w:hint="eastAsia"/>
        </w:rPr>
        <w:t xml:space="preserve">判断：量能接近前一交易日，但没有形成显著放量反攻。</w:t>
      </w:r>
    </w:p>
    <w:bookmarkEnd w:id="42"/>
    <w:bookmarkStart w:id="43" w:name="etf-qvix"/>
    <w:p>
      <w:pPr>
        <w:pStyle w:val="Heading3"/>
      </w:pPr>
      <w:r>
        <w:t xml:space="preserve">⚠️ 300ETF QVIX</w:t>
      </w:r>
    </w:p>
    <w:p>
      <w:pPr>
        <w:pStyle w:val="Compact"/>
        <w:numPr>
          <w:ilvl w:val="0"/>
          <w:numId w:val="1030"/>
        </w:numPr>
      </w:pPr>
      <w:r>
        <w:rPr>
          <w:rFonts w:hint="eastAsia"/>
        </w:rPr>
        <w:t xml:space="preserve">最新结算值：18.43。</w:t>
      </w:r>
    </w:p>
    <w:p>
      <w:pPr>
        <w:pStyle w:val="Compact"/>
        <w:numPr>
          <w:ilvl w:val="0"/>
          <w:numId w:val="1030"/>
        </w:numPr>
      </w:pPr>
      <w:r>
        <w:rPr>
          <w:rFonts w:hint="eastAsia"/>
        </w:rPr>
        <w:t xml:space="preserve">前收盘：18.71。</w:t>
      </w:r>
    </w:p>
    <w:p>
      <w:pPr>
        <w:pStyle w:val="Compact"/>
        <w:numPr>
          <w:ilvl w:val="0"/>
          <w:numId w:val="1030"/>
        </w:numPr>
      </w:pPr>
      <w:r>
        <w:rPr>
          <w:rFonts w:hint="eastAsia"/>
        </w:rPr>
        <w:t xml:space="preserve">单日变化：-0.28，下降1.50%。</w:t>
      </w:r>
    </w:p>
    <w:p>
      <w:pPr>
        <w:pStyle w:val="Compact"/>
        <w:numPr>
          <w:ilvl w:val="0"/>
          <w:numId w:val="1030"/>
        </w:numPr>
      </w:pPr>
      <w:r>
        <w:rPr>
          <w:rFonts w:hint="eastAsia"/>
        </w:rPr>
        <w:t xml:space="preserve">20日峰值：22.10，出现于2026年10月15日。</w:t>
      </w:r>
    </w:p>
    <w:p>
      <w:pPr>
        <w:pStyle w:val="Compact"/>
        <w:numPr>
          <w:ilvl w:val="0"/>
          <w:numId w:val="1030"/>
        </w:numPr>
      </w:pPr>
      <w:r>
        <w:rPr>
          <w:rFonts w:hint="eastAsia"/>
        </w:rPr>
        <w:t xml:space="preserve">较20日峰值回落：16.61%。</w:t>
      </w:r>
    </w:p>
    <w:p>
      <w:pPr>
        <w:pStyle w:val="Compact"/>
        <w:numPr>
          <w:ilvl w:val="0"/>
          <w:numId w:val="1030"/>
        </w:numPr>
      </w:pPr>
      <w:r>
        <w:rPr>
          <w:rFonts w:hint="eastAsia"/>
        </w:rPr>
        <w:t xml:space="preserve">已满足较近期峰值回落超过10%且较前收盘下降的降温条件。</w:t>
      </w:r>
    </w:p>
    <w:bookmarkEnd w:id="43"/>
    <w:bookmarkStart w:id="44"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confirmed</w:t>
      </w:r>
      <w:r>
        <w:rPr>
          <w:rFonts w:hint="eastAsia"/>
        </w:rPr>
        <w:t xml:space="preserve">：</w:t>
      </w:r>
    </w:p>
    <w:p>
      <w:pPr>
        <w:pStyle w:val="BodyText"/>
      </w:pPr>
      <w:r>
        <w:rPr>
          <w:rFonts w:hint="eastAsia"/>
          <w:b/>
          <w:bCs/>
        </w:rPr>
        <w:t xml:space="preserve">恐慌高位降温且宽基ETF持续流入已确认。</w:t>
      </w:r>
    </w:p>
    <w:p>
      <w:pPr>
        <w:pStyle w:val="BodyText"/>
      </w:pPr>
      <w:r>
        <w:rPr>
          <w:rFonts w:hint="eastAsia"/>
        </w:rPr>
        <w:t xml:space="preserve">但该结论不等于个股趋势已经反转：</w:t>
      </w:r>
    </w:p>
    <w:p>
      <w:pPr>
        <w:pStyle w:val="Compact"/>
        <w:numPr>
          <w:ilvl w:val="0"/>
          <w:numId w:val="1031"/>
        </w:numPr>
      </w:pPr>
      <w:r>
        <w:rPr>
          <w:rFonts w:hint="eastAsia"/>
        </w:rPr>
        <w:t xml:space="preserve">正面证据：QVIX下降，五只核心宽基ETF连续流入。</w:t>
      </w:r>
    </w:p>
    <w:p>
      <w:pPr>
        <w:pStyle w:val="Compact"/>
        <w:numPr>
          <w:ilvl w:val="0"/>
          <w:numId w:val="1031"/>
        </w:numPr>
      </w:pPr>
      <w:r>
        <w:rPr>
          <w:rFonts w:hint="eastAsia"/>
        </w:rPr>
        <w:t xml:space="preserve">负面证据：两融余额下降，融资资金继续收缩；市场成交额减少2.00%；重点股右侧技术评级没有A/B级。</w:t>
      </w:r>
    </w:p>
    <w:p>
      <w:pPr>
        <w:pStyle w:val="Compact"/>
        <w:numPr>
          <w:ilvl w:val="0"/>
          <w:numId w:val="1031"/>
        </w:numPr>
      </w:pPr>
      <w:r>
        <w:rPr>
          <w:rFonts w:hint="eastAsia"/>
        </w:rPr>
        <w:t xml:space="preserve">操作含义：可以降低对系统性快速下跌的担忧，但仍应等待个股重新形成右侧趋势。</w:t>
      </w:r>
    </w:p>
    <w:p>
      <w:r>
        <w:pict>
          <v:rect style="width:0;height:1.5pt" o:hralign="center" o:hrstd="t" o:hr="t"/>
        </w:pict>
      </w:r>
    </w:p>
    <w:bookmarkEnd w:id="44"/>
    <w:bookmarkEnd w:id="45"/>
    <w:bookmarkStart w:id="46" w:name="外资与离岸风险偏好"/>
    <w:p>
      <w:pPr>
        <w:pStyle w:val="Heading2"/>
      </w:pPr>
      <w:r>
        <w:t xml:space="preserve">🌏 </w:t>
      </w:r>
      <w:r>
        <w:rPr>
          <w:rFonts w:hint="eastAsia"/>
        </w:rPr>
        <w:t xml:space="preserve">外资与离岸风险偏好</w:t>
      </w:r>
    </w:p>
    <w:p>
      <w:pPr>
        <w:pStyle w:val="Compact"/>
        <w:numPr>
          <w:ilvl w:val="0"/>
          <w:numId w:val="1032"/>
        </w:numPr>
      </w:pPr>
      <w:r>
        <w:rPr>
          <w:rFonts w:hint="eastAsia"/>
        </w:rPr>
        <w:t xml:space="preserve">富时中国A50期指上涨0.30%，显示盘前中国资产情绪偏正面。</w:t>
      </w:r>
    </w:p>
    <w:p>
      <w:pPr>
        <w:pStyle w:val="Compact"/>
        <w:numPr>
          <w:ilvl w:val="0"/>
          <w:numId w:val="1032"/>
        </w:numPr>
      </w:pPr>
      <w:r>
        <w:rPr>
          <w:rFonts w:hint="eastAsia"/>
        </w:rPr>
        <w:t xml:space="preserve">离岸人民币报6.6728，波动仅-0.01%，汇率端未出现明显避险冲击。</w:t>
      </w:r>
    </w:p>
    <w:p>
      <w:pPr>
        <w:pStyle w:val="Compact"/>
        <w:numPr>
          <w:ilvl w:val="0"/>
          <w:numId w:val="1032"/>
        </w:numPr>
      </w:pPr>
      <w:r>
        <w:rPr>
          <w:rFonts w:hint="eastAsia"/>
        </w:rPr>
        <w:t xml:space="preserve">恒生指数上一时段下跌0.90%，说明港股风险偏好尚未同步转强。</w:t>
      </w:r>
    </w:p>
    <w:p>
      <w:pPr>
        <w:pStyle w:val="Compact"/>
        <w:numPr>
          <w:ilvl w:val="0"/>
          <w:numId w:val="1032"/>
        </w:numPr>
      </w:pPr>
      <w:r>
        <w:rPr>
          <w:rFonts w:hint="eastAsia"/>
        </w:rPr>
        <w:t xml:space="preserve">宽基ETF持续流入构成境内长线资金托底信号，但北向资金当日实时净流数据未在采集JSON中核验，不补数。</w:t>
      </w:r>
    </w:p>
    <w:p>
      <w:pPr>
        <w:pStyle w:val="FirstParagraph"/>
      </w:pPr>
      <w:r>
        <w:t xml:space="preserve">💡 </w:t>
      </w:r>
      <w:r>
        <w:rPr>
          <w:rFonts w:hint="eastAsia"/>
        </w:rPr>
        <w:t xml:space="preserve">综合判断：</w:t>
      </w:r>
    </w:p>
    <w:p>
      <w:pPr>
        <w:pStyle w:val="Compact"/>
        <w:numPr>
          <w:ilvl w:val="0"/>
          <w:numId w:val="1033"/>
        </w:numPr>
      </w:pPr>
      <w:r>
        <w:rPr>
          <w:rFonts w:hint="eastAsia"/>
        </w:rPr>
        <w:t xml:space="preserve">离岸环境偏中性略暖，不构成A股开盘的主要压制。</w:t>
      </w:r>
    </w:p>
    <w:p>
      <w:pPr>
        <w:pStyle w:val="Compact"/>
        <w:numPr>
          <w:ilvl w:val="0"/>
          <w:numId w:val="1033"/>
        </w:numPr>
      </w:pPr>
      <w:r>
        <w:rPr>
          <w:rFonts w:hint="eastAsia"/>
        </w:rPr>
        <w:t xml:space="preserve">若A50上涨能够传导至沪深300、科创50放量走强，外部风险偏好才算有效落地。</w:t>
      </w:r>
    </w:p>
    <w:p>
      <w:pPr>
        <w:pStyle w:val="Compact"/>
        <w:numPr>
          <w:ilvl w:val="0"/>
          <w:numId w:val="1033"/>
        </w:numPr>
      </w:pPr>
      <w:r>
        <w:rPr>
          <w:rFonts w:hint="eastAsia"/>
        </w:rPr>
        <w:t xml:space="preserve">若人民币转弱、恒生科技承压而A股科技高开低走，应迅速降低进攻仓位。</w:t>
      </w:r>
    </w:p>
    <w:p>
      <w:r>
        <w:pict>
          <v:rect style="width:0;height:1.5pt" o:hralign="center" o:hrstd="t" o:hr="t"/>
        </w:pict>
      </w:r>
    </w:p>
    <w:bookmarkEnd w:id="46"/>
    <w:bookmarkStart w:id="49" w:name="市场风格预判权重托底科技修复分化仍大"/>
    <w:p>
      <w:pPr>
        <w:pStyle w:val="Heading2"/>
      </w:pPr>
      <w:r>
        <w:t xml:space="preserve">🎨 </w:t>
      </w:r>
      <w:r>
        <w:rPr>
          <w:rFonts w:hint="eastAsia"/>
        </w:rPr>
        <w:t xml:space="preserve">市场风格预判：权重托底，科技修复，分化仍大</w:t>
      </w:r>
    </w:p>
    <w:bookmarkStart w:id="47" w:name="基准预判"/>
    <w:p>
      <w:pPr>
        <w:pStyle w:val="Heading3"/>
      </w:pPr>
      <w:r>
        <w:t xml:space="preserve">🧭 </w:t>
      </w:r>
      <w:r>
        <w:rPr>
          <w:rFonts w:hint="eastAsia"/>
        </w:rPr>
        <w:t xml:space="preserve">基准预判</w:t>
      </w:r>
    </w:p>
    <w:p>
      <w:pPr>
        <w:pStyle w:val="Compact"/>
        <w:numPr>
          <w:ilvl w:val="0"/>
          <w:numId w:val="1034"/>
        </w:numPr>
      </w:pPr>
      <w:r>
        <w:rPr>
          <w:rFonts w:hint="eastAsia"/>
          <w:b/>
          <w:bCs/>
        </w:rPr>
        <w:t xml:space="preserve">大盘与小盘：偏权重。</w:t>
      </w:r>
      <w:r>
        <w:t xml:space="preserve"> </w:t>
      </w:r>
      <w:r>
        <w:rPr>
          <w:rFonts w:hint="eastAsia"/>
        </w:rPr>
        <w:t xml:space="preserve">宽基资金集中于上证50、沪深300、科创50和创业板核心产品，中证500、深证100出现小幅净赎回。</w:t>
      </w:r>
    </w:p>
    <w:p>
      <w:pPr>
        <w:pStyle w:val="Compact"/>
        <w:numPr>
          <w:ilvl w:val="0"/>
          <w:numId w:val="1034"/>
        </w:numPr>
      </w:pPr>
      <w:r>
        <w:rPr>
          <w:rFonts w:hint="eastAsia"/>
          <w:b/>
          <w:bCs/>
        </w:rPr>
        <w:t xml:space="preserve">成长与价值：均衡偏科技修复。</w:t>
      </w:r>
      <w:r>
        <w:t xml:space="preserve"> </w:t>
      </w:r>
      <w:r>
        <w:rPr>
          <w:rFonts w:hint="eastAsia"/>
        </w:rPr>
        <w:t xml:space="preserve">隔夜半导体上涨和国内科技政策形成催化，但重点股日K趋势普遍破位。</w:t>
      </w:r>
    </w:p>
    <w:p>
      <w:pPr>
        <w:pStyle w:val="Compact"/>
        <w:numPr>
          <w:ilvl w:val="0"/>
          <w:numId w:val="1034"/>
        </w:numPr>
      </w:pPr>
      <w:r>
        <w:rPr>
          <w:rFonts w:hint="eastAsia"/>
          <w:b/>
          <w:bCs/>
        </w:rPr>
        <w:t xml:space="preserve">机构与题材：机构成交额核心主导。</w:t>
      </w:r>
      <w:r>
        <w:t xml:space="preserve"> </w:t>
      </w:r>
      <w:r>
        <w:rPr>
          <w:rFonts w:hint="eastAsia"/>
        </w:rPr>
        <w:t xml:space="preserve">昨日资金集中于元件、通信设备、光学光电子及大成交额科技股。</w:t>
      </w:r>
    </w:p>
    <w:p>
      <w:pPr>
        <w:pStyle w:val="Compact"/>
        <w:numPr>
          <w:ilvl w:val="0"/>
          <w:numId w:val="1034"/>
        </w:numPr>
      </w:pPr>
      <w:r>
        <w:rPr>
          <w:rFonts w:hint="eastAsia"/>
          <w:b/>
          <w:bCs/>
        </w:rPr>
        <w:t xml:space="preserve">进攻与防守：先防守，后确认。</w:t>
      </w:r>
      <w:r>
        <w:t xml:space="preserve"> </w:t>
      </w:r>
      <w:r>
        <w:rPr>
          <w:rFonts w:hint="eastAsia"/>
        </w:rPr>
        <w:t xml:space="preserve">恐慌降温不等于趋势反转，盘中只有放量站稳关键均线才能提高进攻级别。</w:t>
      </w:r>
    </w:p>
    <w:bookmarkEnd w:id="47"/>
    <w:bookmarkStart w:id="48" w:name="盘中验证顺序"/>
    <w:p>
      <w:pPr>
        <w:pStyle w:val="Heading3"/>
      </w:pPr>
      <w:r>
        <w:t xml:space="preserve">🔎 </w:t>
      </w:r>
      <w:r>
        <w:rPr>
          <w:rFonts w:hint="eastAsia"/>
        </w:rPr>
        <w:t xml:space="preserve">盘中验证顺序</w:t>
      </w:r>
    </w:p>
    <w:p>
      <w:pPr>
        <w:pStyle w:val="Compact"/>
        <w:numPr>
          <w:ilvl w:val="0"/>
          <w:numId w:val="1035"/>
        </w:numPr>
      </w:pPr>
      <w:r>
        <w:rPr>
          <w:rFonts w:hint="eastAsia"/>
        </w:rPr>
        <w:t xml:space="preserve">观察上证指数能否收复并站稳昨日收盘附近压力。</w:t>
      </w:r>
    </w:p>
    <w:p>
      <w:pPr>
        <w:pStyle w:val="Compact"/>
        <w:numPr>
          <w:ilvl w:val="0"/>
          <w:numId w:val="1035"/>
        </w:numPr>
      </w:pPr>
      <w:r>
        <w:rPr>
          <w:rFonts w:hint="eastAsia"/>
        </w:rPr>
        <w:t xml:space="preserve">观察科创50能否延续相对强势并形成放量。</w:t>
      </w:r>
    </w:p>
    <w:p>
      <w:pPr>
        <w:pStyle w:val="Compact"/>
        <w:numPr>
          <w:ilvl w:val="0"/>
          <w:numId w:val="1035"/>
        </w:numPr>
      </w:pPr>
      <w:r>
        <w:rPr>
          <w:rFonts w:hint="eastAsia"/>
        </w:rPr>
        <w:t xml:space="preserve">观察元件、通信设备、半导体的资金是否继续净流入。</w:t>
      </w:r>
    </w:p>
    <w:p>
      <w:pPr>
        <w:pStyle w:val="Compact"/>
        <w:numPr>
          <w:ilvl w:val="0"/>
          <w:numId w:val="1035"/>
        </w:numPr>
      </w:pPr>
      <w:r>
        <w:rPr>
          <w:rFonts w:hint="eastAsia"/>
        </w:rPr>
        <w:t xml:space="preserve">观察高成交额核心股是否停止高开低走。</w:t>
      </w:r>
    </w:p>
    <w:p>
      <w:pPr>
        <w:pStyle w:val="Compact"/>
        <w:numPr>
          <w:ilvl w:val="0"/>
          <w:numId w:val="1035"/>
        </w:numPr>
      </w:pPr>
      <w:r>
        <w:rPr>
          <w:rFonts w:hint="eastAsia"/>
        </w:rPr>
        <w:t xml:space="preserve">观察全市场涨跌比能否回到1以上。</w:t>
      </w:r>
    </w:p>
    <w:p>
      <w:r>
        <w:pict>
          <v:rect style="width:0;height:1.5pt" o:hralign="center" o:hrstd="t" o:hr="t"/>
        </w:pict>
      </w:r>
    </w:p>
    <w:bookmarkEnd w:id="48"/>
    <w:bookmarkEnd w:id="49"/>
    <w:bookmarkStart w:id="55" w:name="投资方向分层"/>
    <w:p>
      <w:pPr>
        <w:pStyle w:val="Heading2"/>
      </w:pPr>
      <w:r>
        <w:t xml:space="preserve">🧩 </w:t>
      </w:r>
      <w:r>
        <w:rPr>
          <w:rFonts w:hint="eastAsia"/>
        </w:rPr>
        <w:t xml:space="preserve">投资方向分层</w:t>
      </w:r>
    </w:p>
    <w:bookmarkStart w:id="50" w:name="可参与宽基etf的低吸型配置不追高"/>
    <w:p>
      <w:pPr>
        <w:pStyle w:val="Heading3"/>
      </w:pPr>
      <w:r>
        <w:t xml:space="preserve">✅ </w:t>
      </w:r>
      <w:r>
        <w:rPr>
          <w:rFonts w:hint="eastAsia"/>
        </w:rPr>
        <w:t xml:space="preserve">可参与：宽基ETF的低吸型配置，不追高</w:t>
      </w:r>
    </w:p>
    <w:p>
      <w:pPr>
        <w:pStyle w:val="FirstParagraph"/>
      </w:pPr>
      <w:r>
        <w:rPr>
          <w:rFonts w:hint="eastAsia"/>
          <w:b/>
          <w:bCs/>
        </w:rPr>
        <w:t xml:space="preserve">证据链：</w:t>
      </w:r>
    </w:p>
    <w:p>
      <w:pPr>
        <w:pStyle w:val="Compact"/>
        <w:numPr>
          <w:ilvl w:val="0"/>
          <w:numId w:val="1036"/>
        </w:numPr>
      </w:pPr>
      <w:r>
        <w:t xml:space="preserve">300ETF </w:t>
      </w:r>
      <w:r>
        <w:rPr>
          <w:rFonts w:hint="eastAsia"/>
        </w:rPr>
        <w:t xml:space="preserve">QVIX较20日峰值回落16.61%。</w:t>
      </w:r>
    </w:p>
    <w:p>
      <w:pPr>
        <w:pStyle w:val="Compact"/>
        <w:numPr>
          <w:ilvl w:val="0"/>
          <w:numId w:val="1036"/>
        </w:numPr>
      </w:pPr>
      <w:r>
        <w:rPr>
          <w:rFonts w:hint="eastAsia"/>
        </w:rPr>
        <w:t xml:space="preserve">上证50ETF、沪深300ETF、科创50ETF、创业板ETF、创业板50ETF均连续3个区间净申购。</w:t>
      </w:r>
    </w:p>
    <w:p>
      <w:pPr>
        <w:pStyle w:val="Compact"/>
        <w:numPr>
          <w:ilvl w:val="0"/>
          <w:numId w:val="1036"/>
        </w:numPr>
      </w:pPr>
      <w:r>
        <w:rPr>
          <w:rFonts w:hint="eastAsia"/>
        </w:rPr>
        <w:t xml:space="preserve">沪深300ETF最新估算净申购33.41亿元，创业板ETF为50.49亿元。</w:t>
      </w:r>
    </w:p>
    <w:p>
      <w:pPr>
        <w:pStyle w:val="Compact"/>
        <w:numPr>
          <w:ilvl w:val="0"/>
          <w:numId w:val="1036"/>
        </w:numPr>
      </w:pPr>
      <w:r>
        <w:rPr>
          <w:rFonts w:hint="eastAsia"/>
        </w:rPr>
        <w:t xml:space="preserve">联合信号状态为</w:t>
      </w:r>
      <w:r>
        <w:rPr>
          <w:rStyle w:val="VerbatimChar"/>
        </w:rPr>
        <w:t xml:space="preserve">confirmed</w:t>
      </w:r>
      <w:r>
        <w:t xml:space="preserve">。</w:t>
      </w:r>
    </w:p>
    <w:p>
      <w:pPr>
        <w:pStyle w:val="FirstParagraph"/>
      </w:pPr>
      <w:r>
        <w:rPr>
          <w:rFonts w:hint="eastAsia"/>
          <w:b/>
          <w:bCs/>
        </w:rPr>
        <w:t xml:space="preserve">核心标的：</w:t>
      </w:r>
    </w:p>
    <w:p>
      <w:pPr>
        <w:pStyle w:val="Compact"/>
        <w:numPr>
          <w:ilvl w:val="0"/>
          <w:numId w:val="1037"/>
        </w:numPr>
      </w:pPr>
      <w:r>
        <w:rPr>
          <w:rFonts w:hint="eastAsia"/>
        </w:rPr>
        <w:t xml:space="preserve">沪深300ETF（510300）</w:t>
      </w:r>
    </w:p>
    <w:p>
      <w:pPr>
        <w:pStyle w:val="Compact"/>
        <w:numPr>
          <w:ilvl w:val="0"/>
          <w:numId w:val="1037"/>
        </w:numPr>
      </w:pPr>
      <w:r>
        <w:rPr>
          <w:rFonts w:hint="eastAsia"/>
        </w:rPr>
        <w:t xml:space="preserve">科创50ETF（588000）</w:t>
      </w:r>
    </w:p>
    <w:p>
      <w:pPr>
        <w:pStyle w:val="Compact"/>
        <w:numPr>
          <w:ilvl w:val="0"/>
          <w:numId w:val="1037"/>
        </w:numPr>
      </w:pPr>
      <w:r>
        <w:rPr>
          <w:rFonts w:hint="eastAsia"/>
        </w:rPr>
        <w:t xml:space="preserve">创业板ETF（159915）</w:t>
      </w:r>
    </w:p>
    <w:p>
      <w:pPr>
        <w:pStyle w:val="Compact"/>
        <w:numPr>
          <w:ilvl w:val="0"/>
          <w:numId w:val="1037"/>
        </w:numPr>
      </w:pPr>
      <w:r>
        <w:rPr>
          <w:rFonts w:hint="eastAsia"/>
        </w:rPr>
        <w:t xml:space="preserve">上证50ETF（510050）</w:t>
      </w:r>
    </w:p>
    <w:p>
      <w:pPr>
        <w:pStyle w:val="FirstParagraph"/>
      </w:pPr>
      <w:r>
        <w:rPr>
          <w:rFonts w:hint="eastAsia"/>
          <w:b/>
          <w:bCs/>
        </w:rPr>
        <w:t xml:space="preserve">触发条件：</w:t>
      </w:r>
    </w:p>
    <w:p>
      <w:pPr>
        <w:pStyle w:val="Compact"/>
        <w:numPr>
          <w:ilvl w:val="0"/>
          <w:numId w:val="1038"/>
        </w:numPr>
      </w:pPr>
      <w:r>
        <w:rPr>
          <w:rFonts w:hint="eastAsia"/>
        </w:rPr>
        <w:t xml:space="preserve">不高开追涨；</w:t>
      </w:r>
    </w:p>
    <w:p>
      <w:pPr>
        <w:pStyle w:val="Compact"/>
        <w:numPr>
          <w:ilvl w:val="0"/>
          <w:numId w:val="1038"/>
        </w:numPr>
      </w:pPr>
      <w:r>
        <w:rPr>
          <w:rFonts w:hint="eastAsia"/>
        </w:rPr>
        <w:t xml:space="preserve">指数回踩后不破早盘低点；</w:t>
      </w:r>
    </w:p>
    <w:p>
      <w:pPr>
        <w:pStyle w:val="Compact"/>
        <w:numPr>
          <w:ilvl w:val="0"/>
          <w:numId w:val="1038"/>
        </w:numPr>
      </w:pPr>
      <w:r>
        <w:rPr>
          <w:rFonts w:hint="eastAsia"/>
        </w:rPr>
        <w:t xml:space="preserve">成交额保持或超过上一交易日同期水平；</w:t>
      </w:r>
    </w:p>
    <w:p>
      <w:pPr>
        <w:pStyle w:val="Compact"/>
        <w:numPr>
          <w:ilvl w:val="0"/>
          <w:numId w:val="1038"/>
        </w:numPr>
      </w:pPr>
      <w:r>
        <w:rPr>
          <w:rFonts w:hint="eastAsia"/>
        </w:rPr>
        <w:t xml:space="preserve">ETF份额与价格方向不发生明显背离。</w:t>
      </w:r>
    </w:p>
    <w:p>
      <w:pPr>
        <w:pStyle w:val="FirstParagraph"/>
      </w:pPr>
      <w:r>
        <w:rPr>
          <w:rFonts w:hint="eastAsia"/>
          <w:b/>
          <w:bCs/>
        </w:rPr>
        <w:t xml:space="preserve">失效条件：</w:t>
      </w:r>
    </w:p>
    <w:p>
      <w:pPr>
        <w:pStyle w:val="Compact"/>
        <w:numPr>
          <w:ilvl w:val="0"/>
          <w:numId w:val="1039"/>
        </w:numPr>
      </w:pPr>
      <w:r>
        <w:rPr>
          <w:rFonts w:hint="eastAsia"/>
        </w:rPr>
        <w:t xml:space="preserve">指数放量跌破昨日低点；</w:t>
      </w:r>
    </w:p>
    <w:p>
      <w:pPr>
        <w:pStyle w:val="Compact"/>
        <w:numPr>
          <w:ilvl w:val="0"/>
          <w:numId w:val="1039"/>
        </w:numPr>
      </w:pPr>
      <w:r>
        <w:rPr>
          <w:rFonts w:hint="eastAsia"/>
        </w:rPr>
        <w:t xml:space="preserve">QVIX重新快速上行；</w:t>
      </w:r>
    </w:p>
    <w:p>
      <w:pPr>
        <w:pStyle w:val="Compact"/>
        <w:numPr>
          <w:ilvl w:val="0"/>
          <w:numId w:val="1039"/>
        </w:numPr>
      </w:pPr>
      <w:r>
        <w:rPr>
          <w:rFonts w:hint="eastAsia"/>
        </w:rPr>
        <w:t xml:space="preserve">宽基ETF由连续净申购转为明显净赎回；</w:t>
      </w:r>
    </w:p>
    <w:p>
      <w:pPr>
        <w:pStyle w:val="Compact"/>
        <w:numPr>
          <w:ilvl w:val="0"/>
          <w:numId w:val="1039"/>
        </w:numPr>
      </w:pPr>
      <w:r>
        <w:rPr>
          <w:rFonts w:hint="eastAsia"/>
        </w:rPr>
        <w:t xml:space="preserve">市场成交额继续缩减且下跌家数扩大。</w:t>
      </w:r>
    </w:p>
    <w:bookmarkEnd w:id="50"/>
    <w:bookmarkStart w:id="51" w:name="只观察半导体cpo元件与通信设备"/>
    <w:p>
      <w:pPr>
        <w:pStyle w:val="Heading3"/>
      </w:pPr>
      <w:r>
        <w:t xml:space="preserve">👀 </w:t>
      </w:r>
      <w:r>
        <w:rPr>
          <w:rFonts w:hint="eastAsia"/>
        </w:rPr>
        <w:t xml:space="preserve">只观察：半导体、CPO、元件与通信设备</w:t>
      </w:r>
    </w:p>
    <w:p>
      <w:pPr>
        <w:pStyle w:val="FirstParagraph"/>
      </w:pPr>
      <w:r>
        <w:rPr>
          <w:rFonts w:hint="eastAsia"/>
          <w:b/>
          <w:bCs/>
        </w:rPr>
        <w:t xml:space="preserve">证据链：</w:t>
      </w:r>
    </w:p>
    <w:p>
      <w:pPr>
        <w:pStyle w:val="Compact"/>
        <w:numPr>
          <w:ilvl w:val="0"/>
          <w:numId w:val="1040"/>
        </w:numPr>
      </w:pPr>
      <w:r>
        <w:rPr>
          <w:rFonts w:hint="eastAsia"/>
        </w:rPr>
        <w:t xml:space="preserve">隔夜英伟达、AMD、台积电、博通、美光全部上涨。</w:t>
      </w:r>
    </w:p>
    <w:p>
      <w:pPr>
        <w:pStyle w:val="Compact"/>
        <w:numPr>
          <w:ilvl w:val="0"/>
          <w:numId w:val="1040"/>
        </w:numPr>
      </w:pPr>
      <w:r>
        <w:rPr>
          <w:rFonts w:hint="eastAsia"/>
        </w:rPr>
        <w:t xml:space="preserve">昨日元件净流入19.68亿元、通信设备净流入15.49亿元、半导体净流入9.52亿元。</w:t>
      </w:r>
    </w:p>
    <w:p>
      <w:pPr>
        <w:pStyle w:val="Compact"/>
        <w:numPr>
          <w:ilvl w:val="0"/>
          <w:numId w:val="1040"/>
        </w:numPr>
      </w:pPr>
      <w:r>
        <w:rPr>
          <w:rFonts w:hint="eastAsia"/>
        </w:rPr>
        <w:t xml:space="preserve">中际旭创、新易盛、天孚通信、兆易创新等进入资金流入榜。</w:t>
      </w:r>
    </w:p>
    <w:p>
      <w:pPr>
        <w:pStyle w:val="Compact"/>
        <w:numPr>
          <w:ilvl w:val="0"/>
          <w:numId w:val="1040"/>
        </w:numPr>
      </w:pPr>
      <w:r>
        <w:rPr>
          <w:rFonts w:hint="eastAsia"/>
        </w:rPr>
        <w:t xml:space="preserve">但TickFlow重点股样本中A/B级为0，D级为9；趋势尚未修复。</w:t>
      </w:r>
    </w:p>
    <w:p>
      <w:pPr>
        <w:pStyle w:val="FirstParagraph"/>
      </w:pPr>
      <w:r>
        <w:rPr>
          <w:rFonts w:hint="eastAsia"/>
          <w:b/>
          <w:bCs/>
        </w:rPr>
        <w:t xml:space="preserve">重点观察标的及技术约束：</w:t>
      </w:r>
    </w:p>
    <w:p>
      <w:pPr>
        <w:pStyle w:val="Compact"/>
        <w:numPr>
          <w:ilvl w:val="0"/>
          <w:numId w:val="1041"/>
        </w:numPr>
      </w:pPr>
      <w:r>
        <w:rPr>
          <w:rFonts w:hint="eastAsia"/>
          <w:b/>
          <w:bCs/>
        </w:rPr>
        <w:t xml:space="preserve">中际旭创（300308）</w:t>
      </w:r>
      <w:r>
        <w:rPr>
          <w:rFonts w:hint="eastAsia"/>
        </w:rPr>
        <w:t xml:space="preserve">：2026中报营收同比+182.5%、净利润同比+247.3%，PE</w:t>
      </w:r>
      <w:r>
        <w:t xml:space="preserve"> </w:t>
      </w:r>
      <w:r>
        <w:rPr>
          <w:rFonts w:hint="eastAsia"/>
        </w:rPr>
        <w:t xml:space="preserve">37.25倍；日K评级D，MA20为803.20、MA60为882.48，必须重新站回均线后再评估。</w:t>
      </w:r>
    </w:p>
    <w:p>
      <w:pPr>
        <w:pStyle w:val="Compact"/>
        <w:numPr>
          <w:ilvl w:val="0"/>
          <w:numId w:val="1041"/>
        </w:numPr>
      </w:pPr>
      <w:r>
        <w:rPr>
          <w:rFonts w:hint="eastAsia"/>
          <w:b/>
          <w:bCs/>
        </w:rPr>
        <w:t xml:space="preserve">新易盛（300502）</w:t>
      </w:r>
      <w:r>
        <w:rPr>
          <w:rFonts w:hint="eastAsia"/>
        </w:rPr>
        <w:t xml:space="preserve">：2026中报营收同比+100.3%、净利润同比+91.93%，PE</w:t>
      </w:r>
      <w:r>
        <w:t xml:space="preserve"> </w:t>
      </w:r>
      <w:r>
        <w:rPr>
          <w:rFonts w:hint="eastAsia"/>
        </w:rPr>
        <w:t xml:space="preserve">31.27倍；评级D，MA20为383.35、MA60为411.17。</w:t>
      </w:r>
    </w:p>
    <w:p>
      <w:pPr>
        <w:pStyle w:val="Compact"/>
        <w:numPr>
          <w:ilvl w:val="0"/>
          <w:numId w:val="1041"/>
        </w:numPr>
      </w:pPr>
      <w:r>
        <w:rPr>
          <w:rFonts w:hint="eastAsia"/>
          <w:b/>
          <w:bCs/>
        </w:rPr>
        <w:t xml:space="preserve">兆易创新（603986）</w:t>
      </w:r>
      <w:r>
        <w:rPr>
          <w:rFonts w:hint="eastAsia"/>
        </w:rPr>
        <w:t xml:space="preserve">：2026中报营收同比+178.7%、净利润同比+1071%，PE</w:t>
      </w:r>
      <w:r>
        <w:t xml:space="preserve"> </w:t>
      </w:r>
      <w:r>
        <w:rPr>
          <w:rFonts w:hint="eastAsia"/>
        </w:rPr>
        <w:t xml:space="preserve">25.57倍；评级D，MA20为342.30、MA60为380.72。</w:t>
      </w:r>
    </w:p>
    <w:p>
      <w:pPr>
        <w:pStyle w:val="Compact"/>
        <w:numPr>
          <w:ilvl w:val="0"/>
          <w:numId w:val="1041"/>
        </w:numPr>
      </w:pPr>
      <w:r>
        <w:rPr>
          <w:rFonts w:hint="eastAsia"/>
          <w:b/>
          <w:bCs/>
        </w:rPr>
        <w:t xml:space="preserve">天孚通信（300394）</w:t>
      </w:r>
      <w:r>
        <w:rPr>
          <w:rFonts w:hint="eastAsia"/>
        </w:rPr>
        <w:t xml:space="preserve">：昨日上涨5.10%、成交额71.54亿元，但PE</w:t>
      </w:r>
      <w:r>
        <w:t xml:space="preserve"> </w:t>
      </w:r>
      <w:r>
        <w:rPr>
          <w:rFonts w:hint="eastAsia"/>
        </w:rPr>
        <w:t xml:space="preserve">99.96倍；评级D，MA20为248.40、MA60为242.35。</w:t>
      </w:r>
    </w:p>
    <w:p>
      <w:pPr>
        <w:pStyle w:val="Compact"/>
        <w:numPr>
          <w:ilvl w:val="0"/>
          <w:numId w:val="1041"/>
        </w:numPr>
      </w:pPr>
      <w:r>
        <w:rPr>
          <w:rFonts w:hint="eastAsia"/>
          <w:b/>
          <w:bCs/>
        </w:rPr>
        <w:t xml:space="preserve">长鑫科技（688825）</w:t>
      </w:r>
      <w:r>
        <w:rPr>
          <w:rFonts w:hint="eastAsia"/>
        </w:rPr>
        <w:t xml:space="preserve">：2026中报营收同比+873.6%、净利润同比+2731%，但PB</w:t>
      </w:r>
      <w:r>
        <w:t xml:space="preserve"> </w:t>
      </w:r>
      <w:r>
        <w:rPr>
          <w:rFonts w:hint="eastAsia"/>
        </w:rPr>
        <w:t xml:space="preserve">20.64倍、换手率5.11%；TickFlow缺少MA60，评级因技术数据不足暂不评级，不做右侧判断。</w:t>
      </w:r>
    </w:p>
    <w:p>
      <w:pPr>
        <w:pStyle w:val="FirstParagraph"/>
      </w:pPr>
      <w:r>
        <w:rPr>
          <w:rFonts w:hint="eastAsia"/>
          <w:b/>
          <w:bCs/>
        </w:rPr>
        <w:t xml:space="preserve">触发条件：</w:t>
      </w:r>
    </w:p>
    <w:p>
      <w:pPr>
        <w:pStyle w:val="Compact"/>
        <w:numPr>
          <w:ilvl w:val="0"/>
          <w:numId w:val="1042"/>
        </w:numPr>
      </w:pPr>
      <w:r>
        <w:rPr>
          <w:rFonts w:hint="eastAsia"/>
        </w:rPr>
        <w:t xml:space="preserve">先站回MA20，再观察MA20能否转为上行；</w:t>
      </w:r>
    </w:p>
    <w:p>
      <w:pPr>
        <w:pStyle w:val="Compact"/>
        <w:numPr>
          <w:ilvl w:val="0"/>
          <w:numId w:val="1042"/>
        </w:numPr>
      </w:pPr>
      <w:r>
        <w:rPr>
          <w:rFonts w:hint="eastAsia"/>
        </w:rPr>
        <w:t xml:space="preserve">突破时量比不低于1.2；</w:t>
      </w:r>
    </w:p>
    <w:p>
      <w:pPr>
        <w:pStyle w:val="Compact"/>
        <w:numPr>
          <w:ilvl w:val="0"/>
          <w:numId w:val="1042"/>
        </w:numPr>
      </w:pPr>
      <w:r>
        <w:rPr>
          <w:rFonts w:hint="eastAsia"/>
        </w:rPr>
        <w:t xml:space="preserve">突破后缩量回踩MA20不破，再放量走强；</w:t>
      </w:r>
    </w:p>
    <w:p>
      <w:pPr>
        <w:pStyle w:val="Compact"/>
        <w:numPr>
          <w:ilvl w:val="0"/>
          <w:numId w:val="1042"/>
        </w:numPr>
      </w:pPr>
      <w:r>
        <w:rPr>
          <w:rFonts w:hint="eastAsia"/>
        </w:rPr>
        <w:t xml:space="preserve">板块资金连续净流入，而非单日脉冲。</w:t>
      </w:r>
    </w:p>
    <w:p>
      <w:pPr>
        <w:pStyle w:val="FirstParagraph"/>
      </w:pPr>
      <w:r>
        <w:rPr>
          <w:rFonts w:hint="eastAsia"/>
          <w:b/>
          <w:bCs/>
        </w:rPr>
        <w:t xml:space="preserve">失效条件：</w:t>
      </w:r>
    </w:p>
    <w:p>
      <w:pPr>
        <w:pStyle w:val="Compact"/>
        <w:numPr>
          <w:ilvl w:val="0"/>
          <w:numId w:val="1043"/>
        </w:numPr>
      </w:pPr>
      <w:r>
        <w:rPr>
          <w:rFonts w:hint="eastAsia"/>
        </w:rPr>
        <w:t xml:space="preserve">高开后跌破开盘价并持续放量；</w:t>
      </w:r>
    </w:p>
    <w:p>
      <w:pPr>
        <w:pStyle w:val="Compact"/>
        <w:numPr>
          <w:ilvl w:val="0"/>
          <w:numId w:val="1043"/>
        </w:numPr>
      </w:pPr>
      <w:r>
        <w:rPr>
          <w:rFonts w:hint="eastAsia"/>
        </w:rPr>
        <w:t xml:space="preserve">资金从流入转为大额流出；</w:t>
      </w:r>
    </w:p>
    <w:p>
      <w:pPr>
        <w:pStyle w:val="Compact"/>
        <w:numPr>
          <w:ilvl w:val="0"/>
          <w:numId w:val="1043"/>
        </w:numPr>
      </w:pPr>
      <w:r>
        <w:rPr>
          <w:rFonts w:hint="eastAsia"/>
        </w:rPr>
        <w:t xml:space="preserve">反弹无法站回MA20；</w:t>
      </w:r>
    </w:p>
    <w:p>
      <w:pPr>
        <w:pStyle w:val="Compact"/>
        <w:numPr>
          <w:ilvl w:val="0"/>
          <w:numId w:val="1043"/>
        </w:numPr>
      </w:pPr>
      <w:r>
        <w:rPr>
          <w:rFonts w:hint="eastAsia"/>
        </w:rPr>
        <w:t xml:space="preserve">重点股继续创调整新低。</w:t>
      </w:r>
    </w:p>
    <w:bookmarkEnd w:id="51"/>
    <w:bookmarkStart w:id="52" w:name="只观察ai应用工业软件与数据要素"/>
    <w:p>
      <w:pPr>
        <w:pStyle w:val="Heading3"/>
      </w:pPr>
      <w:r>
        <w:t xml:space="preserve">👀 </w:t>
      </w:r>
      <w:r>
        <w:rPr>
          <w:rFonts w:hint="eastAsia"/>
        </w:rPr>
        <w:t xml:space="preserve">只观察：AI应用、工业软件与数据要素</w:t>
      </w:r>
    </w:p>
    <w:p>
      <w:pPr>
        <w:pStyle w:val="FirstParagraph"/>
      </w:pPr>
      <w:r>
        <w:rPr>
          <w:rFonts w:hint="eastAsia"/>
          <w:b/>
          <w:bCs/>
        </w:rPr>
        <w:t xml:space="preserve">证据链：</w:t>
      </w:r>
    </w:p>
    <w:p>
      <w:pPr>
        <w:pStyle w:val="Compact"/>
        <w:numPr>
          <w:ilvl w:val="0"/>
          <w:numId w:val="1044"/>
        </w:numPr>
      </w:pPr>
      <w:r>
        <w:rPr>
          <w:rFonts w:hint="eastAsia"/>
        </w:rPr>
        <w:t xml:space="preserve">首批136项标志性重大应用场景发布。</w:t>
      </w:r>
    </w:p>
    <w:p>
      <w:pPr>
        <w:pStyle w:val="Compact"/>
        <w:numPr>
          <w:ilvl w:val="0"/>
          <w:numId w:val="1044"/>
        </w:numPr>
      </w:pPr>
      <w:r>
        <w:rPr>
          <w:rFonts w:hint="eastAsia"/>
        </w:rPr>
        <w:t xml:space="preserve">数据产业规模超过6万亿元。</w:t>
      </w:r>
    </w:p>
    <w:p>
      <w:pPr>
        <w:pStyle w:val="Compact"/>
        <w:numPr>
          <w:ilvl w:val="0"/>
          <w:numId w:val="1044"/>
        </w:numPr>
      </w:pPr>
      <w:r>
        <w:rPr>
          <w:rFonts w:hint="eastAsia"/>
        </w:rPr>
        <w:t xml:space="preserve">AI开源大模型全球累计下载量突破100亿次。</w:t>
      </w:r>
    </w:p>
    <w:p>
      <w:pPr>
        <w:pStyle w:val="Compact"/>
        <w:numPr>
          <w:ilvl w:val="0"/>
          <w:numId w:val="1044"/>
        </w:numPr>
      </w:pPr>
      <w:r>
        <w:rPr>
          <w:rFonts w:hint="eastAsia"/>
        </w:rPr>
        <w:t xml:space="preserve">昨日IT服务Ⅱ主力净流入11.43亿元，互联网服务上涨1.58%。</w:t>
      </w:r>
    </w:p>
    <w:p>
      <w:pPr>
        <w:pStyle w:val="FirstParagraph"/>
      </w:pPr>
      <w:r>
        <w:rPr>
          <w:rFonts w:hint="eastAsia"/>
          <w:b/>
          <w:bCs/>
        </w:rPr>
        <w:t xml:space="preserve">核心标的：</w:t>
      </w:r>
    </w:p>
    <w:p>
      <w:pPr>
        <w:pStyle w:val="Compact"/>
        <w:numPr>
          <w:ilvl w:val="0"/>
          <w:numId w:val="1045"/>
        </w:numPr>
      </w:pPr>
      <w:r>
        <w:rPr>
          <w:rFonts w:hint="eastAsia"/>
        </w:rPr>
        <w:t xml:space="preserve">采集JSON未提供本方向完成资金、基本面和TickFlow三重校验的A/B级个股，因此不列直接买入名单。</w:t>
      </w:r>
    </w:p>
    <w:p>
      <w:pPr>
        <w:pStyle w:val="FirstParagraph"/>
      </w:pPr>
      <w:r>
        <w:rPr>
          <w:rFonts w:hint="eastAsia"/>
          <w:b/>
          <w:bCs/>
        </w:rPr>
        <w:t xml:space="preserve">触发条件：</w:t>
      </w:r>
    </w:p>
    <w:p>
      <w:pPr>
        <w:pStyle w:val="Compact"/>
        <w:numPr>
          <w:ilvl w:val="0"/>
          <w:numId w:val="1046"/>
        </w:numPr>
      </w:pPr>
      <w:r>
        <w:rPr>
          <w:rFonts w:hint="eastAsia"/>
        </w:rPr>
        <w:t xml:space="preserve">板块指数放量突破；</w:t>
      </w:r>
    </w:p>
    <w:p>
      <w:pPr>
        <w:pStyle w:val="Compact"/>
        <w:numPr>
          <w:ilvl w:val="0"/>
          <w:numId w:val="1046"/>
        </w:numPr>
      </w:pPr>
      <w:r>
        <w:rPr>
          <w:rFonts w:hint="eastAsia"/>
        </w:rPr>
        <w:t xml:space="preserve">订单或中标公告能够验证收入规模；</w:t>
      </w:r>
    </w:p>
    <w:p>
      <w:pPr>
        <w:pStyle w:val="Compact"/>
        <w:numPr>
          <w:ilvl w:val="0"/>
          <w:numId w:val="1046"/>
        </w:numPr>
      </w:pPr>
      <w:r>
        <w:rPr>
          <w:rFonts w:hint="eastAsia"/>
        </w:rPr>
        <w:t xml:space="preserve">龙头回踩关键均线不破并再次放量。</w:t>
      </w:r>
    </w:p>
    <w:p>
      <w:pPr>
        <w:pStyle w:val="FirstParagraph"/>
      </w:pPr>
      <w:r>
        <w:rPr>
          <w:rFonts w:hint="eastAsia"/>
          <w:b/>
          <w:bCs/>
        </w:rPr>
        <w:t xml:space="preserve">失效条件：</w:t>
      </w:r>
    </w:p>
    <w:p>
      <w:pPr>
        <w:pStyle w:val="Compact"/>
        <w:numPr>
          <w:ilvl w:val="0"/>
          <w:numId w:val="1047"/>
        </w:numPr>
      </w:pPr>
      <w:r>
        <w:rPr>
          <w:rFonts w:hint="eastAsia"/>
        </w:rPr>
        <w:t xml:space="preserve">只有政策口号、没有订单和业绩；</w:t>
      </w:r>
    </w:p>
    <w:p>
      <w:pPr>
        <w:pStyle w:val="Compact"/>
        <w:numPr>
          <w:ilvl w:val="0"/>
          <w:numId w:val="1047"/>
        </w:numPr>
      </w:pPr>
      <w:r>
        <w:rPr>
          <w:rFonts w:hint="eastAsia"/>
        </w:rPr>
        <w:t xml:space="preserve">板块冲高回落且资金转为净流出；</w:t>
      </w:r>
    </w:p>
    <w:p>
      <w:pPr>
        <w:pStyle w:val="Compact"/>
        <w:numPr>
          <w:ilvl w:val="0"/>
          <w:numId w:val="1047"/>
        </w:numPr>
      </w:pPr>
      <w:r>
        <w:rPr>
          <w:rFonts w:hint="eastAsia"/>
        </w:rPr>
        <w:t xml:space="preserve">高位题材股出现监管风险提示。</w:t>
      </w:r>
    </w:p>
    <w:bookmarkEnd w:id="52"/>
    <w:bookmarkStart w:id="53" w:name="只观察创新药"/>
    <w:p>
      <w:pPr>
        <w:pStyle w:val="Heading3"/>
      </w:pPr>
      <w:r>
        <w:t xml:space="preserve">👀 </w:t>
      </w:r>
      <w:r>
        <w:rPr>
          <w:rFonts w:hint="eastAsia"/>
        </w:rPr>
        <w:t xml:space="preserve">只观察：创新药</w:t>
      </w:r>
    </w:p>
    <w:p>
      <w:pPr>
        <w:pStyle w:val="FirstParagraph"/>
      </w:pPr>
      <w:r>
        <w:rPr>
          <w:rFonts w:hint="eastAsia"/>
          <w:b/>
          <w:bCs/>
        </w:rPr>
        <w:t xml:space="preserve">证据链：</w:t>
      </w:r>
    </w:p>
    <w:p>
      <w:pPr>
        <w:pStyle w:val="Compact"/>
        <w:numPr>
          <w:ilvl w:val="0"/>
          <w:numId w:val="1048"/>
        </w:numPr>
      </w:pPr>
      <w:r>
        <w:rPr>
          <w:rFonts w:hint="eastAsia"/>
        </w:rPr>
        <w:t xml:space="preserve">前三季度创新药对外技术授权达到1300亿美元。</w:t>
      </w:r>
    </w:p>
    <w:p>
      <w:pPr>
        <w:pStyle w:val="Compact"/>
        <w:numPr>
          <w:ilvl w:val="0"/>
          <w:numId w:val="1048"/>
        </w:numPr>
      </w:pPr>
      <w:r>
        <w:rPr>
          <w:rFonts w:hint="eastAsia"/>
        </w:rPr>
        <w:t xml:space="preserve">国产创新药获批占比与研发成果持续改善。</w:t>
      </w:r>
    </w:p>
    <w:p>
      <w:pPr>
        <w:pStyle w:val="Compact"/>
        <w:numPr>
          <w:ilvl w:val="0"/>
          <w:numId w:val="1048"/>
        </w:numPr>
      </w:pPr>
      <w:r>
        <w:rPr>
          <w:rFonts w:hint="eastAsia"/>
        </w:rPr>
        <w:t xml:space="preserve">上海谊众YXC-001完成Ⅰ期首个剂量组首次给药。</w:t>
      </w:r>
    </w:p>
    <w:p>
      <w:pPr>
        <w:pStyle w:val="FirstParagraph"/>
      </w:pPr>
      <w:r>
        <w:rPr>
          <w:rFonts w:hint="eastAsia"/>
          <w:b/>
          <w:bCs/>
        </w:rPr>
        <w:t xml:space="preserve">核心标的：</w:t>
      </w:r>
    </w:p>
    <w:p>
      <w:pPr>
        <w:pStyle w:val="Compact"/>
        <w:numPr>
          <w:ilvl w:val="0"/>
          <w:numId w:val="1049"/>
        </w:numPr>
      </w:pPr>
      <w:r>
        <w:rPr>
          <w:rFonts w:hint="eastAsia"/>
        </w:rPr>
        <w:t xml:space="preserve">上海谊众（688091）仅作为公告事件观察，不以Ⅰ期首次给药直接推导商业价值。</w:t>
      </w:r>
    </w:p>
    <w:p>
      <w:pPr>
        <w:pStyle w:val="FirstParagraph"/>
      </w:pPr>
      <w:r>
        <w:rPr>
          <w:rFonts w:hint="eastAsia"/>
          <w:b/>
          <w:bCs/>
        </w:rPr>
        <w:t xml:space="preserve">触发条件：</w:t>
      </w:r>
    </w:p>
    <w:p>
      <w:pPr>
        <w:pStyle w:val="Compact"/>
        <w:numPr>
          <w:ilvl w:val="0"/>
          <w:numId w:val="1050"/>
        </w:numPr>
      </w:pPr>
      <w:r>
        <w:rPr>
          <w:rFonts w:hint="eastAsia"/>
        </w:rPr>
        <w:t xml:space="preserve">临床数据、授权合作或销售收入形成进一步验证；</w:t>
      </w:r>
    </w:p>
    <w:p>
      <w:pPr>
        <w:pStyle w:val="Compact"/>
        <w:numPr>
          <w:ilvl w:val="0"/>
          <w:numId w:val="1050"/>
        </w:numPr>
      </w:pPr>
      <w:r>
        <w:rPr>
          <w:rFonts w:hint="eastAsia"/>
        </w:rPr>
        <w:t xml:space="preserve">医药板块资金由防守轮动转为持续流入；</w:t>
      </w:r>
    </w:p>
    <w:p>
      <w:pPr>
        <w:pStyle w:val="Compact"/>
        <w:numPr>
          <w:ilvl w:val="0"/>
          <w:numId w:val="1050"/>
        </w:numPr>
      </w:pPr>
      <w:r>
        <w:rPr>
          <w:rFonts w:hint="eastAsia"/>
        </w:rPr>
        <w:t xml:space="preserve">个股形成右侧趋势。</w:t>
      </w:r>
    </w:p>
    <w:p>
      <w:pPr>
        <w:pStyle w:val="FirstParagraph"/>
      </w:pPr>
      <w:r>
        <w:rPr>
          <w:rFonts w:hint="eastAsia"/>
          <w:b/>
          <w:bCs/>
        </w:rPr>
        <w:t xml:space="preserve">失效条件：</w:t>
      </w:r>
    </w:p>
    <w:p>
      <w:pPr>
        <w:pStyle w:val="Compact"/>
        <w:numPr>
          <w:ilvl w:val="0"/>
          <w:numId w:val="1051"/>
        </w:numPr>
      </w:pPr>
      <w:r>
        <w:rPr>
          <w:rFonts w:hint="eastAsia"/>
        </w:rPr>
        <w:t xml:space="preserve">临床进展低于预期；</w:t>
      </w:r>
    </w:p>
    <w:p>
      <w:pPr>
        <w:pStyle w:val="Compact"/>
        <w:numPr>
          <w:ilvl w:val="0"/>
          <w:numId w:val="1051"/>
        </w:numPr>
      </w:pPr>
      <w:r>
        <w:rPr>
          <w:rFonts w:hint="eastAsia"/>
        </w:rPr>
        <w:t xml:space="preserve">研发费用上升但现金流和商业化没有改善；</w:t>
      </w:r>
    </w:p>
    <w:p>
      <w:pPr>
        <w:pStyle w:val="Compact"/>
        <w:numPr>
          <w:ilvl w:val="0"/>
          <w:numId w:val="1051"/>
        </w:numPr>
      </w:pPr>
      <w:r>
        <w:rPr>
          <w:rFonts w:hint="eastAsia"/>
        </w:rPr>
        <w:t xml:space="preserve">事件高开后快速回落。</w:t>
      </w:r>
    </w:p>
    <w:bookmarkEnd w:id="53"/>
    <w:bookmarkStart w:id="54" w:name="应回避电池电力设备与破位核心股"/>
    <w:p>
      <w:pPr>
        <w:pStyle w:val="Heading3"/>
      </w:pPr>
      <w:r>
        <w:t xml:space="preserve">⛔ </w:t>
      </w:r>
      <w:r>
        <w:rPr>
          <w:rFonts w:hint="eastAsia"/>
        </w:rPr>
        <w:t xml:space="preserve">应回避：电池、电力设备与破位核心股</w:t>
      </w:r>
    </w:p>
    <w:p>
      <w:pPr>
        <w:pStyle w:val="FirstParagraph"/>
      </w:pPr>
      <w:r>
        <w:rPr>
          <w:rFonts w:hint="eastAsia"/>
          <w:b/>
          <w:bCs/>
        </w:rPr>
        <w:t xml:space="preserve">证据链：</w:t>
      </w:r>
    </w:p>
    <w:p>
      <w:pPr>
        <w:pStyle w:val="Compact"/>
        <w:numPr>
          <w:ilvl w:val="0"/>
          <w:numId w:val="1052"/>
        </w:numPr>
      </w:pPr>
      <w:r>
        <w:rPr>
          <w:rFonts w:hint="eastAsia"/>
        </w:rPr>
        <w:t xml:space="preserve">电力设备净流出57.74亿元。</w:t>
      </w:r>
    </w:p>
    <w:p>
      <w:pPr>
        <w:pStyle w:val="Compact"/>
        <w:numPr>
          <w:ilvl w:val="0"/>
          <w:numId w:val="1052"/>
        </w:numPr>
      </w:pPr>
      <w:r>
        <w:rPr>
          <w:rFonts w:hint="eastAsia"/>
        </w:rPr>
        <w:t xml:space="preserve">电池净流出52.13亿元。</w:t>
      </w:r>
    </w:p>
    <w:p>
      <w:pPr>
        <w:pStyle w:val="Compact"/>
        <w:numPr>
          <w:ilvl w:val="0"/>
          <w:numId w:val="1052"/>
        </w:numPr>
      </w:pPr>
      <w:r>
        <w:rPr>
          <w:rFonts w:hint="eastAsia"/>
        </w:rPr>
        <w:t xml:space="preserve">锂电池净流出27.40亿元。</w:t>
      </w:r>
    </w:p>
    <w:p>
      <w:pPr>
        <w:pStyle w:val="Compact"/>
        <w:numPr>
          <w:ilvl w:val="0"/>
          <w:numId w:val="1052"/>
        </w:numPr>
      </w:pPr>
      <w:r>
        <w:rPr>
          <w:rFonts w:hint="eastAsia"/>
        </w:rPr>
        <w:t xml:space="preserve">宁德时代昨日下跌12.03%，成交额324.39亿元。</w:t>
      </w:r>
    </w:p>
    <w:p>
      <w:pPr>
        <w:pStyle w:val="Compact"/>
        <w:numPr>
          <w:ilvl w:val="0"/>
          <w:numId w:val="1052"/>
        </w:numPr>
      </w:pPr>
      <w:r>
        <w:rPr>
          <w:rFonts w:hint="eastAsia"/>
        </w:rPr>
        <w:t xml:space="preserve">宁德时代、中际旭创、新易盛、兆易创新、生益科技、亨通光电、天孚通信、东山精密、沪电股份均被TickFlow评为D级趋势破位。</w:t>
      </w:r>
    </w:p>
    <w:p>
      <w:pPr>
        <w:pStyle w:val="FirstParagraph"/>
      </w:pPr>
      <w:r>
        <w:rPr>
          <w:rFonts w:hint="eastAsia"/>
          <w:b/>
          <w:bCs/>
        </w:rPr>
        <w:t xml:space="preserve">核心标的风险：</w:t>
      </w:r>
    </w:p>
    <w:p>
      <w:pPr>
        <w:pStyle w:val="Compact"/>
        <w:numPr>
          <w:ilvl w:val="0"/>
          <w:numId w:val="1053"/>
        </w:numPr>
      </w:pPr>
      <w:r>
        <w:rPr>
          <w:rFonts w:hint="eastAsia"/>
          <w:b/>
          <w:bCs/>
        </w:rPr>
        <w:t xml:space="preserve">宁德时代（300750）</w:t>
      </w:r>
      <w:r>
        <w:rPr>
          <w:rFonts w:hint="eastAsia"/>
        </w:rPr>
        <w:t xml:space="preserve">：2026三季报营收同比+56.19%、净利润同比+32.89%，PE</w:t>
      </w:r>
      <w:r>
        <w:t xml:space="preserve"> </w:t>
      </w:r>
      <w:r>
        <w:rPr>
          <w:rFonts w:hint="eastAsia"/>
        </w:rPr>
        <w:t xml:space="preserve">12.02倍，但日K评级D；技术数据截至10月20日，MA20为291.40、MA60为348.64，趋势尚未确认修复。</w:t>
      </w:r>
    </w:p>
    <w:p>
      <w:pPr>
        <w:pStyle w:val="Compact"/>
        <w:numPr>
          <w:ilvl w:val="0"/>
          <w:numId w:val="1053"/>
        </w:numPr>
      </w:pPr>
      <w:r>
        <w:rPr>
          <w:rFonts w:hint="eastAsia"/>
          <w:b/>
          <w:bCs/>
        </w:rPr>
        <w:t xml:space="preserve">生益科技（600183）</w:t>
      </w:r>
      <w:r>
        <w:rPr>
          <w:rFonts w:hint="eastAsia"/>
        </w:rPr>
        <w:t xml:space="preserve">：有回购催化，2026年10月20日MA20为132.12、MA60为132.59，评级D；公告利好不能替代趋势。</w:t>
      </w:r>
    </w:p>
    <w:p>
      <w:pPr>
        <w:pStyle w:val="Compact"/>
        <w:numPr>
          <w:ilvl w:val="0"/>
          <w:numId w:val="1053"/>
        </w:numPr>
      </w:pPr>
      <w:r>
        <w:rPr>
          <w:rFonts w:hint="eastAsia"/>
          <w:b/>
          <w:bCs/>
        </w:rPr>
        <w:t xml:space="preserve">沪电股份（002463）</w:t>
      </w:r>
      <w:r>
        <w:rPr>
          <w:rFonts w:hint="eastAsia"/>
        </w:rPr>
        <w:t xml:space="preserve">：距离MA20与MA60相对较近，但评级仍为D，需先站回MA20</w:t>
      </w:r>
      <w:r>
        <w:t xml:space="preserve"> </w:t>
      </w:r>
      <w:r>
        <w:rPr>
          <w:rFonts w:hint="eastAsia"/>
        </w:rPr>
        <w:t xml:space="preserve">118.85和MA60</w:t>
      </w:r>
      <w:r>
        <w:t xml:space="preserve"> </w:t>
      </w:r>
      <w:r>
        <w:rPr>
          <w:rFonts w:hint="eastAsia"/>
        </w:rPr>
        <w:t xml:space="preserve">118.18后再评估。</w:t>
      </w:r>
    </w:p>
    <w:p>
      <w:pPr>
        <w:pStyle w:val="FirstParagraph"/>
      </w:pPr>
      <w:r>
        <w:rPr>
          <w:rFonts w:hint="eastAsia"/>
          <w:b/>
          <w:bCs/>
        </w:rPr>
        <w:t xml:space="preserve">失效条件：</w:t>
      </w:r>
    </w:p>
    <w:p>
      <w:pPr>
        <w:pStyle w:val="BodyText"/>
      </w:pPr>
      <w:r>
        <w:rPr>
          <w:rFonts w:hint="eastAsia"/>
        </w:rPr>
        <w:t xml:space="preserve">“回避”结论只有在个股重新站回MA20、MA60，均线转升且量价完成确认后才失效。在此之前，不因超跌、回购或隔夜美股上涨直接抄底。</w:t>
      </w:r>
    </w:p>
    <w:p>
      <w:r>
        <w:pict>
          <v:rect style="width:0;height:1.5pt" o:hralign="center" o:hrstd="t" o:hr="t"/>
        </w:pict>
      </w:r>
    </w:p>
    <w:bookmarkEnd w:id="54"/>
    <w:bookmarkEnd w:id="55"/>
    <w:bookmarkStart w:id="59" w:name="今日操作策略三档仓位先确认后加仓"/>
    <w:p>
      <w:pPr>
        <w:pStyle w:val="Heading2"/>
      </w:pPr>
      <w:r>
        <w:t xml:space="preserve">💡 </w:t>
      </w:r>
      <w:r>
        <w:rPr>
          <w:rFonts w:hint="eastAsia"/>
        </w:rPr>
        <w:t xml:space="preserve">今日操作策略：三档仓位，先确认后加仓</w:t>
      </w:r>
    </w:p>
    <w:bookmarkStart w:id="56" w:name="保守档10"/>
    <w:p>
      <w:pPr>
        <w:pStyle w:val="Heading3"/>
      </w:pPr>
      <w:r>
        <w:t xml:space="preserve">🛡️ </w:t>
      </w:r>
      <w:r>
        <w:rPr>
          <w:rFonts w:hint="eastAsia"/>
        </w:rPr>
        <w:t xml:space="preserve">保守档：10%</w:t>
      </w:r>
    </w:p>
    <w:p>
      <w:pPr>
        <w:pStyle w:val="FirstParagraph"/>
      </w:pPr>
      <w:r>
        <w:rPr>
          <w:rFonts w:hint="eastAsia"/>
        </w:rPr>
        <w:t xml:space="preserve">适用条件：</w:t>
      </w:r>
    </w:p>
    <w:p>
      <w:pPr>
        <w:pStyle w:val="Compact"/>
        <w:numPr>
          <w:ilvl w:val="0"/>
          <w:numId w:val="1054"/>
        </w:numPr>
      </w:pPr>
      <w:r>
        <w:rPr>
          <w:rFonts w:hint="eastAsia"/>
        </w:rPr>
        <w:t xml:space="preserve">指数高开低走；</w:t>
      </w:r>
    </w:p>
    <w:p>
      <w:pPr>
        <w:pStyle w:val="Compact"/>
        <w:numPr>
          <w:ilvl w:val="0"/>
          <w:numId w:val="1054"/>
        </w:numPr>
      </w:pPr>
      <w:r>
        <w:rPr>
          <w:rFonts w:hint="eastAsia"/>
        </w:rPr>
        <w:t xml:space="preserve">科技板块冲高回落；</w:t>
      </w:r>
    </w:p>
    <w:p>
      <w:pPr>
        <w:pStyle w:val="Compact"/>
        <w:numPr>
          <w:ilvl w:val="0"/>
          <w:numId w:val="1054"/>
        </w:numPr>
      </w:pPr>
      <w:r>
        <w:rPr>
          <w:rFonts w:hint="eastAsia"/>
        </w:rPr>
        <w:t xml:space="preserve">涨跌比继续低于1；</w:t>
      </w:r>
    </w:p>
    <w:p>
      <w:pPr>
        <w:pStyle w:val="Compact"/>
        <w:numPr>
          <w:ilvl w:val="0"/>
          <w:numId w:val="1054"/>
        </w:numPr>
      </w:pPr>
      <w:r>
        <w:rPr>
          <w:rFonts w:hint="eastAsia"/>
        </w:rPr>
        <w:t xml:space="preserve">成交额较昨日继续缩减；</w:t>
      </w:r>
    </w:p>
    <w:p>
      <w:pPr>
        <w:pStyle w:val="Compact"/>
        <w:numPr>
          <w:ilvl w:val="0"/>
          <w:numId w:val="1054"/>
        </w:numPr>
      </w:pPr>
      <w:r>
        <w:rPr>
          <w:rFonts w:hint="eastAsia"/>
        </w:rPr>
        <w:t xml:space="preserve">核心股无法站回短期均线。</w:t>
      </w:r>
    </w:p>
    <w:p>
      <w:pPr>
        <w:pStyle w:val="FirstParagraph"/>
      </w:pPr>
      <w:r>
        <w:rPr>
          <w:rFonts w:hint="eastAsia"/>
        </w:rPr>
        <w:t xml:space="preserve">操作：</w:t>
      </w:r>
    </w:p>
    <w:p>
      <w:pPr>
        <w:pStyle w:val="Compact"/>
        <w:numPr>
          <w:ilvl w:val="0"/>
          <w:numId w:val="1055"/>
        </w:numPr>
      </w:pPr>
      <w:r>
        <w:rPr>
          <w:rFonts w:hint="eastAsia"/>
        </w:rPr>
        <w:t xml:space="preserve">仅保留宽基ETF或低波动观察仓。</w:t>
      </w:r>
    </w:p>
    <w:p>
      <w:pPr>
        <w:pStyle w:val="Compact"/>
        <w:numPr>
          <w:ilvl w:val="0"/>
          <w:numId w:val="1055"/>
        </w:numPr>
      </w:pPr>
      <w:r>
        <w:rPr>
          <w:rFonts w:hint="eastAsia"/>
        </w:rPr>
        <w:t xml:space="preserve">D级趋势股不抄底。</w:t>
      </w:r>
    </w:p>
    <w:p>
      <w:pPr>
        <w:pStyle w:val="Compact"/>
        <w:numPr>
          <w:ilvl w:val="0"/>
          <w:numId w:val="1055"/>
        </w:numPr>
      </w:pPr>
      <w:r>
        <w:rPr>
          <w:rFonts w:hint="eastAsia"/>
        </w:rPr>
        <w:t xml:space="preserve">单一方向仓位不超过总资金的5%。</w:t>
      </w:r>
    </w:p>
    <w:bookmarkEnd w:id="56"/>
    <w:bookmarkStart w:id="57" w:name="均衡档25"/>
    <w:p>
      <w:pPr>
        <w:pStyle w:val="Heading3"/>
      </w:pPr>
      <w:r>
        <w:t xml:space="preserve">⚖️ </w:t>
      </w:r>
      <w:r>
        <w:rPr>
          <w:rFonts w:hint="eastAsia"/>
        </w:rPr>
        <w:t xml:space="preserve">均衡档：25%</w:t>
      </w:r>
    </w:p>
    <w:p>
      <w:pPr>
        <w:pStyle w:val="FirstParagraph"/>
      </w:pPr>
      <w:r>
        <w:rPr>
          <w:rFonts w:hint="eastAsia"/>
        </w:rPr>
        <w:t xml:space="preserve">适用条件：</w:t>
      </w:r>
    </w:p>
    <w:p>
      <w:pPr>
        <w:pStyle w:val="Compact"/>
        <w:numPr>
          <w:ilvl w:val="0"/>
          <w:numId w:val="1056"/>
        </w:numPr>
      </w:pPr>
      <w:r>
        <w:rPr>
          <w:rFonts w:hint="eastAsia"/>
        </w:rPr>
        <w:t xml:space="preserve">沪深300、科创50至少一个保持强势；</w:t>
      </w:r>
    </w:p>
    <w:p>
      <w:pPr>
        <w:pStyle w:val="Compact"/>
        <w:numPr>
          <w:ilvl w:val="0"/>
          <w:numId w:val="1056"/>
        </w:numPr>
      </w:pPr>
      <w:r>
        <w:rPr>
          <w:rFonts w:hint="eastAsia"/>
        </w:rPr>
        <w:t xml:space="preserve">元件、通信设备、半导体继续出现真实资金流入；</w:t>
      </w:r>
    </w:p>
    <w:p>
      <w:pPr>
        <w:pStyle w:val="Compact"/>
        <w:numPr>
          <w:ilvl w:val="0"/>
          <w:numId w:val="1056"/>
        </w:numPr>
      </w:pPr>
      <w:r>
        <w:rPr>
          <w:rFonts w:hint="eastAsia"/>
        </w:rPr>
        <w:t xml:space="preserve">全市场成交额不低于上一交易日同期；</w:t>
      </w:r>
    </w:p>
    <w:p>
      <w:pPr>
        <w:pStyle w:val="Compact"/>
        <w:numPr>
          <w:ilvl w:val="0"/>
          <w:numId w:val="1056"/>
        </w:numPr>
      </w:pPr>
      <w:r>
        <w:rPr>
          <w:rFonts w:hint="eastAsia"/>
        </w:rPr>
        <w:t xml:space="preserve">涨跌比回到1以上。</w:t>
      </w:r>
    </w:p>
    <w:p>
      <w:pPr>
        <w:pStyle w:val="FirstParagraph"/>
      </w:pPr>
      <w:r>
        <w:rPr>
          <w:rFonts w:hint="eastAsia"/>
        </w:rPr>
        <w:t xml:space="preserve">操作：</w:t>
      </w:r>
    </w:p>
    <w:p>
      <w:pPr>
        <w:pStyle w:val="Compact"/>
        <w:numPr>
          <w:ilvl w:val="0"/>
          <w:numId w:val="1057"/>
        </w:numPr>
      </w:pPr>
      <w:r>
        <w:rPr>
          <w:rFonts w:hint="eastAsia"/>
        </w:rPr>
        <w:t xml:space="preserve">宽基ETF作为底仓。</w:t>
      </w:r>
    </w:p>
    <w:p>
      <w:pPr>
        <w:pStyle w:val="Compact"/>
        <w:numPr>
          <w:ilvl w:val="0"/>
          <w:numId w:val="1057"/>
        </w:numPr>
      </w:pPr>
      <w:r>
        <w:rPr>
          <w:rFonts w:hint="eastAsia"/>
        </w:rPr>
        <w:t xml:space="preserve">科技方向只做回踩确认，不追开盘脉冲。</w:t>
      </w:r>
    </w:p>
    <w:p>
      <w:pPr>
        <w:pStyle w:val="Compact"/>
        <w:numPr>
          <w:ilvl w:val="0"/>
          <w:numId w:val="1057"/>
        </w:numPr>
      </w:pPr>
      <w:r>
        <w:rPr>
          <w:rFonts w:hint="eastAsia"/>
        </w:rPr>
        <w:t xml:space="preserve">先建观察仓，盘中确认后再提高至目标仓位。</w:t>
      </w:r>
    </w:p>
    <w:bookmarkEnd w:id="57"/>
    <w:bookmarkStart w:id="58" w:name="进攻档35"/>
    <w:p>
      <w:pPr>
        <w:pStyle w:val="Heading3"/>
      </w:pPr>
      <w:r>
        <w:t xml:space="preserve">🚀 </w:t>
      </w:r>
      <w:r>
        <w:rPr>
          <w:rFonts w:hint="eastAsia"/>
        </w:rPr>
        <w:t xml:space="preserve">进攻档：35%</w:t>
      </w:r>
    </w:p>
    <w:p>
      <w:pPr>
        <w:pStyle w:val="FirstParagraph"/>
      </w:pPr>
      <w:r>
        <w:rPr>
          <w:rFonts w:hint="eastAsia"/>
        </w:rPr>
        <w:t xml:space="preserve">适用条件：</w:t>
      </w:r>
    </w:p>
    <w:p>
      <w:pPr>
        <w:pStyle w:val="Compact"/>
        <w:numPr>
          <w:ilvl w:val="0"/>
          <w:numId w:val="1058"/>
        </w:numPr>
      </w:pPr>
      <w:r>
        <w:rPr>
          <w:rFonts w:hint="eastAsia"/>
        </w:rPr>
        <w:t xml:space="preserve">指数放量突破并站稳；</w:t>
      </w:r>
    </w:p>
    <w:p>
      <w:pPr>
        <w:pStyle w:val="Compact"/>
        <w:numPr>
          <w:ilvl w:val="0"/>
          <w:numId w:val="1058"/>
        </w:numPr>
      </w:pPr>
      <w:r>
        <w:rPr>
          <w:rFonts w:hint="eastAsia"/>
        </w:rPr>
        <w:t xml:space="preserve">科创50与创业板同步转强；</w:t>
      </w:r>
    </w:p>
    <w:p>
      <w:pPr>
        <w:pStyle w:val="Compact"/>
        <w:numPr>
          <w:ilvl w:val="0"/>
          <w:numId w:val="1058"/>
        </w:numPr>
      </w:pPr>
      <w:r>
        <w:rPr>
          <w:rFonts w:hint="eastAsia"/>
        </w:rPr>
        <w:t xml:space="preserve">重点科技股出现站回关键均线的右侧信号；</w:t>
      </w:r>
    </w:p>
    <w:p>
      <w:pPr>
        <w:pStyle w:val="Compact"/>
        <w:numPr>
          <w:ilvl w:val="0"/>
          <w:numId w:val="1058"/>
        </w:numPr>
      </w:pPr>
      <w:r>
        <w:rPr>
          <w:rFonts w:hint="eastAsia"/>
        </w:rPr>
        <w:t xml:space="preserve">板块资金连续流入而非单点异动；</w:t>
      </w:r>
    </w:p>
    <w:p>
      <w:pPr>
        <w:pStyle w:val="Compact"/>
        <w:numPr>
          <w:ilvl w:val="0"/>
          <w:numId w:val="1058"/>
        </w:numPr>
      </w:pPr>
      <w:r>
        <w:rPr>
          <w:rFonts w:hint="eastAsia"/>
        </w:rPr>
        <w:t xml:space="preserve">市场广度明显改善。</w:t>
      </w:r>
    </w:p>
    <w:p>
      <w:pPr>
        <w:pStyle w:val="FirstParagraph"/>
      </w:pPr>
      <w:r>
        <w:rPr>
          <w:rFonts w:hint="eastAsia"/>
        </w:rPr>
        <w:t xml:space="preserve">操作：</w:t>
      </w:r>
    </w:p>
    <w:p>
      <w:pPr>
        <w:pStyle w:val="Compact"/>
        <w:numPr>
          <w:ilvl w:val="0"/>
          <w:numId w:val="1059"/>
        </w:numPr>
      </w:pPr>
      <w:r>
        <w:rPr>
          <w:rFonts w:hint="eastAsia"/>
        </w:rPr>
        <w:t xml:space="preserve">仅参与确认后的主线核心，不参与后排跟风。</w:t>
      </w:r>
    </w:p>
    <w:p>
      <w:pPr>
        <w:pStyle w:val="Compact"/>
        <w:numPr>
          <w:ilvl w:val="0"/>
          <w:numId w:val="1059"/>
        </w:numPr>
      </w:pPr>
      <w:r>
        <w:rPr>
          <w:rFonts w:hint="eastAsia"/>
        </w:rPr>
        <w:t xml:space="preserve">A/B级信号出现前，35%是进攻上限，不提高到模型最大仓位50%。</w:t>
      </w:r>
    </w:p>
    <w:p>
      <w:pPr>
        <w:pStyle w:val="Compact"/>
        <w:numPr>
          <w:ilvl w:val="0"/>
          <w:numId w:val="1059"/>
        </w:numPr>
      </w:pPr>
      <w:r>
        <w:rPr>
          <w:rFonts w:hint="eastAsia"/>
        </w:rPr>
        <w:t xml:space="preserve">若午前确认失败，立即退回10%—25%。</w:t>
      </w:r>
    </w:p>
    <w:p>
      <w:r>
        <w:pict>
          <v:rect style="width:0;height:1.5pt" o:hralign="center" o:hrstd="t" o:hr="t"/>
        </w:pict>
      </w:r>
    </w:p>
    <w:bookmarkEnd w:id="58"/>
    <w:bookmarkEnd w:id="59"/>
    <w:bookmarkStart w:id="64" w:name="仓位模型量化推导"/>
    <w:p>
      <w:pPr>
        <w:pStyle w:val="Heading2"/>
      </w:pPr>
      <w:r>
        <w:t xml:space="preserve">🧮 </w:t>
      </w:r>
      <w:r>
        <w:rPr>
          <w:rFonts w:hint="eastAsia"/>
        </w:rPr>
        <w:t xml:space="preserve">仓位模型：量化推导</w:t>
      </w:r>
    </w:p>
    <w:bookmarkStart w:id="60" w:name="基础模型"/>
    <w:p>
      <w:pPr>
        <w:pStyle w:val="Heading3"/>
      </w:pPr>
      <w:r>
        <w:t xml:space="preserve">📊 </w:t>
      </w:r>
      <w:r>
        <w:rPr>
          <w:rFonts w:hint="eastAsia"/>
        </w:rPr>
        <w:t xml:space="preserve">基础模型</w:t>
      </w:r>
    </w:p>
    <w:p>
      <w:pPr>
        <w:pStyle w:val="Compact"/>
        <w:numPr>
          <w:ilvl w:val="0"/>
          <w:numId w:val="1060"/>
        </w:numPr>
      </w:pPr>
      <w:r>
        <w:rPr>
          <w:rFonts w:hint="eastAsia"/>
        </w:rPr>
        <w:t xml:space="preserve">模型最大仓位：50%。</w:t>
      </w:r>
    </w:p>
    <w:p>
      <w:pPr>
        <w:pStyle w:val="Compact"/>
        <w:numPr>
          <w:ilvl w:val="0"/>
          <w:numId w:val="1060"/>
        </w:numPr>
      </w:pPr>
      <w:r>
        <w:rPr>
          <w:rFonts w:hint="eastAsia"/>
        </w:rPr>
        <w:t xml:space="preserve">进攻档：35%。</w:t>
      </w:r>
    </w:p>
    <w:p>
      <w:pPr>
        <w:pStyle w:val="Compact"/>
        <w:numPr>
          <w:ilvl w:val="0"/>
          <w:numId w:val="1060"/>
        </w:numPr>
      </w:pPr>
      <w:r>
        <w:rPr>
          <w:rFonts w:hint="eastAsia"/>
        </w:rPr>
        <w:t xml:space="preserve">均衡档：25%。</w:t>
      </w:r>
    </w:p>
    <w:p>
      <w:pPr>
        <w:pStyle w:val="Compact"/>
        <w:numPr>
          <w:ilvl w:val="0"/>
          <w:numId w:val="1060"/>
        </w:numPr>
      </w:pPr>
      <w:r>
        <w:rPr>
          <w:rFonts w:hint="eastAsia"/>
        </w:rPr>
        <w:t xml:space="preserve">保守档：10%。</w:t>
      </w:r>
    </w:p>
    <w:bookmarkEnd w:id="60"/>
    <w:bookmarkStart w:id="61" w:name="加分项"/>
    <w:p>
      <w:pPr>
        <w:pStyle w:val="Heading3"/>
      </w:pPr>
      <w:r>
        <w:t xml:space="preserve">➕ </w:t>
      </w:r>
      <w:r>
        <w:rPr>
          <w:rFonts w:hint="eastAsia"/>
        </w:rPr>
        <w:t xml:space="preserve">加分项</w:t>
      </w:r>
    </w:p>
    <w:p>
      <w:pPr>
        <w:pStyle w:val="Compact"/>
        <w:numPr>
          <w:ilvl w:val="0"/>
          <w:numId w:val="1061"/>
        </w:numPr>
      </w:pPr>
      <w:r>
        <w:t xml:space="preserve">300ETF </w:t>
      </w:r>
      <w:r>
        <w:rPr>
          <w:rFonts w:hint="eastAsia"/>
        </w:rPr>
        <w:t xml:space="preserve">QVIX较20日峰值回落16.61%。</w:t>
      </w:r>
    </w:p>
    <w:p>
      <w:pPr>
        <w:pStyle w:val="Compact"/>
        <w:numPr>
          <w:ilvl w:val="0"/>
          <w:numId w:val="1061"/>
        </w:numPr>
      </w:pPr>
      <w:r>
        <w:rPr>
          <w:rFonts w:hint="eastAsia"/>
        </w:rPr>
        <w:t xml:space="preserve">五只核心宽基ETF连续3个区间净申购。</w:t>
      </w:r>
    </w:p>
    <w:p>
      <w:pPr>
        <w:pStyle w:val="Compact"/>
        <w:numPr>
          <w:ilvl w:val="0"/>
          <w:numId w:val="1061"/>
        </w:numPr>
      </w:pPr>
      <w:r>
        <w:rPr>
          <w:rFonts w:hint="eastAsia"/>
        </w:rPr>
        <w:t xml:space="preserve">隔夜美股三大指数全部上涨。</w:t>
      </w:r>
    </w:p>
    <w:p>
      <w:pPr>
        <w:pStyle w:val="Compact"/>
        <w:numPr>
          <w:ilvl w:val="0"/>
          <w:numId w:val="1061"/>
        </w:numPr>
      </w:pPr>
      <w:r>
        <w:rPr>
          <w:rFonts w:hint="eastAsia"/>
        </w:rPr>
        <w:t xml:space="preserve">五只核心半导体股全部上涨。</w:t>
      </w:r>
    </w:p>
    <w:p>
      <w:pPr>
        <w:pStyle w:val="Compact"/>
        <w:numPr>
          <w:ilvl w:val="0"/>
          <w:numId w:val="1061"/>
        </w:numPr>
      </w:pPr>
      <w:r>
        <w:rPr>
          <w:rFonts w:hint="eastAsia"/>
        </w:rPr>
        <w:t xml:space="preserve">国内科技、创投和应用场景政策密集。</w:t>
      </w:r>
    </w:p>
    <w:bookmarkEnd w:id="61"/>
    <w:bookmarkStart w:id="62" w:name="减分项"/>
    <w:p>
      <w:pPr>
        <w:pStyle w:val="Heading3"/>
      </w:pPr>
      <w:r>
        <w:t xml:space="preserve">➖ </w:t>
      </w:r>
      <w:r>
        <w:rPr>
          <w:rFonts w:hint="eastAsia"/>
        </w:rPr>
        <w:t xml:space="preserve">减分项</w:t>
      </w:r>
    </w:p>
    <w:p>
      <w:pPr>
        <w:pStyle w:val="Compact"/>
        <w:numPr>
          <w:ilvl w:val="0"/>
          <w:numId w:val="1062"/>
        </w:numPr>
      </w:pPr>
      <w:r>
        <w:rPr>
          <w:rFonts w:hint="eastAsia"/>
        </w:rPr>
        <w:t xml:space="preserve">昨日涨跌比0.589，模型因此扣减15个百分点。</w:t>
      </w:r>
    </w:p>
    <w:p>
      <w:pPr>
        <w:pStyle w:val="Compact"/>
        <w:numPr>
          <w:ilvl w:val="0"/>
          <w:numId w:val="1062"/>
        </w:numPr>
      </w:pPr>
      <w:r>
        <w:rPr>
          <w:rFonts w:hint="eastAsia"/>
        </w:rPr>
        <w:t xml:space="preserve">全市场成交额14420.51亿元，下降2.00%，未形成放量修复。</w:t>
      </w:r>
    </w:p>
    <w:p>
      <w:pPr>
        <w:pStyle w:val="Compact"/>
        <w:numPr>
          <w:ilvl w:val="0"/>
          <w:numId w:val="1062"/>
        </w:numPr>
      </w:pPr>
      <w:r>
        <w:rPr>
          <w:rFonts w:hint="eastAsia"/>
        </w:rPr>
        <w:t xml:space="preserve">两融余额减少21.95亿元，主要由融资余额下降21.29亿元驱动。</w:t>
      </w:r>
    </w:p>
    <w:p>
      <w:pPr>
        <w:pStyle w:val="Compact"/>
        <w:numPr>
          <w:ilvl w:val="0"/>
          <w:numId w:val="1062"/>
        </w:numPr>
      </w:pPr>
      <w:r>
        <w:rPr>
          <w:rFonts w:hint="eastAsia"/>
        </w:rPr>
        <w:t xml:space="preserve">TickFlow重点股样本A/B级为0、D级为9。</w:t>
      </w:r>
    </w:p>
    <w:p>
      <w:pPr>
        <w:pStyle w:val="Compact"/>
        <w:numPr>
          <w:ilvl w:val="0"/>
          <w:numId w:val="1062"/>
        </w:numPr>
      </w:pPr>
      <w:r>
        <w:rPr>
          <w:rFonts w:hint="eastAsia"/>
        </w:rPr>
        <w:t xml:space="preserve">重点股样本高于MA20和MA60的比例均为0%，且该数据仅代表10只重点股样本，不能表述为全A股市场宽度。</w:t>
      </w:r>
    </w:p>
    <w:bookmarkEnd w:id="62"/>
    <w:bookmarkStart w:id="63" w:name="最终结论"/>
    <w:p>
      <w:pPr>
        <w:pStyle w:val="Heading3"/>
      </w:pPr>
      <w:r>
        <w:t xml:space="preserve">🎯 </w:t>
      </w:r>
      <w:r>
        <w:rPr>
          <w:rFonts w:hint="eastAsia"/>
        </w:rPr>
        <w:t xml:space="preserve">最终结论</w:t>
      </w:r>
    </w:p>
    <w:p>
      <w:pPr>
        <w:pStyle w:val="Compact"/>
        <w:numPr>
          <w:ilvl w:val="0"/>
          <w:numId w:val="1063"/>
        </w:numPr>
      </w:pPr>
      <w:r>
        <w:rPr>
          <w:rFonts w:hint="eastAsia"/>
          <w:b/>
          <w:bCs/>
        </w:rPr>
        <w:t xml:space="preserve">盘前基准仓位：25%。</w:t>
      </w:r>
    </w:p>
    <w:p>
      <w:pPr>
        <w:pStyle w:val="Compact"/>
        <w:numPr>
          <w:ilvl w:val="0"/>
          <w:numId w:val="1063"/>
        </w:numPr>
      </w:pPr>
      <w:r>
        <w:rPr>
          <w:rFonts w:hint="eastAsia"/>
          <w:b/>
          <w:bCs/>
        </w:rPr>
        <w:t xml:space="preserve">开盘高走但量能不足：维持25%，不追高。</w:t>
      </w:r>
    </w:p>
    <w:p>
      <w:pPr>
        <w:pStyle w:val="Compact"/>
        <w:numPr>
          <w:ilvl w:val="0"/>
          <w:numId w:val="1063"/>
        </w:numPr>
      </w:pPr>
      <w:r>
        <w:rPr>
          <w:rFonts w:hint="eastAsia"/>
          <w:b/>
          <w:bCs/>
        </w:rPr>
        <w:t xml:space="preserve">放量修复且右侧确认：上调至35%。</w:t>
      </w:r>
    </w:p>
    <w:p>
      <w:pPr>
        <w:pStyle w:val="Compact"/>
        <w:numPr>
          <w:ilvl w:val="0"/>
          <w:numId w:val="1063"/>
        </w:numPr>
      </w:pPr>
      <w:r>
        <w:rPr>
          <w:rFonts w:hint="eastAsia"/>
          <w:b/>
          <w:bCs/>
        </w:rPr>
        <w:t xml:space="preserve">高开低走或广度继续恶化：降至10%。</w:t>
      </w:r>
    </w:p>
    <w:p>
      <w:pPr>
        <w:pStyle w:val="Compact"/>
        <w:numPr>
          <w:ilvl w:val="0"/>
          <w:numId w:val="1063"/>
        </w:numPr>
      </w:pPr>
      <w:r>
        <w:rPr>
          <w:rFonts w:hint="eastAsia"/>
          <w:b/>
          <w:bCs/>
        </w:rPr>
        <w:t xml:space="preserve">50%上限暂不启用。</w:t>
      </w:r>
    </w:p>
    <w:p>
      <w:r>
        <w:pict>
          <v:rect style="width:0;height:1.5pt" o:hralign="center" o:hrstd="t" o:hr="t"/>
        </w:pict>
      </w:r>
    </w:p>
    <w:bookmarkEnd w:id="63"/>
    <w:bookmarkEnd w:id="64"/>
    <w:bookmarkStart w:id="65" w:name="回避清单"/>
    <w:p>
      <w:pPr>
        <w:pStyle w:val="Heading2"/>
      </w:pPr>
      <w:r>
        <w:t xml:space="preserve">⛔ </w:t>
      </w:r>
      <w:r>
        <w:rPr>
          <w:rFonts w:hint="eastAsia"/>
        </w:rPr>
        <w:t xml:space="preserve">回避清单</w:t>
      </w:r>
    </w:p>
    <w:p>
      <w:pPr>
        <w:numPr>
          <w:ilvl w:val="0"/>
          <w:numId w:val="1064"/>
        </w:numPr>
      </w:pPr>
      <w:r>
        <w:rPr>
          <w:rFonts w:hint="eastAsia"/>
          <w:b/>
          <w:bCs/>
        </w:rPr>
        <w:t xml:space="preserve">D级趋势破位股</w:t>
      </w:r>
      <w:r>
        <w:br/>
      </w:r>
      <w:r>
        <w:rPr>
          <w:rFonts w:hint="eastAsia"/>
        </w:rPr>
        <w:t xml:space="preserve">宁德时代、中际旭创、新易盛、兆易创新、生益科技、亨通光电、天孚通信、东山精密、沪电股份。</w:t>
      </w:r>
    </w:p>
    <w:p>
      <w:pPr>
        <w:numPr>
          <w:ilvl w:val="0"/>
          <w:numId w:val="1064"/>
        </w:numPr>
      </w:pPr>
      <w:r>
        <w:rPr>
          <w:rFonts w:hint="eastAsia"/>
          <w:b/>
          <w:bCs/>
        </w:rPr>
        <w:t xml:space="preserve">资金持续流出方向</w:t>
      </w:r>
      <w:r>
        <w:br/>
      </w:r>
      <w:r>
        <w:rPr>
          <w:rFonts w:hint="eastAsia"/>
        </w:rPr>
        <w:t xml:space="preserve">电力设备、电池、锂电池、证券Ⅱ、太阳能。</w:t>
      </w:r>
    </w:p>
    <w:p>
      <w:pPr>
        <w:numPr>
          <w:ilvl w:val="0"/>
          <w:numId w:val="1064"/>
        </w:numPr>
      </w:pPr>
      <w:r>
        <w:rPr>
          <w:rFonts w:hint="eastAsia"/>
          <w:b/>
          <w:bCs/>
        </w:rPr>
        <w:t xml:space="preserve">公告风险股</w:t>
      </w:r>
      <w:r>
        <w:br/>
      </w:r>
      <w:r>
        <w:rPr>
          <w:rFonts w:hint="eastAsia"/>
        </w:rPr>
        <w:t xml:space="preserve">南威软件、涉及减值计提的公司、存在监管或纪律审查事项的公司。</w:t>
      </w:r>
    </w:p>
    <w:p>
      <w:pPr>
        <w:numPr>
          <w:ilvl w:val="0"/>
          <w:numId w:val="1064"/>
        </w:numPr>
      </w:pPr>
      <w:r>
        <w:rPr>
          <w:rFonts w:hint="eastAsia"/>
          <w:b/>
          <w:bCs/>
        </w:rPr>
        <w:t xml:space="preserve">减持及限售解禁压力股</w:t>
      </w:r>
      <w:r>
        <w:br/>
      </w:r>
      <w:r>
        <w:rPr>
          <w:rFonts w:hint="eastAsia"/>
        </w:rPr>
        <w:t xml:space="preserve">珠海冠宇、派能科技、华特气体、厦门银行、巨星农牧、拉普拉斯等。</w:t>
      </w:r>
    </w:p>
    <w:p>
      <w:pPr>
        <w:numPr>
          <w:ilvl w:val="0"/>
          <w:numId w:val="1064"/>
        </w:numPr>
      </w:pPr>
      <w:r>
        <w:rPr>
          <w:rFonts w:hint="eastAsia"/>
          <w:b/>
          <w:bCs/>
        </w:rPr>
        <w:t xml:space="preserve">无法完成技术核验的标的</w:t>
      </w:r>
      <w:r>
        <w:br/>
      </w:r>
      <w:r>
        <w:rPr>
          <w:rFonts w:hint="eastAsia"/>
        </w:rPr>
        <w:t xml:space="preserve">长鑫科技缺少MA60，TickFlow评级因技术数据不足暂不评级；不得用基本面高增长代替右侧确认。</w:t>
      </w:r>
    </w:p>
    <w:p>
      <w:pPr>
        <w:numPr>
          <w:ilvl w:val="0"/>
          <w:numId w:val="1064"/>
        </w:numPr>
      </w:pPr>
      <w:r>
        <w:rPr>
          <w:rFonts w:hint="eastAsia"/>
          <w:b/>
          <w:bCs/>
        </w:rPr>
        <w:t xml:space="preserve">纯题材后排</w:t>
      </w:r>
      <w:r>
        <w:br/>
      </w:r>
      <w:r>
        <w:rPr>
          <w:rFonts w:hint="eastAsia"/>
        </w:rPr>
        <w:t xml:space="preserve">只有政策映射、没有订单、业绩和资金验证的AI、氢能、数据要素后排股。</w:t>
      </w:r>
    </w:p>
    <w:p>
      <w:r>
        <w:pict>
          <v:rect style="width:0;height:1.5pt" o:hralign="center" o:hrstd="t" o:hr="t"/>
        </w:pict>
      </w:r>
    </w:p>
    <w:bookmarkEnd w:id="65"/>
    <w:bookmarkStart w:id="68" w:name="风险日历"/>
    <w:p>
      <w:pPr>
        <w:pStyle w:val="Heading2"/>
      </w:pPr>
      <w:r>
        <w:t xml:space="preserve">⚠️ </w:t>
      </w:r>
      <w:r>
        <w:rPr>
          <w:rFonts w:hint="eastAsia"/>
        </w:rPr>
        <w:t xml:space="preserve">风险日历</w:t>
      </w:r>
    </w:p>
    <w:bookmarkStart w:id="66" w:name="月22日盘前与交易时段"/>
    <w:p>
      <w:pPr>
        <w:pStyle w:val="Heading3"/>
      </w:pPr>
      <w:r>
        <w:t xml:space="preserve">⚠️ </w:t>
      </w:r>
      <w:r>
        <w:rPr>
          <w:rFonts w:hint="eastAsia"/>
        </w:rPr>
        <w:t xml:space="preserve">10月22日盘前与交易时段</w:t>
      </w:r>
    </w:p>
    <w:p>
      <w:pPr>
        <w:pStyle w:val="Compact"/>
        <w:numPr>
          <w:ilvl w:val="0"/>
          <w:numId w:val="1065"/>
        </w:numPr>
      </w:pPr>
      <w:r>
        <w:rPr>
          <w:rFonts w:hint="eastAsia"/>
        </w:rPr>
        <w:t xml:space="preserve">新亚制程重组预案披露并复牌，关注高波动及兑现风险。</w:t>
      </w:r>
    </w:p>
    <w:p>
      <w:pPr>
        <w:pStyle w:val="Compact"/>
        <w:numPr>
          <w:ilvl w:val="0"/>
          <w:numId w:val="1065"/>
        </w:numPr>
      </w:pPr>
      <w:r>
        <w:rPr>
          <w:rFonts w:hint="eastAsia"/>
        </w:rPr>
        <w:t xml:space="preserve">国机重装定增预案进入市场定价，关注摊薄和募投回报。</w:t>
      </w:r>
    </w:p>
    <w:p>
      <w:pPr>
        <w:pStyle w:val="Compact"/>
        <w:numPr>
          <w:ilvl w:val="0"/>
          <w:numId w:val="1065"/>
        </w:numPr>
      </w:pPr>
      <w:r>
        <w:rPr>
          <w:rFonts w:hint="eastAsia"/>
        </w:rPr>
        <w:t xml:space="preserve">南威软件交易风险提示及监管因素可能压制相关高位软件股情绪。</w:t>
      </w:r>
    </w:p>
    <w:p>
      <w:pPr>
        <w:pStyle w:val="Compact"/>
        <w:numPr>
          <w:ilvl w:val="0"/>
          <w:numId w:val="1065"/>
        </w:numPr>
      </w:pPr>
      <w:r>
        <w:rPr>
          <w:rFonts w:hint="eastAsia"/>
        </w:rPr>
        <w:t xml:space="preserve">多家公司集中披露减值、减持和限售股上市事项。</w:t>
      </w:r>
    </w:p>
    <w:bookmarkEnd w:id="66"/>
    <w:bookmarkStart w:id="67" w:name="近期持续风险"/>
    <w:p>
      <w:pPr>
        <w:pStyle w:val="Heading3"/>
      </w:pPr>
      <w:r>
        <w:t xml:space="preserve">⚠️ </w:t>
      </w:r>
      <w:r>
        <w:rPr>
          <w:rFonts w:hint="eastAsia"/>
        </w:rPr>
        <w:t xml:space="preserve">近期持续风险</w:t>
      </w:r>
    </w:p>
    <w:p>
      <w:pPr>
        <w:pStyle w:val="Compact"/>
        <w:numPr>
          <w:ilvl w:val="0"/>
          <w:numId w:val="1066"/>
        </w:numPr>
      </w:pPr>
      <w:r>
        <w:rPr>
          <w:rFonts w:hint="eastAsia"/>
        </w:rPr>
        <w:t xml:space="preserve">欧洲天然气价格突破90欧元/兆瓦时，能源通胀与欧洲需求风险上升。</w:t>
      </w:r>
    </w:p>
    <w:p>
      <w:pPr>
        <w:pStyle w:val="Compact"/>
        <w:numPr>
          <w:ilvl w:val="0"/>
          <w:numId w:val="1066"/>
        </w:numPr>
      </w:pPr>
      <w:r>
        <w:rPr>
          <w:rFonts w:hint="eastAsia"/>
        </w:rPr>
        <w:t xml:space="preserve">中东局势影响LNG和原油供应，能源价格波动可能加大。</w:t>
      </w:r>
    </w:p>
    <w:p>
      <w:pPr>
        <w:pStyle w:val="Compact"/>
        <w:numPr>
          <w:ilvl w:val="0"/>
          <w:numId w:val="1066"/>
        </w:numPr>
      </w:pPr>
      <w:r>
        <w:rPr>
          <w:rFonts w:hint="eastAsia"/>
        </w:rPr>
        <w:t xml:space="preserve">俄乌谈判仍存在反复，相关资产可能受消息快速驱动。</w:t>
      </w:r>
    </w:p>
    <w:p>
      <w:pPr>
        <w:pStyle w:val="Compact"/>
        <w:numPr>
          <w:ilvl w:val="0"/>
          <w:numId w:val="1066"/>
        </w:numPr>
      </w:pPr>
      <w:r>
        <w:rPr>
          <w:rFonts w:hint="eastAsia"/>
        </w:rPr>
        <w:t xml:space="preserve">两融数据继续表现为融资余额收缩，杠杆风险偏好尚未恢复。</w:t>
      </w:r>
    </w:p>
    <w:p>
      <w:pPr>
        <w:pStyle w:val="Compact"/>
        <w:numPr>
          <w:ilvl w:val="0"/>
          <w:numId w:val="1066"/>
        </w:numPr>
      </w:pPr>
      <w:r>
        <w:rPr>
          <w:rFonts w:hint="eastAsia"/>
        </w:rPr>
        <w:t xml:space="preserve">财报季进入密集披露阶段，需防范利润增速、毛利率、应收账款和现金流低于预期。</w:t>
      </w:r>
    </w:p>
    <w:p>
      <w:r>
        <w:pict>
          <v:rect style="width:0;height:1.5pt" o:hralign="center" o:hrstd="t" o:hr="t"/>
        </w:pict>
      </w:r>
    </w:p>
    <w:bookmarkEnd w:id="67"/>
    <w:bookmarkEnd w:id="68"/>
    <w:bookmarkStart w:id="69" w:name="盘前执行清单"/>
    <w:p>
      <w:pPr>
        <w:pStyle w:val="Heading2"/>
      </w:pPr>
      <w:r>
        <w:t xml:space="preserve">💡 </w:t>
      </w:r>
      <w:r>
        <w:rPr>
          <w:rFonts w:hint="eastAsia"/>
        </w:rPr>
        <w:t xml:space="preserve">盘前执行清单</w:t>
      </w:r>
    </w:p>
    <w:p>
      <w:pPr>
        <w:pStyle w:val="Compact"/>
        <w:numPr>
          <w:ilvl w:val="0"/>
          <w:numId w:val="1067"/>
        </w:numPr>
      </w:pPr>
      <w:r>
        <w:rPr>
          <w:rFonts w:hint="eastAsia"/>
        </w:rPr>
        <w:t xml:space="preserve">9:25后先看A50、人民币与核心ETF竞价，不根据隔夜美股直接下单。</w:t>
      </w:r>
    </w:p>
    <w:p>
      <w:pPr>
        <w:pStyle w:val="Compact"/>
        <w:numPr>
          <w:ilvl w:val="0"/>
          <w:numId w:val="1067"/>
        </w:numPr>
      </w:pPr>
      <w:r>
        <w:rPr>
          <w:rFonts w:hint="eastAsia"/>
        </w:rPr>
        <w:t xml:space="preserve">开盘后观察科创50和沪深300谁承担主导修复。</w:t>
      </w:r>
    </w:p>
    <w:p>
      <w:pPr>
        <w:pStyle w:val="Compact"/>
        <w:numPr>
          <w:ilvl w:val="0"/>
          <w:numId w:val="1067"/>
        </w:numPr>
      </w:pPr>
      <w:r>
        <w:rPr>
          <w:rFonts w:hint="eastAsia"/>
        </w:rPr>
        <w:t xml:space="preserve">科技股若高开，等待第一次回踩，不追第一波。</w:t>
      </w:r>
    </w:p>
    <w:p>
      <w:pPr>
        <w:pStyle w:val="Compact"/>
        <w:numPr>
          <w:ilvl w:val="0"/>
          <w:numId w:val="1067"/>
        </w:numPr>
      </w:pPr>
      <w:r>
        <w:rPr>
          <w:rFonts w:hint="eastAsia"/>
        </w:rPr>
        <w:t xml:space="preserve">重点股只有重新站回关键均线并放量确认，才从“回避”调整为“观察”。</w:t>
      </w:r>
    </w:p>
    <w:p>
      <w:pPr>
        <w:pStyle w:val="Compact"/>
        <w:numPr>
          <w:ilvl w:val="0"/>
          <w:numId w:val="1067"/>
        </w:numPr>
      </w:pPr>
      <w:r>
        <w:rPr>
          <w:rFonts w:hint="eastAsia"/>
        </w:rPr>
        <w:t xml:space="preserve">宽基ETF允许小仓低吸，个股仍以右侧确认优先。</w:t>
      </w:r>
    </w:p>
    <w:p>
      <w:pPr>
        <w:pStyle w:val="Compact"/>
        <w:numPr>
          <w:ilvl w:val="0"/>
          <w:numId w:val="1067"/>
        </w:numPr>
      </w:pPr>
      <w:r>
        <w:rPr>
          <w:rFonts w:hint="eastAsia"/>
        </w:rPr>
        <w:t xml:space="preserve">若成交额缩量、涨跌比不改善，全天按10%—25%防守仓运行。</w:t>
      </w:r>
    </w:p>
    <w:p>
      <w:pPr>
        <w:pStyle w:val="Compact"/>
        <w:numPr>
          <w:ilvl w:val="0"/>
          <w:numId w:val="1067"/>
        </w:numPr>
      </w:pPr>
      <w:r>
        <w:rPr>
          <w:rFonts w:hint="eastAsia"/>
        </w:rPr>
        <w:t xml:space="preserve">若放量修复、资金回流、趋势同步确认，仓位上限提高至35%。</w:t>
      </w:r>
    </w:p>
    <w:p>
      <w:pPr>
        <w:pStyle w:val="BlockText"/>
      </w:pPr>
      <w:r>
        <w:t xml:space="preserve">📊 </w:t>
      </w:r>
      <w:r>
        <w:rPr>
          <w:rFonts w:hint="eastAsia"/>
        </w:rPr>
        <w:t xml:space="preserve">生成时间：2026-10-22</w:t>
      </w:r>
      <w:r>
        <w:t xml:space="preserve"> 08:30:33</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2026-10-22T01:02:51Z</dcterms:created>
  <dcterms:modified xsi:type="dcterms:W3CDTF">2026-10-22T01:02:51Z</dcterms:modified>
</cp:coreProperties>
</file>

<file path=docProps/custom.xml><?xml version="1.0" encoding="utf-8"?>
<Properties xmlns="http://schemas.openxmlformats.org/officeDocument/2006/custom-properties" xmlns:vt="http://schemas.openxmlformats.org/officeDocument/2006/docPropsVTypes"/>
</file>