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3" w:name="奇迹早知道2026年10月21日盘前简报"/>
    <w:p>
      <w:pPr>
        <w:pStyle w:val="Heading1"/>
      </w:pPr>
      <w:r>
        <w:t xml:space="preserve">🌅 </w:t>
      </w:r>
      <w:r>
        <w:rPr>
          <w:rFonts w:hint="eastAsia"/>
        </w:rPr>
        <w:t xml:space="preserve">奇迹早知道｜2026年10月21日盘前简报</w:t>
      </w:r>
    </w:p>
    <w:bookmarkStart w:id="12" w:name="隔夜全球市场"/>
    <w:p>
      <w:pPr>
        <w:pStyle w:val="Heading2"/>
      </w:pPr>
      <w:r>
        <w:t xml:space="preserve">🌍 </w:t>
      </w:r>
      <w:r>
        <w:rPr>
          <w:rFonts w:hint="eastAsia"/>
        </w:rPr>
        <w:t xml:space="preserve">隔夜全球市场</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道琼斯指数</w:t>
            </w:r>
          </w:p>
        </w:tc>
        <w:tc>
          <w:tcPr/>
          <w:p>
            <w:pPr>
              <w:pStyle w:val="Compact"/>
              <w:jc w:val="right"/>
            </w:pPr>
            <w:r>
              <w:t xml:space="preserve">52495.8789</w:t>
            </w:r>
          </w:p>
        </w:tc>
        <w:tc>
          <w:tcPr/>
          <w:p>
            <w:pPr>
              <w:pStyle w:val="Compact"/>
              <w:jc w:val="right"/>
            </w:pPr>
            <w:r>
              <w:t xml:space="preserve">🔴 +1.02%</w:t>
            </w:r>
          </w:p>
        </w:tc>
      </w:tr>
      <w:tr>
        <w:tc>
          <w:tcPr/>
          <w:p>
            <w:pPr>
              <w:pStyle w:val="Compact"/>
            </w:pPr>
            <w:r>
              <w:rPr>
                <w:rFonts w:hint="eastAsia"/>
              </w:rPr>
              <w:t xml:space="preserve">标普500指数</w:t>
            </w:r>
          </w:p>
        </w:tc>
        <w:tc>
          <w:tcPr/>
          <w:p>
            <w:pPr>
              <w:pStyle w:val="Compact"/>
              <w:jc w:val="right"/>
            </w:pPr>
            <w:r>
              <w:t xml:space="preserve">7712.5698</w:t>
            </w:r>
          </w:p>
        </w:tc>
        <w:tc>
          <w:tcPr/>
          <w:p>
            <w:pPr>
              <w:pStyle w:val="Compact"/>
              <w:jc w:val="right"/>
            </w:pPr>
            <w:r>
              <w:t xml:space="preserve">🔴 +0.28%</w:t>
            </w:r>
          </w:p>
        </w:tc>
      </w:tr>
      <w:tr>
        <w:tc>
          <w:tcPr/>
          <w:p>
            <w:pPr>
              <w:pStyle w:val="Compact"/>
            </w:pPr>
            <w:r>
              <w:rPr>
                <w:rFonts w:hint="eastAsia"/>
              </w:rPr>
              <w:t xml:space="preserve">纳斯达克指数</w:t>
            </w:r>
          </w:p>
        </w:tc>
        <w:tc>
          <w:tcPr/>
          <w:p>
            <w:pPr>
              <w:pStyle w:val="Compact"/>
              <w:jc w:val="right"/>
            </w:pPr>
            <w:r>
              <w:t xml:space="preserve">26424.8169</w:t>
            </w:r>
          </w:p>
        </w:tc>
        <w:tc>
          <w:tcPr/>
          <w:p>
            <w:pPr>
              <w:pStyle w:val="Compact"/>
              <w:jc w:val="right"/>
            </w:pPr>
            <w:r>
              <w:t xml:space="preserve">🟢 -0.02%</w:t>
            </w:r>
          </w:p>
        </w:tc>
      </w:tr>
    </w:tbl>
    <w:p>
      <w:pPr>
        <w:pStyle w:val="BodyText"/>
      </w:pPr>
      <w:r>
        <w:rPr>
          <w:rFonts w:hint="eastAsia"/>
        </w:rPr>
        <w:t xml:space="preserve">隔夜美股呈现“道指强、纳指弱”的结构，风险偏好并未全面转向科技成长。道指上涨1.02%，但纳指下跌0.02%，对A股科技板块只能提供中性而非单边利好映射。</w:t>
      </w:r>
    </w:p>
    <w:bookmarkEnd w:id="9"/>
    <w:bookmarkStart w:id="10" w:name="美股核心半导体表现"/>
    <w:p>
      <w:pPr>
        <w:pStyle w:val="Heading3"/>
      </w:pPr>
      <w:r>
        <w:t xml:space="preserve">🧠 </w:t>
      </w:r>
      <w:r>
        <w:rPr>
          <w:rFonts w:hint="eastAsia"/>
        </w:rPr>
        <w:t xml:space="preserve">美股核心半导体表现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公司</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rPr>
                <w:rFonts w:hint="eastAsia"/>
              </w:rPr>
              <w:t xml:space="preserve">216.47美元</w:t>
            </w:r>
          </w:p>
        </w:tc>
        <w:tc>
          <w:tcPr/>
          <w:p>
            <w:pPr>
              <w:pStyle w:val="Compact"/>
              <w:jc w:val="right"/>
            </w:pPr>
            <w:r>
              <w:t xml:space="preserve">🟢 -0.29%</w:t>
            </w:r>
          </w:p>
        </w:tc>
      </w:tr>
      <w:tr>
        <w:tc>
          <w:tcPr/>
          <w:p>
            <w:pPr>
              <w:pStyle w:val="Compact"/>
            </w:pPr>
            <w:r>
              <w:t xml:space="preserve">AMD</w:t>
            </w:r>
          </w:p>
        </w:tc>
        <w:tc>
          <w:tcPr/>
          <w:p>
            <w:pPr>
              <w:pStyle w:val="Compact"/>
              <w:jc w:val="right"/>
            </w:pPr>
            <w:r>
              <w:rPr>
                <w:rFonts w:hint="eastAsia"/>
              </w:rPr>
              <w:t xml:space="preserve">534.74美元</w:t>
            </w:r>
          </w:p>
        </w:tc>
        <w:tc>
          <w:tcPr/>
          <w:p>
            <w:pPr>
              <w:pStyle w:val="Compact"/>
              <w:jc w:val="right"/>
            </w:pPr>
            <w:r>
              <w:t xml:space="preserve">🟢 -0.62%</w:t>
            </w:r>
          </w:p>
        </w:tc>
      </w:tr>
      <w:tr>
        <w:tc>
          <w:tcPr/>
          <w:p>
            <w:pPr>
              <w:pStyle w:val="Compact"/>
            </w:pPr>
            <w:r>
              <w:rPr>
                <w:rFonts w:hint="eastAsia"/>
              </w:rPr>
              <w:t xml:space="preserve">台积电</w:t>
            </w:r>
          </w:p>
        </w:tc>
        <w:tc>
          <w:tcPr/>
          <w:p>
            <w:pPr>
              <w:pStyle w:val="Compact"/>
              <w:jc w:val="right"/>
            </w:pPr>
            <w:r>
              <w:rPr>
                <w:rFonts w:hint="eastAsia"/>
              </w:rPr>
              <w:t xml:space="preserve">425.08美元</w:t>
            </w:r>
          </w:p>
        </w:tc>
        <w:tc>
          <w:tcPr/>
          <w:p>
            <w:pPr>
              <w:pStyle w:val="Compact"/>
              <w:jc w:val="right"/>
            </w:pPr>
            <w:r>
              <w:t xml:space="preserve">🔴 +1.16%</w:t>
            </w:r>
          </w:p>
        </w:tc>
      </w:tr>
      <w:tr>
        <w:tc>
          <w:tcPr/>
          <w:p>
            <w:pPr>
              <w:pStyle w:val="Compact"/>
            </w:pPr>
            <w:r>
              <w:rPr>
                <w:rFonts w:hint="eastAsia"/>
              </w:rPr>
              <w:t xml:space="preserve">博通</w:t>
            </w:r>
          </w:p>
        </w:tc>
        <w:tc>
          <w:tcPr/>
          <w:p>
            <w:pPr>
              <w:pStyle w:val="Compact"/>
              <w:jc w:val="right"/>
            </w:pPr>
            <w:r>
              <w:rPr>
                <w:rFonts w:hint="eastAsia"/>
              </w:rPr>
              <w:t xml:space="preserve">334.37美元</w:t>
            </w:r>
          </w:p>
        </w:tc>
        <w:tc>
          <w:tcPr/>
          <w:p>
            <w:pPr>
              <w:pStyle w:val="Compact"/>
              <w:jc w:val="right"/>
            </w:pPr>
            <w:r>
              <w:t xml:space="preserve">🟢 -0.07%</w:t>
            </w:r>
          </w:p>
        </w:tc>
      </w:tr>
      <w:tr>
        <w:tc>
          <w:tcPr/>
          <w:p>
            <w:pPr>
              <w:pStyle w:val="Compact"/>
            </w:pPr>
            <w:r>
              <w:rPr>
                <w:rFonts w:hint="eastAsia"/>
              </w:rPr>
              <w:t xml:space="preserve">美光</w:t>
            </w:r>
          </w:p>
        </w:tc>
        <w:tc>
          <w:tcPr/>
          <w:p>
            <w:pPr>
              <w:pStyle w:val="Compact"/>
              <w:jc w:val="right"/>
            </w:pPr>
            <w:r>
              <w:rPr>
                <w:rFonts w:hint="eastAsia"/>
              </w:rPr>
              <w:t xml:space="preserve">896.07美元</w:t>
            </w:r>
          </w:p>
        </w:tc>
        <w:tc>
          <w:tcPr/>
          <w:p>
            <w:pPr>
              <w:pStyle w:val="Compact"/>
              <w:jc w:val="right"/>
            </w:pPr>
            <w:r>
              <w:t xml:space="preserve">🟢 -0.98%</w:t>
            </w:r>
          </w:p>
        </w:tc>
      </w:tr>
    </w:tbl>
    <w:p>
      <w:pPr>
        <w:pStyle w:val="Compact"/>
        <w:numPr>
          <w:ilvl w:val="0"/>
          <w:numId w:val="1001"/>
        </w:numPr>
      </w:pPr>
      <w:r>
        <w:t xml:space="preserve">🔴 </w:t>
      </w:r>
      <w:r>
        <w:rPr>
          <w:rFonts w:hint="eastAsia"/>
        </w:rPr>
        <w:t xml:space="preserve">台积电上涨1.16%，晶圆制造端相对强势。</w:t>
      </w:r>
    </w:p>
    <w:p>
      <w:pPr>
        <w:pStyle w:val="Compact"/>
        <w:numPr>
          <w:ilvl w:val="0"/>
          <w:numId w:val="1001"/>
        </w:numPr>
      </w:pPr>
      <w:r>
        <w:t xml:space="preserve">🟢 </w:t>
      </w:r>
      <w:r>
        <w:rPr>
          <w:rFonts w:hint="eastAsia"/>
        </w:rPr>
        <w:t xml:space="preserve">英伟达、AMD、博通、美光全部收跌，存储方向的美光跌幅最大。</w:t>
      </w:r>
    </w:p>
    <w:p>
      <w:pPr>
        <w:pStyle w:val="Compact"/>
        <w:numPr>
          <w:ilvl w:val="0"/>
          <w:numId w:val="1001"/>
        </w:numPr>
      </w:pPr>
      <w:r>
        <w:t xml:space="preserve">💡 </w:t>
      </w:r>
      <w:r>
        <w:rPr>
          <w:rFonts w:hint="eastAsia"/>
        </w:rPr>
        <w:t xml:space="preserve">对A股映射：半导体并非隔夜一致性强势方向。上一交易日申万二级半导体主力净流出19.29亿元，兆易创新主力净流出25.63亿元，今天不能仅凭台积电上涨追高芯片股。</w:t>
      </w:r>
    </w:p>
    <w:bookmarkEnd w:id="10"/>
    <w:bookmarkStart w:id="11" w:name="其他全球资产"/>
    <w:p>
      <w:pPr>
        <w:pStyle w:val="Heading3"/>
      </w:pPr>
      <w:r>
        <w:t xml:space="preserve">🌐 </w:t>
      </w:r>
      <w:r>
        <w:rPr>
          <w:rFonts w:hint="eastAsia"/>
        </w:rPr>
        <w:t xml:space="preserve">其他全球资产</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资产</w:t>
            </w:r>
          </w:p>
        </w:tc>
        <w:tc>
          <w:tcPr/>
          <w:p>
            <w:pPr>
              <w:pStyle w:val="Compact"/>
              <w:jc w:val="right"/>
            </w:pPr>
            <w:r>
              <w:rPr>
                <w:rFonts w:hint="eastAsia"/>
              </w:rPr>
              <w:t xml:space="preserve">最新值</w:t>
            </w:r>
          </w:p>
        </w:tc>
        <w:tc>
          <w:tcPr/>
          <w:p>
            <w:pPr>
              <w:pStyle w:val="Compact"/>
              <w:jc w:val="right"/>
            </w:pPr>
            <w:r>
              <w:rPr>
                <w:rFonts w:hint="eastAsia"/>
              </w:rPr>
              <w:t xml:space="preserve">涨跌幅</w:t>
            </w:r>
          </w:p>
        </w:tc>
      </w:tr>
      <w:tr>
        <w:tc>
          <w:tcPr/>
          <w:p>
            <w:pPr>
              <w:pStyle w:val="Compact"/>
            </w:pPr>
            <w:r>
              <w:rPr>
                <w:rFonts w:hint="eastAsia"/>
              </w:rPr>
              <w:t xml:space="preserve">富时中国A50期指</w:t>
            </w:r>
          </w:p>
        </w:tc>
        <w:tc>
          <w:tcPr/>
          <w:p>
            <w:pPr>
              <w:pStyle w:val="Compact"/>
              <w:jc w:val="right"/>
            </w:pPr>
            <w:r>
              <w:t xml:space="preserve">13316.6</w:t>
            </w:r>
          </w:p>
        </w:tc>
        <w:tc>
          <w:tcPr/>
          <w:p>
            <w:pPr>
              <w:pStyle w:val="Compact"/>
              <w:jc w:val="right"/>
            </w:pPr>
            <w:r>
              <w:t xml:space="preserve">🔴 +0.28%</w:t>
            </w:r>
          </w:p>
        </w:tc>
      </w:tr>
      <w:tr>
        <w:tc>
          <w:tcPr/>
          <w:p>
            <w:pPr>
              <w:pStyle w:val="Compact"/>
            </w:pPr>
            <w:r>
              <w:rPr>
                <w:rFonts w:hint="eastAsia"/>
              </w:rPr>
              <w:t xml:space="preserve">美元兑离岸人民币</w:t>
            </w:r>
          </w:p>
        </w:tc>
        <w:tc>
          <w:tcPr/>
          <w:p>
            <w:pPr>
              <w:pStyle w:val="Compact"/>
              <w:jc w:val="right"/>
            </w:pPr>
            <w:r>
              <w:t xml:space="preserve">6.6747</w:t>
            </w:r>
          </w:p>
        </w:tc>
        <w:tc>
          <w:tcPr/>
          <w:p>
            <w:pPr>
              <w:pStyle w:val="Compact"/>
              <w:jc w:val="right"/>
            </w:pPr>
            <w:r>
              <w:rPr>
                <w:rFonts w:hint="eastAsia"/>
              </w:rPr>
              <w:t xml:space="preserve">人民币小幅走强0.01%</w:t>
            </w:r>
          </w:p>
        </w:tc>
      </w:tr>
      <w:tr>
        <w:tc>
          <w:tcPr/>
          <w:p>
            <w:pPr>
              <w:pStyle w:val="Compact"/>
            </w:pPr>
            <w:r>
              <w:rPr>
                <w:rFonts w:hint="eastAsia"/>
              </w:rPr>
              <w:t xml:space="preserve">COMEX黄金</w:t>
            </w:r>
          </w:p>
        </w:tc>
        <w:tc>
          <w:tcPr/>
          <w:p>
            <w:pPr>
              <w:pStyle w:val="Compact"/>
              <w:jc w:val="right"/>
            </w:pPr>
            <w:r>
              <w:t xml:space="preserve">4137.598</w:t>
            </w:r>
          </w:p>
        </w:tc>
        <w:tc>
          <w:tcPr/>
          <w:p>
            <w:pPr>
              <w:pStyle w:val="Compact"/>
              <w:jc w:val="right"/>
            </w:pPr>
            <w:r>
              <w:t xml:space="preserve">🟢 -0.12%</w:t>
            </w:r>
          </w:p>
        </w:tc>
      </w:tr>
      <w:tr>
        <w:tc>
          <w:tcPr/>
          <w:p>
            <w:pPr>
              <w:pStyle w:val="Compact"/>
            </w:pPr>
            <w:r>
              <w:rPr>
                <w:rFonts w:hint="eastAsia"/>
              </w:rPr>
              <w:t xml:space="preserve">WTI原油</w:t>
            </w:r>
          </w:p>
        </w:tc>
        <w:tc>
          <w:tcPr/>
          <w:p>
            <w:pPr>
              <w:pStyle w:val="Compact"/>
              <w:jc w:val="right"/>
            </w:pPr>
            <w:r>
              <w:t xml:space="preserve">98.517</w:t>
            </w:r>
          </w:p>
        </w:tc>
        <w:tc>
          <w:tcPr/>
          <w:p>
            <w:pPr>
              <w:pStyle w:val="Compact"/>
              <w:jc w:val="right"/>
            </w:pPr>
            <w:r>
              <w:t xml:space="preserve">🔴 +0.71%</w:t>
            </w:r>
          </w:p>
        </w:tc>
      </w:tr>
      <w:tr>
        <w:tc>
          <w:tcPr/>
          <w:p>
            <w:pPr>
              <w:pStyle w:val="Compact"/>
            </w:pPr>
            <w:r>
              <w:rPr>
                <w:rFonts w:hint="eastAsia"/>
              </w:rPr>
              <w:t xml:space="preserve">伦铜</w:t>
            </w:r>
          </w:p>
        </w:tc>
        <w:tc>
          <w:tcPr/>
          <w:p>
            <w:pPr>
              <w:pStyle w:val="Compact"/>
              <w:jc w:val="right"/>
            </w:pPr>
            <w:r>
              <w:t xml:space="preserve">14459.16</w:t>
            </w:r>
          </w:p>
        </w:tc>
        <w:tc>
          <w:tcPr/>
          <w:p>
            <w:pPr>
              <w:pStyle w:val="Compact"/>
              <w:jc w:val="right"/>
            </w:pPr>
            <w:r>
              <w:t xml:space="preserve">🔴 +0.27%</w:t>
            </w:r>
          </w:p>
        </w:tc>
      </w:tr>
    </w:tbl>
    <w:p>
      <w:pPr>
        <w:pStyle w:val="BodyText"/>
      </w:pPr>
      <w:r>
        <w:rPr>
          <w:rFonts w:hint="eastAsia"/>
        </w:rPr>
        <w:t xml:space="preserve">A50期指上涨、离岸人民币稳定，对A股开盘构成温和支撑；但原油上涨叠加中东与航运风险，资源品和运输成本仍可能出现事件驱动波动。</w:t>
      </w:r>
    </w:p>
    <w:p>
      <w:r>
        <w:pict>
          <v:rect style="width:0;height:1.5pt" o:hralign="center" o:hrstd="t" o:hr="t"/>
        </w:pict>
      </w:r>
    </w:p>
    <w:bookmarkEnd w:id="11"/>
    <w:bookmarkEnd w:id="12"/>
    <w:bookmarkStart w:id="18" w:name="新闻联播政策面深度解读"/>
    <w:p>
      <w:pPr>
        <w:pStyle w:val="Heading2"/>
      </w:pPr>
      <w:r>
        <w:t xml:space="preserve">📺 </w:t>
      </w:r>
      <w:r>
        <w:rPr>
          <w:rFonts w:hint="eastAsia"/>
        </w:rPr>
        <w:t xml:space="preserve">新闻联播政策面深度解读</w:t>
      </w:r>
    </w:p>
    <w:bookmarkStart w:id="13" w:name="国家数据集团成立数据要素进入国家级运营阶段"/>
    <w:p>
      <w:pPr>
        <w:pStyle w:val="Heading3"/>
      </w:pPr>
      <w:r>
        <w:t xml:space="preserve">🚩 </w:t>
      </w:r>
      <w:r>
        <w:rPr>
          <w:rFonts w:hint="eastAsia"/>
        </w:rPr>
        <w:t xml:space="preserve">国家数据集团成立：数据要素进入国家级运营阶段</w:t>
      </w:r>
    </w:p>
    <w:p>
      <w:pPr>
        <w:pStyle w:val="FirstParagraph"/>
      </w:pPr>
      <w:r>
        <w:rPr>
          <w:rFonts w:hint="eastAsia"/>
        </w:rPr>
        <w:t xml:space="preserve">10月20日，国家数据集团有限公司在雄安新区成立。官方要求其深化数据要素服务、建设数据基础设施、加强关键核心技术攻关，并发挥战略性、引领性和支撑性作用。</w:t>
      </w:r>
    </w:p>
    <w:p>
      <w:pPr>
        <w:pStyle w:val="BodyText"/>
      </w:pPr>
      <w:r>
        <w:rPr>
          <w:rFonts w:hint="eastAsia"/>
          <w:b/>
          <w:bCs/>
        </w:rPr>
        <w:t xml:space="preserve">A股映射链：</w:t>
      </w:r>
    </w:p>
    <w:p>
      <w:pPr>
        <w:pStyle w:val="Compact"/>
        <w:numPr>
          <w:ilvl w:val="0"/>
          <w:numId w:val="1002"/>
        </w:numPr>
      </w:pPr>
      <w:r>
        <w:t xml:space="preserve">🔴 </w:t>
      </w:r>
      <w:r>
        <w:rPr>
          <w:rFonts w:hint="eastAsia"/>
        </w:rPr>
        <w:t xml:space="preserve">第一层：数据基础设施、数据治理、数据确权流通、政务数据服务。</w:t>
      </w:r>
    </w:p>
    <w:p>
      <w:pPr>
        <w:pStyle w:val="Compact"/>
        <w:numPr>
          <w:ilvl w:val="0"/>
          <w:numId w:val="1002"/>
        </w:numPr>
      </w:pPr>
      <w:r>
        <w:t xml:space="preserve">🔴 </w:t>
      </w:r>
      <w:r>
        <w:rPr>
          <w:rFonts w:hint="eastAsia"/>
        </w:rPr>
        <w:t xml:space="preserve">第二层：算力基础设施、云计算、数据库、网络与数据安全。</w:t>
      </w:r>
    </w:p>
    <w:p>
      <w:pPr>
        <w:pStyle w:val="Compact"/>
        <w:numPr>
          <w:ilvl w:val="0"/>
          <w:numId w:val="1002"/>
        </w:numPr>
      </w:pPr>
      <w:r>
        <w:t xml:space="preserve">🟡 </w:t>
      </w:r>
      <w:r>
        <w:rPr>
          <w:rFonts w:hint="eastAsia"/>
        </w:rPr>
        <w:t xml:space="preserve">第三层：雄安数字化建设、卫星互联网及数据产业协同。</w:t>
      </w:r>
    </w:p>
    <w:p>
      <w:pPr>
        <w:pStyle w:val="Compact"/>
        <w:numPr>
          <w:ilvl w:val="0"/>
          <w:numId w:val="1002"/>
        </w:numPr>
      </w:pPr>
      <w:r>
        <w:t xml:space="preserve">⚠️ </w:t>
      </w:r>
      <w:r>
        <w:rPr>
          <w:rFonts w:hint="eastAsia"/>
        </w:rPr>
        <w:t xml:space="preserve">交易约束：南威软件已发布股票交易异常波动公告，数据题材若高开加速，不追涨；必须等待放量确认后缩量回踩承接。</w:t>
      </w:r>
    </w:p>
    <w:p>
      <w:pPr>
        <w:pStyle w:val="FirstParagraph"/>
      </w:pPr>
      <w:r>
        <w:rPr>
          <w:rFonts w:hint="eastAsia"/>
        </w:rPr>
        <w:t xml:space="preserve">这不是单一软件题材，而是“国家级数据运营主体＋基础设施＋安全治理”的中长期政策链。短线是否成为主线，需要今天开盘后观察板块成交额、核心股承接以及资金能否从单点题材扩散至数据基础设施和安全环节。</w:t>
      </w:r>
    </w:p>
    <w:bookmarkEnd w:id="13"/>
    <w:bookmarkStart w:id="14" w:name="工业经济与智能制造高技术制造保持高增速"/>
    <w:p>
      <w:pPr>
        <w:pStyle w:val="Heading3"/>
      </w:pPr>
      <w:r>
        <w:t xml:space="preserve">🏭 </w:t>
      </w:r>
      <w:r>
        <w:rPr>
          <w:rFonts w:hint="eastAsia"/>
        </w:rPr>
        <w:t xml:space="preserve">工业经济与智能制造：高技术制造保持高增速</w:t>
      </w:r>
    </w:p>
    <w:p>
      <w:pPr>
        <w:pStyle w:val="FirstParagraph"/>
      </w:pPr>
      <w:r>
        <w:rPr>
          <w:rFonts w:hint="eastAsia"/>
        </w:rPr>
        <w:t xml:space="preserve">新闻联播披露：</w:t>
      </w:r>
    </w:p>
    <w:p>
      <w:pPr>
        <w:pStyle w:val="Compact"/>
        <w:numPr>
          <w:ilvl w:val="0"/>
          <w:numId w:val="1003"/>
        </w:numPr>
      </w:pPr>
      <w:r>
        <w:rPr>
          <w:rFonts w:hint="eastAsia"/>
        </w:rPr>
        <w:t xml:space="preserve">前三季度规模以上工业增加值同比增长5.3%。</w:t>
      </w:r>
    </w:p>
    <w:p>
      <w:pPr>
        <w:pStyle w:val="Compact"/>
        <w:numPr>
          <w:ilvl w:val="0"/>
          <w:numId w:val="1003"/>
        </w:numPr>
      </w:pPr>
      <w:r>
        <w:rPr>
          <w:rFonts w:hint="eastAsia"/>
        </w:rPr>
        <w:t xml:space="preserve">工业对经济增长贡献率保持在35%左右。</w:t>
      </w:r>
    </w:p>
    <w:p>
      <w:pPr>
        <w:pStyle w:val="Compact"/>
        <w:numPr>
          <w:ilvl w:val="0"/>
          <w:numId w:val="1003"/>
        </w:numPr>
      </w:pPr>
      <w:r>
        <w:rPr>
          <w:rFonts w:hint="eastAsia"/>
        </w:rPr>
        <w:t xml:space="preserve">前8个月规模以上工业企业利润总额同比增长15.7%。</w:t>
      </w:r>
    </w:p>
    <w:p>
      <w:pPr>
        <w:pStyle w:val="Compact"/>
        <w:numPr>
          <w:ilvl w:val="0"/>
          <w:numId w:val="1003"/>
        </w:numPr>
      </w:pPr>
      <w:r>
        <w:rPr>
          <w:rFonts w:hint="eastAsia"/>
        </w:rPr>
        <w:t xml:space="preserve">前三季度规模以上高技术制造业增加值同比增长14.3%。</w:t>
      </w:r>
    </w:p>
    <w:p>
      <w:pPr>
        <w:pStyle w:val="Compact"/>
        <w:numPr>
          <w:ilvl w:val="0"/>
          <w:numId w:val="1003"/>
        </w:numPr>
      </w:pPr>
      <w:r>
        <w:rPr>
          <w:rFonts w:hint="eastAsia"/>
        </w:rPr>
        <w:t xml:space="preserve">前三季度电信业务总量同比增长7.3%。</w:t>
      </w:r>
    </w:p>
    <w:p>
      <w:pPr>
        <w:pStyle w:val="Compact"/>
        <w:numPr>
          <w:ilvl w:val="0"/>
          <w:numId w:val="1003"/>
        </w:numPr>
      </w:pPr>
      <w:r>
        <w:rPr>
          <w:rFonts w:hint="eastAsia"/>
        </w:rPr>
        <w:t xml:space="preserve">1—8月互联网业务收入同比增长8.9%。</w:t>
      </w:r>
    </w:p>
    <w:p>
      <w:pPr>
        <w:pStyle w:val="Compact"/>
        <w:numPr>
          <w:ilvl w:val="0"/>
          <w:numId w:val="1003"/>
        </w:numPr>
      </w:pPr>
      <w:r>
        <w:rPr>
          <w:rFonts w:hint="eastAsia"/>
        </w:rPr>
        <w:t xml:space="preserve">6G等关键技术研发实现突破。</w:t>
      </w:r>
    </w:p>
    <w:p>
      <w:pPr>
        <w:pStyle w:val="FirstParagraph"/>
      </w:pPr>
      <w:r>
        <w:rPr>
          <w:rFonts w:hint="eastAsia"/>
          <w:b/>
          <w:bCs/>
        </w:rPr>
        <w:t xml:space="preserve">A股映射链：</w:t>
      </w:r>
    </w:p>
    <w:p>
      <w:pPr>
        <w:pStyle w:val="Compact"/>
        <w:numPr>
          <w:ilvl w:val="0"/>
          <w:numId w:val="1004"/>
        </w:numPr>
      </w:pPr>
      <w:r>
        <w:t xml:space="preserve">🔴 </w:t>
      </w:r>
      <w:r>
        <w:rPr>
          <w:rFonts w:hint="eastAsia"/>
        </w:rPr>
        <w:t xml:space="preserve">智能制造、自动化设备、工业软件、机器人、通用设备。</w:t>
      </w:r>
    </w:p>
    <w:p>
      <w:pPr>
        <w:pStyle w:val="Compact"/>
        <w:numPr>
          <w:ilvl w:val="0"/>
          <w:numId w:val="1004"/>
        </w:numPr>
      </w:pPr>
      <w:r>
        <w:t xml:space="preserve">🔴 </w:t>
      </w:r>
      <w:r>
        <w:rPr>
          <w:rFonts w:hint="eastAsia"/>
        </w:rPr>
        <w:t xml:space="preserve">6G、通信设备、卫星互联网及算力基础设施。</w:t>
      </w:r>
    </w:p>
    <w:p>
      <w:pPr>
        <w:pStyle w:val="Compact"/>
        <w:numPr>
          <w:ilvl w:val="0"/>
          <w:numId w:val="1004"/>
        </w:numPr>
      </w:pPr>
      <w:r>
        <w:t xml:space="preserve">🟡 </w:t>
      </w:r>
      <w:r>
        <w:rPr>
          <w:rFonts w:hint="eastAsia"/>
        </w:rPr>
        <w:t xml:space="preserve">设备更新、高端装备、仪器仪表。</w:t>
      </w:r>
    </w:p>
    <w:p>
      <w:pPr>
        <w:pStyle w:val="Compact"/>
        <w:numPr>
          <w:ilvl w:val="0"/>
          <w:numId w:val="1004"/>
        </w:numPr>
      </w:pPr>
      <w:r>
        <w:t xml:space="preserve">💰 </w:t>
      </w:r>
      <w:r>
        <w:rPr>
          <w:rFonts w:hint="eastAsia"/>
        </w:rPr>
        <w:t xml:space="preserve">上一交易日自动化设备主力净流入14.32亿元、通用设备净流入3.92亿元，政策信号与资金方向形成局部共振。</w:t>
      </w:r>
    </w:p>
    <w:p>
      <w:pPr>
        <w:pStyle w:val="Compact"/>
        <w:numPr>
          <w:ilvl w:val="0"/>
          <w:numId w:val="1004"/>
        </w:numPr>
      </w:pPr>
      <w:r>
        <w:t xml:space="preserve">⚠️ </w:t>
      </w:r>
      <w:r>
        <w:rPr>
          <w:rFonts w:hint="eastAsia"/>
        </w:rPr>
        <w:t xml:space="preserve">通信设备上一交易日净流出10.75亿元，政策利好尚未转化为一致资金流入，必须等待右侧确认。</w:t>
      </w:r>
    </w:p>
    <w:bookmarkEnd w:id="14"/>
    <w:bookmarkStart w:id="15" w:name="建军百年目标军工信息化维持中长期催化"/>
    <w:p>
      <w:pPr>
        <w:pStyle w:val="Heading3"/>
      </w:pPr>
      <w:r>
        <w:t xml:space="preserve">🪖 </w:t>
      </w:r>
      <w:r>
        <w:rPr>
          <w:rFonts w:hint="eastAsia"/>
        </w:rPr>
        <w:t xml:space="preserve">建军百年目标：军工信息化维持中长期催化</w:t>
      </w:r>
    </w:p>
    <w:p>
      <w:pPr>
        <w:pStyle w:val="FirstParagraph"/>
      </w:pPr>
      <w:r>
        <w:rPr>
          <w:rFonts w:hint="eastAsia"/>
        </w:rPr>
        <w:t xml:space="preserve">新闻联播强调聚力练兵备战、提升打赢信息化战争能力，并提及海军、空军、火箭军等装备体系。</w:t>
      </w:r>
    </w:p>
    <w:p>
      <w:pPr>
        <w:pStyle w:val="Compact"/>
        <w:numPr>
          <w:ilvl w:val="0"/>
          <w:numId w:val="1005"/>
        </w:numPr>
      </w:pPr>
      <w:r>
        <w:t xml:space="preserve">🔴 </w:t>
      </w:r>
      <w:r>
        <w:rPr>
          <w:rFonts w:hint="eastAsia"/>
        </w:rPr>
        <w:t xml:space="preserve">受益方向：军工电子、信息化装备、航空航天、卫星通信、无人系统。</w:t>
      </w:r>
    </w:p>
    <w:p>
      <w:pPr>
        <w:pStyle w:val="Compact"/>
        <w:numPr>
          <w:ilvl w:val="0"/>
          <w:numId w:val="1005"/>
        </w:numPr>
      </w:pPr>
      <w:r>
        <w:t xml:space="preserve">⚠️ </w:t>
      </w:r>
      <w:r>
        <w:rPr>
          <w:rFonts w:hint="eastAsia"/>
        </w:rPr>
        <w:t xml:space="preserve">本轮采集没有军工板块资金净流入和右侧评级证据，因此只能列为政策观察方向，不能直接形成买入结论。</w:t>
      </w:r>
    </w:p>
    <w:p>
      <w:pPr>
        <w:pStyle w:val="Compact"/>
        <w:numPr>
          <w:ilvl w:val="0"/>
          <w:numId w:val="1005"/>
        </w:numPr>
      </w:pPr>
      <w:r>
        <w:t xml:space="preserve">💡 </w:t>
      </w:r>
      <w:r>
        <w:rPr>
          <w:rFonts w:hint="eastAsia"/>
        </w:rPr>
        <w:t xml:space="preserve">触发条件：板块放量突破、核心中军站稳MA20，并出现连续资金净流入。</w:t>
      </w:r>
    </w:p>
    <w:p>
      <w:pPr>
        <w:pStyle w:val="Compact"/>
        <w:numPr>
          <w:ilvl w:val="0"/>
          <w:numId w:val="1005"/>
        </w:numPr>
      </w:pPr>
      <w:r>
        <w:t xml:space="preserve">❌ </w:t>
      </w:r>
      <w:r>
        <w:rPr>
          <w:rFonts w:hint="eastAsia"/>
        </w:rPr>
        <w:t xml:space="preserve">失效条件：仅题材脉冲、成交额快速衰减或冲高回落。</w:t>
      </w:r>
    </w:p>
    <w:bookmarkEnd w:id="15"/>
    <w:bookmarkStart w:id="16" w:name="文化遗产保护十五五规划"/>
    <w:p>
      <w:pPr>
        <w:pStyle w:val="Heading3"/>
      </w:pPr>
      <w:r>
        <w:t xml:space="preserve">🏛️ </w:t>
      </w:r>
      <w:r>
        <w:rPr>
          <w:rFonts w:hint="eastAsia"/>
        </w:rPr>
        <w:t xml:space="preserve">文化遗产保护“十五五”规划</w:t>
      </w:r>
    </w:p>
    <w:p>
      <w:pPr>
        <w:pStyle w:val="FirstParagraph"/>
      </w:pPr>
      <w:r>
        <w:rPr>
          <w:rFonts w:hint="eastAsia"/>
        </w:rPr>
        <w:t xml:space="preserve">规划提出文化遗产普查、历史文化名城与街区保护、博物馆管理、非遗保护和文化遗产保护立法。</w:t>
      </w:r>
    </w:p>
    <w:p>
      <w:pPr>
        <w:pStyle w:val="Compact"/>
        <w:numPr>
          <w:ilvl w:val="0"/>
          <w:numId w:val="1006"/>
        </w:numPr>
      </w:pPr>
      <w:r>
        <w:t xml:space="preserve">🟡 </w:t>
      </w:r>
      <w:r>
        <w:rPr>
          <w:rFonts w:hint="eastAsia"/>
        </w:rPr>
        <w:t xml:space="preserve">受益方向：文旅运营、文化数字化、博物馆展示、古建修复和城市更新。</w:t>
      </w:r>
    </w:p>
    <w:p>
      <w:pPr>
        <w:pStyle w:val="Compact"/>
        <w:numPr>
          <w:ilvl w:val="0"/>
          <w:numId w:val="1006"/>
        </w:numPr>
      </w:pPr>
      <w:r>
        <w:t xml:space="preserve">⚠️ </w:t>
      </w:r>
      <w:r>
        <w:rPr>
          <w:rFonts w:hint="eastAsia"/>
        </w:rPr>
        <w:t xml:space="preserve">更偏中长期订单与财政项目逻辑，短线需要公告订单或业绩兑现，不能把政策规划直接等同于上市公司利润增长。</w:t>
      </w:r>
    </w:p>
    <w:bookmarkEnd w:id="16"/>
    <w:bookmarkStart w:id="17" w:name="上合组织经贸与国际运输通道"/>
    <w:p>
      <w:pPr>
        <w:pStyle w:val="Heading3"/>
      </w:pPr>
      <w:r>
        <w:t xml:space="preserve">🚢 </w:t>
      </w:r>
      <w:r>
        <w:rPr>
          <w:rFonts w:hint="eastAsia"/>
        </w:rPr>
        <w:t xml:space="preserve">上合组织经贸与国际运输通道</w:t>
      </w:r>
    </w:p>
    <w:p>
      <w:pPr>
        <w:pStyle w:val="FirstParagraph"/>
      </w:pPr>
      <w:r>
        <w:rPr>
          <w:rFonts w:hint="eastAsia"/>
        </w:rPr>
        <w:t xml:space="preserve">会议强调加强经贸合作、建设稳定有韧性的国际运输通道、维护全球产业链供应链稳定，并深化数字经济等领域合作。</w:t>
      </w:r>
    </w:p>
    <w:p>
      <w:pPr>
        <w:pStyle w:val="Compact"/>
        <w:numPr>
          <w:ilvl w:val="0"/>
          <w:numId w:val="1007"/>
        </w:numPr>
      </w:pPr>
      <w:r>
        <w:t xml:space="preserve">🟡 </w:t>
      </w:r>
      <w:r>
        <w:rPr>
          <w:rFonts w:hint="eastAsia"/>
        </w:rPr>
        <w:t xml:space="preserve">受益方向：跨境物流、中欧班列、口岸建设、国际工程和跨境数字服务。</w:t>
      </w:r>
    </w:p>
    <w:p>
      <w:pPr>
        <w:pStyle w:val="Compact"/>
        <w:numPr>
          <w:ilvl w:val="0"/>
          <w:numId w:val="1007"/>
        </w:numPr>
      </w:pPr>
      <w:r>
        <w:t xml:space="preserve">⚠️ </w:t>
      </w:r>
      <w:r>
        <w:rPr>
          <w:rFonts w:hint="eastAsia"/>
        </w:rPr>
        <w:t xml:space="preserve">当前没有对应板块资金榜和个股量价确认，暂列观察，不提前埋伏纯概念股。</w:t>
      </w:r>
    </w:p>
    <w:p>
      <w:r>
        <w:pict>
          <v:rect style="width:0;height:1.5pt" o:hralign="center" o:hrstd="t" o:hr="t"/>
        </w:pict>
      </w:r>
    </w:p>
    <w:bookmarkEnd w:id="17"/>
    <w:bookmarkEnd w:id="18"/>
    <w:bookmarkStart w:id="22" w:name="今日公告"/>
    <w:p>
      <w:pPr>
        <w:pStyle w:val="Heading2"/>
      </w:pPr>
      <w:r>
        <w:t xml:space="preserve">📢 </w:t>
      </w:r>
      <w:r>
        <w:rPr>
          <w:rFonts w:hint="eastAsia"/>
        </w:rPr>
        <w:t xml:space="preserve">今日公告</w:t>
      </w:r>
    </w:p>
    <w:p>
      <w:pPr>
        <w:pStyle w:val="FirstParagraph"/>
      </w:pPr>
      <w:r>
        <w:rPr>
          <w:rFonts w:hint="eastAsia"/>
        </w:rPr>
        <w:t xml:space="preserve">公告主接口请求异常后，采集器通过巨潮资讯历史公告接口完成沪深两市2026年10月21日公告抓取，共覆盖977条，来源为</w:t>
      </w:r>
      <w:r>
        <w:t xml:space="preserve"> </w:t>
      </w:r>
      <w:r>
        <w:rPr>
          <w:rStyle w:val="VerbatimChar"/>
        </w:rPr>
        <w:t xml:space="preserve">cninfo_official</w:t>
      </w:r>
      <w:r>
        <w:rPr>
          <w:rFonts w:hint="eastAsia"/>
        </w:rPr>
        <w:t xml:space="preserve">，本节仅提取具有盘前影响的事项。</w:t>
      </w:r>
    </w:p>
    <w:bookmarkStart w:id="19" w:name="业绩与经营线索"/>
    <w:p>
      <w:pPr>
        <w:pStyle w:val="Heading3"/>
      </w:pPr>
      <w:r>
        <w:t xml:space="preserve">🔴 </w:t>
      </w:r>
      <w:r>
        <w:rPr>
          <w:rFonts w:hint="eastAsia"/>
        </w:rPr>
        <w:t xml:space="preserve">业绩与经营线索</w:t>
      </w:r>
    </w:p>
    <w:p>
      <w:pPr>
        <w:pStyle w:val="Compact"/>
        <w:numPr>
          <w:ilvl w:val="0"/>
          <w:numId w:val="1008"/>
        </w:numPr>
      </w:pPr>
      <w:r>
        <w:rPr>
          <w:rFonts w:hint="eastAsia"/>
          <w:b/>
          <w:bCs/>
        </w:rPr>
        <w:t xml:space="preserve">宁德时代（300750）</w:t>
      </w:r>
      <w:r>
        <w:rPr>
          <w:rFonts w:hint="eastAsia"/>
        </w:rPr>
        <w:t xml:space="preserve">：前三季度营业收入4421.37亿元，同比增长56.19%；归母净利润645.30亿元，同比增长31.60%。第三季度营业收入1652.21亿元，同比增长58.58%，归母净利润212.46亿元，同比增长14.54%。收入高增，但第三季度利润增速低于收入增速，需要关注盈利质量与市场预期差。</w:t>
      </w:r>
    </w:p>
    <w:p>
      <w:pPr>
        <w:pStyle w:val="Compact"/>
        <w:numPr>
          <w:ilvl w:val="0"/>
          <w:numId w:val="1008"/>
        </w:numPr>
      </w:pPr>
      <w:r>
        <w:rPr>
          <w:rFonts w:hint="eastAsia"/>
          <w:b/>
          <w:bCs/>
        </w:rPr>
        <w:t xml:space="preserve">天齐锂业（002466）</w:t>
      </w:r>
      <w:r>
        <w:rPr>
          <w:rFonts w:hint="eastAsia"/>
        </w:rPr>
        <w:t xml:space="preserve">：发布2026年前三季度业绩预告；公告新闻增强信息显示，预计归母净利润51亿元至60亿元，同比增长2734.97%至3235.26%。正式交易判断仍以公告原文为准。</w:t>
      </w:r>
    </w:p>
    <w:p>
      <w:pPr>
        <w:pStyle w:val="Compact"/>
        <w:numPr>
          <w:ilvl w:val="0"/>
          <w:numId w:val="1008"/>
        </w:numPr>
      </w:pPr>
      <w:r>
        <w:rPr>
          <w:rFonts w:hint="eastAsia"/>
          <w:b/>
          <w:bCs/>
        </w:rPr>
        <w:t xml:space="preserve">隆达股份（688231）</w:t>
      </w:r>
      <w:r>
        <w:t xml:space="preserve">、</w:t>
      </w:r>
      <w:r>
        <w:rPr>
          <w:rFonts w:hint="eastAsia"/>
          <w:b/>
          <w:bCs/>
        </w:rPr>
        <w:t xml:space="preserve">海思科（002653）</w:t>
      </w:r>
      <w:r>
        <w:rPr>
          <w:rFonts w:hint="eastAsia"/>
        </w:rPr>
        <w:t xml:space="preserve">：发布前三季度业绩预告。</w:t>
      </w:r>
    </w:p>
    <w:p>
      <w:pPr>
        <w:pStyle w:val="Compact"/>
        <w:numPr>
          <w:ilvl w:val="0"/>
          <w:numId w:val="1008"/>
        </w:numPr>
      </w:pPr>
      <w:r>
        <w:rPr>
          <w:rFonts w:hint="eastAsia"/>
          <w:b/>
          <w:bCs/>
        </w:rPr>
        <w:t xml:space="preserve">德力佳（603092）</w:t>
      </w:r>
      <w:r>
        <w:t xml:space="preserve">、</w:t>
      </w:r>
      <w:r>
        <w:rPr>
          <w:rFonts w:hint="eastAsia"/>
          <w:b/>
          <w:bCs/>
        </w:rPr>
        <w:t xml:space="preserve">国药一致（000028）</w:t>
      </w:r>
      <w:r>
        <w:rPr>
          <w:rFonts w:hint="eastAsia"/>
        </w:rPr>
        <w:t xml:space="preserve">：发布前三季度业绩快报。</w:t>
      </w:r>
    </w:p>
    <w:p>
      <w:pPr>
        <w:pStyle w:val="Compact"/>
        <w:numPr>
          <w:ilvl w:val="0"/>
          <w:numId w:val="1008"/>
        </w:numPr>
      </w:pPr>
      <w:r>
        <w:rPr>
          <w:rFonts w:hint="eastAsia"/>
          <w:b/>
          <w:bCs/>
        </w:rPr>
        <w:t xml:space="preserve">豪威集团（603501）</w:t>
      </w:r>
      <w:r>
        <w:rPr>
          <w:rFonts w:hint="eastAsia"/>
        </w:rPr>
        <w:t xml:space="preserve">：公告取得金融机构回购专项贷款承诺函。</w:t>
      </w:r>
    </w:p>
    <w:bookmarkEnd w:id="19"/>
    <w:bookmarkStart w:id="20" w:name="风险与供给压力"/>
    <w:p>
      <w:pPr>
        <w:pStyle w:val="Heading3"/>
      </w:pPr>
      <w:r>
        <w:t xml:space="preserve">⚠️ </w:t>
      </w:r>
      <w:r>
        <w:rPr>
          <w:rFonts w:hint="eastAsia"/>
        </w:rPr>
        <w:t xml:space="preserve">风险与供给压力</w:t>
      </w:r>
    </w:p>
    <w:p>
      <w:pPr>
        <w:pStyle w:val="Compact"/>
        <w:numPr>
          <w:ilvl w:val="0"/>
          <w:numId w:val="1009"/>
        </w:numPr>
      </w:pPr>
      <w:r>
        <w:rPr>
          <w:rFonts w:hint="eastAsia"/>
          <w:b/>
          <w:bCs/>
        </w:rPr>
        <w:t xml:space="preserve">南威软件（603636）</w:t>
      </w:r>
      <w:r>
        <w:t xml:space="preserve">、</w:t>
      </w:r>
      <w:r>
        <w:rPr>
          <w:rFonts w:hint="eastAsia"/>
          <w:b/>
          <w:bCs/>
        </w:rPr>
        <w:t xml:space="preserve">新经典（603096）</w:t>
      </w:r>
      <w:r>
        <w:rPr>
          <w:rFonts w:hint="eastAsia"/>
        </w:rPr>
        <w:t xml:space="preserve">：发布股票交易异常波动公告。</w:t>
      </w:r>
    </w:p>
    <w:p>
      <w:pPr>
        <w:pStyle w:val="Compact"/>
        <w:numPr>
          <w:ilvl w:val="0"/>
          <w:numId w:val="1009"/>
        </w:numPr>
      </w:pPr>
      <w:r>
        <w:rPr>
          <w:rFonts w:hint="eastAsia"/>
          <w:b/>
          <w:bCs/>
        </w:rPr>
        <w:t xml:space="preserve">长春一东（600148）</w:t>
      </w:r>
      <w:r>
        <w:t xml:space="preserve">、</w:t>
      </w:r>
      <w:r>
        <w:rPr>
          <w:rFonts w:hint="eastAsia"/>
          <w:b/>
          <w:bCs/>
        </w:rPr>
        <w:t xml:space="preserve">京城股份（600860）</w:t>
      </w:r>
      <w:r>
        <w:rPr>
          <w:rFonts w:hint="eastAsia"/>
        </w:rPr>
        <w:t xml:space="preserve">：发布股票交易风险提示公告。</w:t>
      </w:r>
    </w:p>
    <w:p>
      <w:pPr>
        <w:pStyle w:val="Compact"/>
        <w:numPr>
          <w:ilvl w:val="0"/>
          <w:numId w:val="1009"/>
        </w:numPr>
      </w:pPr>
      <w:r>
        <w:rPr>
          <w:rFonts w:hint="eastAsia"/>
          <w:b/>
          <w:bCs/>
        </w:rPr>
        <w:t xml:space="preserve">数据港（603881）</w:t>
      </w:r>
      <w:r>
        <w:rPr>
          <w:rFonts w:hint="eastAsia"/>
        </w:rPr>
        <w:t xml:space="preserve">：持股5%以上股东减持完成并触及1%权益变动刻度。</w:t>
      </w:r>
    </w:p>
    <w:p>
      <w:pPr>
        <w:pStyle w:val="Compact"/>
        <w:numPr>
          <w:ilvl w:val="0"/>
          <w:numId w:val="1009"/>
        </w:numPr>
      </w:pPr>
      <w:r>
        <w:rPr>
          <w:rFonts w:hint="eastAsia"/>
          <w:b/>
          <w:bCs/>
        </w:rPr>
        <w:t xml:space="preserve">大族数控（301200）</w:t>
      </w:r>
      <w:r>
        <w:t xml:space="preserve">、</w:t>
      </w:r>
      <w:r>
        <w:rPr>
          <w:rFonts w:hint="eastAsia"/>
          <w:b/>
          <w:bCs/>
        </w:rPr>
        <w:t xml:space="preserve">清水源（300437）</w:t>
      </w:r>
      <w:r>
        <w:t xml:space="preserve">、</w:t>
      </w:r>
      <w:r>
        <w:rPr>
          <w:rFonts w:hint="eastAsia"/>
          <w:b/>
          <w:bCs/>
        </w:rPr>
        <w:t xml:space="preserve">ST合力泰（002217）</w:t>
      </w:r>
      <w:r>
        <w:rPr>
          <w:rFonts w:hint="eastAsia"/>
        </w:rPr>
        <w:t xml:space="preserve">：公告计提资产或信用减值准备。</w:t>
      </w:r>
    </w:p>
    <w:bookmarkEnd w:id="20"/>
    <w:bookmarkStart w:id="21" w:name="资本运作与停牌"/>
    <w:p>
      <w:pPr>
        <w:pStyle w:val="Heading3"/>
      </w:pPr>
      <w:r>
        <w:t xml:space="preserve">🏗️ </w:t>
      </w:r>
      <w:r>
        <w:rPr>
          <w:rFonts w:hint="eastAsia"/>
        </w:rPr>
        <w:t xml:space="preserve">资本运作与停牌</w:t>
      </w:r>
    </w:p>
    <w:p>
      <w:pPr>
        <w:pStyle w:val="Compact"/>
        <w:numPr>
          <w:ilvl w:val="0"/>
          <w:numId w:val="1010"/>
        </w:numPr>
      </w:pPr>
      <w:r>
        <w:rPr>
          <w:rFonts w:hint="eastAsia"/>
          <w:b/>
          <w:bCs/>
        </w:rPr>
        <w:t xml:space="preserve">安阳钢铁（600569）</w:t>
      </w:r>
      <w:r>
        <w:rPr>
          <w:rFonts w:hint="eastAsia"/>
        </w:rPr>
        <w:t xml:space="preserve">：更新向特定对象发行A股股票审核问询函回复、募集说明书及保荐文件。</w:t>
      </w:r>
    </w:p>
    <w:p>
      <w:pPr>
        <w:pStyle w:val="Compact"/>
        <w:numPr>
          <w:ilvl w:val="0"/>
          <w:numId w:val="1010"/>
        </w:numPr>
      </w:pPr>
      <w:r>
        <w:rPr>
          <w:rFonts w:hint="eastAsia"/>
          <w:b/>
          <w:bCs/>
        </w:rPr>
        <w:t xml:space="preserve">秦港股份（601326）</w:t>
      </w:r>
      <w:r>
        <w:rPr>
          <w:rFonts w:hint="eastAsia"/>
        </w:rPr>
        <w:t xml:space="preserve">：因筹划发行股份及支付现金购买资产并募集配套资金暨关联交易事项停牌。</w:t>
      </w:r>
    </w:p>
    <w:p>
      <w:pPr>
        <w:pStyle w:val="Compact"/>
        <w:numPr>
          <w:ilvl w:val="0"/>
          <w:numId w:val="1010"/>
        </w:numPr>
      </w:pPr>
      <w:r>
        <w:rPr>
          <w:rFonts w:hint="eastAsia"/>
          <w:b/>
          <w:bCs/>
        </w:rPr>
        <w:t xml:space="preserve">科森科技（603626）</w:t>
      </w:r>
      <w:r>
        <w:rPr>
          <w:rFonts w:hint="eastAsia"/>
        </w:rPr>
        <w:t xml:space="preserve">：回复对外投资及购买资产相关事项监管问询。</w:t>
      </w:r>
    </w:p>
    <w:p>
      <w:pPr>
        <w:pStyle w:val="Compact"/>
        <w:numPr>
          <w:ilvl w:val="0"/>
          <w:numId w:val="1010"/>
        </w:numPr>
      </w:pPr>
      <w:r>
        <w:rPr>
          <w:rFonts w:hint="eastAsia"/>
          <w:b/>
          <w:bCs/>
        </w:rPr>
        <w:t xml:space="preserve">首都在线（300846）</w:t>
      </w:r>
      <w:r>
        <w:t xml:space="preserve">、</w:t>
      </w:r>
      <w:r>
        <w:rPr>
          <w:rFonts w:hint="eastAsia"/>
          <w:b/>
          <w:bCs/>
        </w:rPr>
        <w:t xml:space="preserve">世名科技（300522）</w:t>
      </w:r>
      <w:r>
        <w:rPr>
          <w:rFonts w:hint="eastAsia"/>
        </w:rPr>
        <w:t xml:space="preserve">：更新向特定对象发行股票审核问询回复及相关文件。</w:t>
      </w:r>
    </w:p>
    <w:p>
      <w:r>
        <w:pict>
          <v:rect style="width:0;height:1.5pt" o:hralign="center" o:hrstd="t" o:hr="t"/>
        </w:pict>
      </w:r>
    </w:p>
    <w:bookmarkEnd w:id="21"/>
    <w:bookmarkEnd w:id="22"/>
    <w:bookmarkStart w:id="25" w:name="经济数据与今日事件"/>
    <w:p>
      <w:pPr>
        <w:pStyle w:val="Heading2"/>
      </w:pPr>
      <w:r>
        <w:t xml:space="preserve">🗓️ </w:t>
      </w:r>
      <w:r>
        <w:rPr>
          <w:rFonts w:hint="eastAsia"/>
        </w:rPr>
        <w:t xml:space="preserve">经济数据与今日事件</w:t>
      </w:r>
    </w:p>
    <w:bookmarkStart w:id="23" w:name="已确认宏观数据"/>
    <w:p>
      <w:pPr>
        <w:pStyle w:val="Heading3"/>
      </w:pPr>
      <w:r>
        <w:t xml:space="preserve">📊 </w:t>
      </w:r>
      <w:r>
        <w:rPr>
          <w:rFonts w:hint="eastAsia"/>
        </w:rPr>
        <w:t xml:space="preserve">已确认宏观数据</w:t>
      </w:r>
    </w:p>
    <w:p>
      <w:pPr>
        <w:pStyle w:val="Compact"/>
        <w:numPr>
          <w:ilvl w:val="0"/>
          <w:numId w:val="1011"/>
        </w:numPr>
      </w:pPr>
      <w:r>
        <w:rPr>
          <w:rFonts w:hint="eastAsia"/>
        </w:rPr>
        <w:t xml:space="preserve">前三季度规模以上工业增加值同比增长5.3%。</w:t>
      </w:r>
    </w:p>
    <w:p>
      <w:pPr>
        <w:pStyle w:val="Compact"/>
        <w:numPr>
          <w:ilvl w:val="0"/>
          <w:numId w:val="1011"/>
        </w:numPr>
      </w:pPr>
      <w:r>
        <w:rPr>
          <w:rFonts w:hint="eastAsia"/>
        </w:rPr>
        <w:t xml:space="preserve">前8个月规模以上工业企业利润同比增长15.7%。</w:t>
      </w:r>
    </w:p>
    <w:p>
      <w:pPr>
        <w:pStyle w:val="Compact"/>
        <w:numPr>
          <w:ilvl w:val="0"/>
          <w:numId w:val="1011"/>
        </w:numPr>
      </w:pPr>
      <w:r>
        <w:rPr>
          <w:rFonts w:hint="eastAsia"/>
        </w:rPr>
        <w:t xml:space="preserve">前三季度规模以上高技术制造业增加值同比增长14.3%。</w:t>
      </w:r>
    </w:p>
    <w:p>
      <w:pPr>
        <w:pStyle w:val="Compact"/>
        <w:numPr>
          <w:ilvl w:val="0"/>
          <w:numId w:val="1011"/>
        </w:numPr>
      </w:pPr>
      <w:r>
        <w:rPr>
          <w:rFonts w:hint="eastAsia"/>
        </w:rPr>
        <w:t xml:space="preserve">前三季度工业对经济增长贡献率保持在35%左右。</w:t>
      </w:r>
    </w:p>
    <w:p>
      <w:pPr>
        <w:pStyle w:val="Compact"/>
        <w:numPr>
          <w:ilvl w:val="0"/>
          <w:numId w:val="1011"/>
        </w:numPr>
      </w:pPr>
      <w:r>
        <w:rPr>
          <w:rFonts w:hint="eastAsia"/>
        </w:rPr>
        <w:t xml:space="preserve">第140届广交会首期境外采购商18.9万人，同比增长13.3%，举办335场新品首发活动。</w:t>
      </w:r>
    </w:p>
    <w:p>
      <w:pPr>
        <w:pStyle w:val="Compact"/>
        <w:numPr>
          <w:ilvl w:val="0"/>
          <w:numId w:val="1011"/>
        </w:numPr>
      </w:pPr>
      <w:r>
        <w:rPr>
          <w:rFonts w:hint="eastAsia"/>
        </w:rPr>
        <w:t xml:space="preserve">前三季度全国出入境1.92亿人次，同比增长7.9%。</w:t>
      </w:r>
    </w:p>
    <w:p>
      <w:pPr>
        <w:pStyle w:val="Compact"/>
        <w:numPr>
          <w:ilvl w:val="0"/>
          <w:numId w:val="1011"/>
        </w:numPr>
      </w:pPr>
      <w:r>
        <w:rPr>
          <w:rFonts w:hint="eastAsia"/>
        </w:rPr>
        <w:t xml:space="preserve">1—9月邮政行业寄递业务量1641.3亿件，同比增长3.7%。</w:t>
      </w:r>
    </w:p>
    <w:p>
      <w:pPr>
        <w:pStyle w:val="FirstParagraph"/>
      </w:pPr>
      <w:r>
        <w:rPr>
          <w:rFonts w:hint="eastAsia"/>
        </w:rPr>
        <w:t xml:space="preserve">这些数据共同指向制造业升级、外贸韧性和人员流动改善，但今天具体宏观数据发布时间表在采集JSON中当前数据源未返回，不补充未经确认的日历时点。</w:t>
      </w:r>
    </w:p>
    <w:bookmarkEnd w:id="23"/>
    <w:bookmarkStart w:id="24" w:name="盘中验证重点"/>
    <w:p>
      <w:pPr>
        <w:pStyle w:val="Heading3"/>
      </w:pPr>
      <w:r>
        <w:t xml:space="preserve">🔍 </w:t>
      </w:r>
      <w:r>
        <w:rPr>
          <w:rFonts w:hint="eastAsia"/>
        </w:rPr>
        <w:t xml:space="preserve">盘中验证重点</w:t>
      </w:r>
    </w:p>
    <w:p>
      <w:pPr>
        <w:pStyle w:val="Compact"/>
        <w:numPr>
          <w:ilvl w:val="0"/>
          <w:numId w:val="1012"/>
        </w:numPr>
      </w:pPr>
      <w:r>
        <w:rPr>
          <w:rFonts w:hint="eastAsia"/>
        </w:rPr>
        <w:t xml:space="preserve">数据要素和智能制造能否形成政策与资金共振。</w:t>
      </w:r>
    </w:p>
    <w:p>
      <w:pPr>
        <w:pStyle w:val="Compact"/>
        <w:numPr>
          <w:ilvl w:val="0"/>
          <w:numId w:val="1012"/>
        </w:numPr>
      </w:pPr>
      <w:r>
        <w:rPr>
          <w:rFonts w:hint="eastAsia"/>
        </w:rPr>
        <w:t xml:space="preserve">宁德时代业绩能否带动电池产业链修复，而不是单股兑现。</w:t>
      </w:r>
    </w:p>
    <w:p>
      <w:pPr>
        <w:pStyle w:val="Compact"/>
        <w:numPr>
          <w:ilvl w:val="0"/>
          <w:numId w:val="1012"/>
        </w:numPr>
      </w:pPr>
      <w:r>
        <w:rPr>
          <w:rFonts w:hint="eastAsia"/>
        </w:rPr>
        <w:t xml:space="preserve">天齐锂业业绩预告能否抵消工业金属、锂电方向此前的资金流出压力。</w:t>
      </w:r>
    </w:p>
    <w:p>
      <w:pPr>
        <w:pStyle w:val="Compact"/>
        <w:numPr>
          <w:ilvl w:val="0"/>
          <w:numId w:val="1012"/>
        </w:numPr>
      </w:pPr>
      <w:r>
        <w:rPr>
          <w:rFonts w:hint="eastAsia"/>
        </w:rPr>
        <w:t xml:space="preserve">原油上涨是否进一步强化能源和航运风险溢价。</w:t>
      </w:r>
    </w:p>
    <w:p>
      <w:r>
        <w:pict>
          <v:rect style="width:0;height:1.5pt" o:hralign="center" o:hrstd="t" o:hr="t"/>
        </w:pict>
      </w:r>
    </w:p>
    <w:bookmarkEnd w:id="24"/>
    <w:bookmarkEnd w:id="25"/>
    <w:bookmarkStart w:id="28" w:name="全球事件"/>
    <w:p>
      <w:pPr>
        <w:pStyle w:val="Heading2"/>
      </w:pPr>
      <w:r>
        <w:t xml:space="preserve">🌏 </w:t>
      </w:r>
      <w:r>
        <w:rPr>
          <w:rFonts w:hint="eastAsia"/>
        </w:rPr>
        <w:t xml:space="preserve">全球事件</w:t>
      </w:r>
    </w:p>
    <w:bookmarkStart w:id="26" w:name="中东与能源运输风险"/>
    <w:p>
      <w:pPr>
        <w:pStyle w:val="Heading3"/>
      </w:pPr>
      <w:r>
        <w:t xml:space="preserve">⚠️ </w:t>
      </w:r>
      <w:r>
        <w:rPr>
          <w:rFonts w:hint="eastAsia"/>
        </w:rPr>
        <w:t xml:space="preserve">中东与能源运输风险</w:t>
      </w:r>
    </w:p>
    <w:p>
      <w:pPr>
        <w:pStyle w:val="Compact"/>
        <w:numPr>
          <w:ilvl w:val="0"/>
          <w:numId w:val="1013"/>
        </w:numPr>
      </w:pPr>
      <w:r>
        <w:rPr>
          <w:rFonts w:hint="eastAsia"/>
        </w:rPr>
        <w:t xml:space="preserve">中伊双方强调通过对话推动地区和平稳定。</w:t>
      </w:r>
    </w:p>
    <w:p>
      <w:pPr>
        <w:pStyle w:val="Compact"/>
        <w:numPr>
          <w:ilvl w:val="0"/>
          <w:numId w:val="1013"/>
        </w:numPr>
      </w:pPr>
      <w:r>
        <w:rPr>
          <w:rFonts w:hint="eastAsia"/>
        </w:rPr>
        <w:t xml:space="preserve">也门胡塞武装称对沙特石油、航空及军事目标发动多次打击。</w:t>
      </w:r>
    </w:p>
    <w:p>
      <w:pPr>
        <w:pStyle w:val="Compact"/>
        <w:numPr>
          <w:ilvl w:val="0"/>
          <w:numId w:val="1013"/>
        </w:numPr>
      </w:pPr>
      <w:r>
        <w:rPr>
          <w:rFonts w:hint="eastAsia"/>
        </w:rPr>
        <w:t xml:space="preserve">WTI原油最新上涨0.71%至98.517美元。</w:t>
      </w:r>
    </w:p>
    <w:p>
      <w:pPr>
        <w:pStyle w:val="Compact"/>
        <w:numPr>
          <w:ilvl w:val="0"/>
          <w:numId w:val="1013"/>
        </w:numPr>
      </w:pPr>
      <w:r>
        <w:rPr>
          <w:rFonts w:hint="eastAsia"/>
        </w:rPr>
        <w:t xml:space="preserve">其他盘前新闻提及霍尔木兹海峡油轮事件，但采集信息未提供完整可交叉核验细节，不将其作为确定事实扩展。</w:t>
      </w:r>
    </w:p>
    <w:p>
      <w:pPr>
        <w:pStyle w:val="FirstParagraph"/>
      </w:pPr>
      <w:r>
        <w:rPr>
          <w:rFonts w:hint="eastAsia"/>
          <w:b/>
          <w:bCs/>
        </w:rPr>
        <w:t xml:space="preserve">A股影响：</w:t>
      </w:r>
    </w:p>
    <w:p>
      <w:pPr>
        <w:pStyle w:val="Compact"/>
        <w:numPr>
          <w:ilvl w:val="0"/>
          <w:numId w:val="1014"/>
        </w:numPr>
      </w:pPr>
      <w:r>
        <w:t xml:space="preserve">🔴 </w:t>
      </w:r>
      <w:r>
        <w:rPr>
          <w:rFonts w:hint="eastAsia"/>
        </w:rPr>
        <w:t xml:space="preserve">可能受益：油气开采、油服、部分航运。</w:t>
      </w:r>
    </w:p>
    <w:p>
      <w:pPr>
        <w:pStyle w:val="Compact"/>
        <w:numPr>
          <w:ilvl w:val="0"/>
          <w:numId w:val="1014"/>
        </w:numPr>
      </w:pPr>
      <w:r>
        <w:t xml:space="preserve">🟢 </w:t>
      </w:r>
      <w:r>
        <w:rPr>
          <w:rFonts w:hint="eastAsia"/>
        </w:rPr>
        <w:t xml:space="preserve">可能承压：航空、化工下游及高能耗制造。</w:t>
      </w:r>
    </w:p>
    <w:p>
      <w:pPr>
        <w:pStyle w:val="Compact"/>
        <w:numPr>
          <w:ilvl w:val="0"/>
          <w:numId w:val="1014"/>
        </w:numPr>
      </w:pPr>
      <w:r>
        <w:t xml:space="preserve">⚠️ </w:t>
      </w:r>
      <w:r>
        <w:rPr>
          <w:rFonts w:hint="eastAsia"/>
        </w:rPr>
        <w:t xml:space="preserve">事件驱动波动大，不追逐无量高开。</w:t>
      </w:r>
    </w:p>
    <w:bookmarkEnd w:id="26"/>
    <w:bookmarkStart w:id="27" w:name="俄乌与欧洲局势"/>
    <w:p>
      <w:pPr>
        <w:pStyle w:val="Heading3"/>
      </w:pPr>
      <w:r>
        <w:t xml:space="preserve">⚠️ </w:t>
      </w:r>
      <w:r>
        <w:rPr>
          <w:rFonts w:hint="eastAsia"/>
        </w:rPr>
        <w:t xml:space="preserve">俄乌与欧洲局势</w:t>
      </w:r>
    </w:p>
    <w:p>
      <w:pPr>
        <w:pStyle w:val="Compact"/>
        <w:numPr>
          <w:ilvl w:val="0"/>
          <w:numId w:val="1015"/>
        </w:numPr>
      </w:pPr>
      <w:r>
        <w:rPr>
          <w:rFonts w:hint="eastAsia"/>
        </w:rPr>
        <w:t xml:space="preserve">美国媒体称美国尚未批准向乌克兰转让“爱国者”拦截弹。</w:t>
      </w:r>
    </w:p>
    <w:p>
      <w:pPr>
        <w:pStyle w:val="Compact"/>
        <w:numPr>
          <w:ilvl w:val="0"/>
          <w:numId w:val="1015"/>
        </w:numPr>
      </w:pPr>
      <w:r>
        <w:rPr>
          <w:rFonts w:hint="eastAsia"/>
        </w:rPr>
        <w:t xml:space="preserve">法国多地因抗议活动实施局部宵禁。</w:t>
      </w:r>
    </w:p>
    <w:p>
      <w:pPr>
        <w:pStyle w:val="Compact"/>
        <w:numPr>
          <w:ilvl w:val="0"/>
          <w:numId w:val="1015"/>
        </w:numPr>
      </w:pPr>
      <w:r>
        <w:rPr>
          <w:rFonts w:hint="eastAsia"/>
        </w:rPr>
        <w:t xml:space="preserve">西班牙部分地区遭遇洪灾。</w:t>
      </w:r>
    </w:p>
    <w:p>
      <w:pPr>
        <w:pStyle w:val="FirstParagraph"/>
      </w:pPr>
      <w:r>
        <w:rPr>
          <w:rFonts w:hint="eastAsia"/>
        </w:rPr>
        <w:t xml:space="preserve">上述事件对A股的直接盈利映射有限，主要通过欧洲风险偏好、能源价格和避险资产传导。</w:t>
      </w:r>
    </w:p>
    <w:p>
      <w:r>
        <w:pict>
          <v:rect style="width:0;height:1.5pt" o:hralign="center" o:hrstd="t" o:hr="t"/>
        </w:pict>
      </w:r>
    </w:p>
    <w:bookmarkEnd w:id="27"/>
    <w:bookmarkEnd w:id="28"/>
    <w:bookmarkStart w:id="31" w:name="昨日a股复盘"/>
    <w:p>
      <w:pPr>
        <w:pStyle w:val="Heading2"/>
      </w:pPr>
      <w:r>
        <w:t xml:space="preserve">📊 </w:t>
      </w:r>
      <w:r>
        <w:rPr>
          <w:rFonts w:hint="eastAsia"/>
        </w:rPr>
        <w:t xml:space="preserve">昨日A股复盘</w:t>
      </w:r>
    </w:p>
    <w:bookmarkStart w:id="29" w:name="主要指数"/>
    <w:p>
      <w:pPr>
        <w:pStyle w:val="Heading3"/>
      </w:pPr>
      <w:r>
        <w:t xml:space="preserve">📈🔴 </w:t>
      </w:r>
      <w:r>
        <w:rPr>
          <w:rFonts w:hint="eastAsia"/>
        </w:rPr>
        <w:t xml:space="preserve">主要指数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3735.3704</w:t>
            </w:r>
          </w:p>
        </w:tc>
        <w:tc>
          <w:tcPr/>
          <w:p>
            <w:pPr>
              <w:pStyle w:val="Compact"/>
              <w:jc w:val="right"/>
            </w:pPr>
            <w:r>
              <w:t xml:space="preserve">🔴 +0.1193%</w:t>
            </w:r>
          </w:p>
        </w:tc>
      </w:tr>
      <w:tr>
        <w:tc>
          <w:tcPr/>
          <w:p>
            <w:pPr>
              <w:pStyle w:val="Compact"/>
            </w:pPr>
            <w:r>
              <w:rPr>
                <w:rFonts w:hint="eastAsia"/>
              </w:rPr>
              <w:t xml:space="preserve">深证成指</w:t>
            </w:r>
          </w:p>
        </w:tc>
        <w:tc>
          <w:tcPr/>
          <w:p>
            <w:pPr>
              <w:pStyle w:val="Compact"/>
              <w:jc w:val="right"/>
            </w:pPr>
            <w:r>
              <w:t xml:space="preserve">11801.2900</w:t>
            </w:r>
          </w:p>
        </w:tc>
        <w:tc>
          <w:tcPr/>
          <w:p>
            <w:pPr>
              <w:pStyle w:val="Compact"/>
              <w:jc w:val="right"/>
            </w:pPr>
            <w:r>
              <w:t xml:space="preserve">🟢 -0.1365%</w:t>
            </w:r>
          </w:p>
        </w:tc>
      </w:tr>
      <w:tr>
        <w:tc>
          <w:tcPr/>
          <w:p>
            <w:pPr>
              <w:pStyle w:val="Compact"/>
            </w:pPr>
            <w:r>
              <w:rPr>
                <w:rFonts w:hint="eastAsia"/>
              </w:rPr>
              <w:t xml:space="preserve">创业板指</w:t>
            </w:r>
          </w:p>
        </w:tc>
        <w:tc>
          <w:tcPr/>
          <w:p>
            <w:pPr>
              <w:pStyle w:val="Compact"/>
              <w:jc w:val="right"/>
            </w:pPr>
            <w:r>
              <w:t xml:space="preserve">2739.2030</w:t>
            </w:r>
          </w:p>
        </w:tc>
        <w:tc>
          <w:tcPr/>
          <w:p>
            <w:pPr>
              <w:pStyle w:val="Compact"/>
              <w:jc w:val="right"/>
            </w:pPr>
            <w:r>
              <w:t xml:space="preserve">🟢 -0.2581%</w:t>
            </w:r>
          </w:p>
        </w:tc>
      </w:tr>
      <w:tr>
        <w:tc>
          <w:tcPr/>
          <w:p>
            <w:pPr>
              <w:pStyle w:val="Compact"/>
            </w:pPr>
            <w:r>
              <w:rPr>
                <w:rFonts w:hint="eastAsia"/>
              </w:rPr>
              <w:t xml:space="preserve">科创50</w:t>
            </w:r>
          </w:p>
        </w:tc>
        <w:tc>
          <w:tcPr/>
          <w:p>
            <w:pPr>
              <w:pStyle w:val="Compact"/>
              <w:jc w:val="right"/>
            </w:pPr>
            <w:r>
              <w:t xml:space="preserve">1342.4243</w:t>
            </w:r>
          </w:p>
        </w:tc>
        <w:tc>
          <w:tcPr/>
          <w:p>
            <w:pPr>
              <w:pStyle w:val="Compact"/>
              <w:jc w:val="right"/>
            </w:pPr>
            <w:r>
              <w:t xml:space="preserve">🔴 +0.9957%</w:t>
            </w:r>
          </w:p>
        </w:tc>
      </w:tr>
      <w:tr>
        <w:tc>
          <w:tcPr/>
          <w:p>
            <w:pPr>
              <w:pStyle w:val="Compact"/>
            </w:pPr>
            <w:r>
              <w:rPr>
                <w:rFonts w:hint="eastAsia"/>
              </w:rPr>
              <w:t xml:space="preserve">沪深300</w:t>
            </w:r>
          </w:p>
        </w:tc>
        <w:tc>
          <w:tcPr/>
          <w:p>
            <w:pPr>
              <w:pStyle w:val="Compact"/>
              <w:jc w:val="right"/>
            </w:pPr>
            <w:r>
              <w:t xml:space="preserve">4152.1076</w:t>
            </w:r>
          </w:p>
        </w:tc>
        <w:tc>
          <w:tcPr/>
          <w:p>
            <w:pPr>
              <w:pStyle w:val="Compact"/>
              <w:jc w:val="right"/>
            </w:pPr>
            <w:r>
              <w:t xml:space="preserve">🟢 -0.5372%</w:t>
            </w:r>
          </w:p>
        </w:tc>
      </w:tr>
    </w:tbl>
    <w:p>
      <w:pPr>
        <w:pStyle w:val="BodyText"/>
      </w:pPr>
      <w:r>
        <w:rPr>
          <w:rFonts w:hint="eastAsia"/>
        </w:rPr>
        <w:t xml:space="preserve">科创50明显强于沪深300，风格偏成长，但指数分化仍大。全市场成交额14715.24亿元，较前一交易日14487.86亿元增加227.38亿元，增幅1.57%，属于温和放量，不是全面增量行情。</w:t>
      </w:r>
    </w:p>
    <w:p>
      <w:pPr>
        <w:pStyle w:val="BodyText"/>
      </w:pPr>
      <w:r>
        <w:rPr>
          <w:rFonts w:hint="eastAsia"/>
        </w:rPr>
        <w:t xml:space="preserve">同花顺全市场涨跌分布显示，上涨3778家、下跌1667家、平盘123家。行为金融模块风险评分为1，未触发FOMO追涨、亏损厌恶扩散或估值换手拥挤阈值；策略上仍不能因单日普涨而扩大仓位。</w:t>
      </w:r>
    </w:p>
    <w:bookmarkEnd w:id="29"/>
    <w:bookmarkStart w:id="30" w:name="板块结构"/>
    <w:p>
      <w:pPr>
        <w:pStyle w:val="Heading3"/>
      </w:pPr>
      <w:r>
        <w:t xml:space="preserve">🧭 </w:t>
      </w:r>
      <w:r>
        <w:rPr>
          <w:rFonts w:hint="eastAsia"/>
        </w:rPr>
        <w:t xml:space="preserve">板块结构</w:t>
      </w:r>
    </w:p>
    <w:p>
      <w:pPr>
        <w:pStyle w:val="Compact"/>
        <w:numPr>
          <w:ilvl w:val="0"/>
          <w:numId w:val="1016"/>
        </w:numPr>
      </w:pPr>
      <w:r>
        <w:t xml:space="preserve">🔴 </w:t>
      </w:r>
      <w:r>
        <w:rPr>
          <w:rFonts w:hint="eastAsia"/>
        </w:rPr>
        <w:t xml:space="preserve">领涨方向集中在仪器仪表、消费电子、半导体、医疗服务、软件开发、互联网服务和高端制造。</w:t>
      </w:r>
    </w:p>
    <w:p>
      <w:pPr>
        <w:pStyle w:val="Compact"/>
        <w:numPr>
          <w:ilvl w:val="0"/>
          <w:numId w:val="1016"/>
        </w:numPr>
      </w:pPr>
      <w:r>
        <w:t xml:space="preserve">💰 </w:t>
      </w:r>
      <w:r>
        <w:rPr>
          <w:rFonts w:hint="eastAsia"/>
        </w:rPr>
        <w:t xml:space="preserve">消费电子、自动化设备、医疗服务获得主力净流入。</w:t>
      </w:r>
    </w:p>
    <w:p>
      <w:pPr>
        <w:pStyle w:val="Compact"/>
        <w:numPr>
          <w:ilvl w:val="0"/>
          <w:numId w:val="1016"/>
        </w:numPr>
      </w:pPr>
      <w:r>
        <w:t xml:space="preserve">⚠️ </w:t>
      </w:r>
      <w:r>
        <w:rPr>
          <w:rFonts w:hint="eastAsia"/>
        </w:rPr>
        <w:t xml:space="preserve">半导体指数虽强，但申万二级半导体主力净流出19.29亿元，出现“价格上涨、资金净流出”的分歧。</w:t>
      </w:r>
    </w:p>
    <w:p>
      <w:pPr>
        <w:pStyle w:val="Compact"/>
        <w:numPr>
          <w:ilvl w:val="0"/>
          <w:numId w:val="1016"/>
        </w:numPr>
      </w:pPr>
      <w:r>
        <w:t xml:space="preserve">⚠️ </w:t>
      </w:r>
      <w:r>
        <w:rPr>
          <w:rFonts w:hint="eastAsia"/>
        </w:rPr>
        <w:t xml:space="preserve">电力设备、非银金融、工业金属、证券、电池成为主要资金流出方向。</w:t>
      </w:r>
    </w:p>
    <w:p>
      <w:r>
        <w:pict>
          <v:rect style="width:0;height:1.5pt" o:hralign="center" o:hrstd="t" o:hr="t"/>
        </w:pict>
      </w:r>
    </w:p>
    <w:bookmarkEnd w:id="30"/>
    <w:bookmarkEnd w:id="31"/>
    <w:bookmarkStart w:id="40" w:name="上一交易日资金四张榜"/>
    <w:p>
      <w:pPr>
        <w:pStyle w:val="Heading2"/>
      </w:pPr>
      <w:r>
        <w:t xml:space="preserve">💰 </w:t>
      </w:r>
      <w:r>
        <w:rPr>
          <w:rFonts w:hint="eastAsia"/>
        </w:rPr>
        <w:t xml:space="preserve">上一交易日资金四张榜</w:t>
      </w:r>
    </w:p>
    <w:p>
      <w:pPr>
        <w:pStyle w:val="FirstParagraph"/>
      </w:pPr>
      <w:r>
        <w:rPr>
          <w:rFonts w:hint="eastAsia"/>
          <w:b/>
          <w:bCs/>
        </w:rPr>
        <w:t xml:space="preserve">口径：交易日2026年10月20日，15:00，</w:t>
      </w:r>
      <w:r>
        <w:rPr>
          <w:rStyle w:val="VerbatimChar"/>
          <w:b/>
          <w:bCs/>
        </w:rPr>
        <w:t xml:space="preserve">previous_close</w:t>
      </w:r>
      <w:r>
        <w:rPr>
          <w:rFonts w:hint="eastAsia"/>
          <w:b/>
          <w:bCs/>
        </w:rPr>
        <w:t xml:space="preserve">，申万二级行业；来源：华泰skill。板块代码未提供时标记“—”。</w:t>
      </w:r>
    </w:p>
    <w:bookmarkStart w:id="32" w:name="流出top10板块15"/>
    <w:p>
      <w:pPr>
        <w:pStyle w:val="Heading3"/>
      </w:pPr>
      <w:r>
        <w:t xml:space="preserve">🟢 </w:t>
      </w:r>
      <w:r>
        <w:rPr>
          <w:rFonts w:hint="eastAsia"/>
        </w:rPr>
        <w:t xml:space="preserve">流出TOP10板块（1—5）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电力设备</w:t>
            </w:r>
          </w:p>
        </w:tc>
        <w:tc>
          <w:tcPr/>
          <w:p>
            <w:pPr>
              <w:pStyle w:val="Compact"/>
              <w:jc w:val="right"/>
            </w:pPr>
            <w:r>
              <w:rPr>
                <w:rFonts w:hint="eastAsia"/>
              </w:rPr>
              <w:t xml:space="preserve">-35.56亿元</w:t>
            </w:r>
          </w:p>
        </w:tc>
      </w:tr>
      <w:tr>
        <w:tc>
          <w:tcPr/>
          <w:p>
            <w:pPr>
              <w:pStyle w:val="Compact"/>
              <w:jc w:val="right"/>
            </w:pPr>
            <w:r>
              <w:t xml:space="preserve">2</w:t>
            </w:r>
          </w:p>
        </w:tc>
        <w:tc>
          <w:tcPr/>
          <w:p>
            <w:pPr>
              <w:pStyle w:val="Compact"/>
            </w:pPr>
            <w:r>
              <w:rPr>
                <w:rFonts w:hint="eastAsia"/>
              </w:rPr>
              <w:t xml:space="preserve">非银金融</w:t>
            </w:r>
          </w:p>
        </w:tc>
        <w:tc>
          <w:tcPr/>
          <w:p>
            <w:pPr>
              <w:pStyle w:val="Compact"/>
              <w:jc w:val="right"/>
            </w:pPr>
            <w:r>
              <w:rPr>
                <w:rFonts w:hint="eastAsia"/>
              </w:rPr>
              <w:t xml:space="preserve">-28.16亿元</w:t>
            </w:r>
          </w:p>
        </w:tc>
      </w:tr>
      <w:tr>
        <w:tc>
          <w:tcPr/>
          <w:p>
            <w:pPr>
              <w:pStyle w:val="Compact"/>
              <w:jc w:val="right"/>
            </w:pPr>
            <w:r>
              <w:t xml:space="preserve">3</w:t>
            </w:r>
          </w:p>
        </w:tc>
        <w:tc>
          <w:tcPr/>
          <w:p>
            <w:pPr>
              <w:pStyle w:val="Compact"/>
            </w:pPr>
            <w:r>
              <w:rPr>
                <w:rFonts w:hint="eastAsia"/>
              </w:rPr>
              <w:t xml:space="preserve">工业金属</w:t>
            </w:r>
          </w:p>
        </w:tc>
        <w:tc>
          <w:tcPr/>
          <w:p>
            <w:pPr>
              <w:pStyle w:val="Compact"/>
              <w:jc w:val="right"/>
            </w:pPr>
            <w:r>
              <w:rPr>
                <w:rFonts w:hint="eastAsia"/>
              </w:rPr>
              <w:t xml:space="preserve">-21.92亿元</w:t>
            </w:r>
          </w:p>
        </w:tc>
      </w:tr>
      <w:tr>
        <w:tc>
          <w:tcPr/>
          <w:p>
            <w:pPr>
              <w:pStyle w:val="Compact"/>
              <w:jc w:val="right"/>
            </w:pPr>
            <w:r>
              <w:t xml:space="preserve">4</w:t>
            </w:r>
          </w:p>
        </w:tc>
        <w:tc>
          <w:tcPr/>
          <w:p>
            <w:pPr>
              <w:pStyle w:val="Compact"/>
            </w:pPr>
            <w:r>
              <w:rPr>
                <w:rFonts w:hint="eastAsia"/>
              </w:rPr>
              <w:t xml:space="preserve">证券Ⅱ</w:t>
            </w:r>
          </w:p>
        </w:tc>
        <w:tc>
          <w:tcPr/>
          <w:p>
            <w:pPr>
              <w:pStyle w:val="Compact"/>
              <w:jc w:val="right"/>
            </w:pPr>
            <w:r>
              <w:rPr>
                <w:rFonts w:hint="eastAsia"/>
              </w:rPr>
              <w:t xml:space="preserve">-21.31亿元</w:t>
            </w:r>
          </w:p>
        </w:tc>
      </w:tr>
      <w:tr>
        <w:tc>
          <w:tcPr/>
          <w:p>
            <w:pPr>
              <w:pStyle w:val="Compact"/>
              <w:jc w:val="right"/>
            </w:pPr>
            <w:r>
              <w:t xml:space="preserve">5</w:t>
            </w:r>
          </w:p>
        </w:tc>
        <w:tc>
          <w:tcPr/>
          <w:p>
            <w:pPr>
              <w:pStyle w:val="Compact"/>
            </w:pPr>
            <w:r>
              <w:rPr>
                <w:rFonts w:hint="eastAsia"/>
              </w:rPr>
              <w:t xml:space="preserve">半导体</w:t>
            </w:r>
          </w:p>
        </w:tc>
        <w:tc>
          <w:tcPr/>
          <w:p>
            <w:pPr>
              <w:pStyle w:val="Compact"/>
              <w:jc w:val="right"/>
            </w:pPr>
            <w:r>
              <w:rPr>
                <w:rFonts w:hint="eastAsia"/>
              </w:rPr>
              <w:t xml:space="preserve">-19.29亿元</w:t>
            </w:r>
          </w:p>
        </w:tc>
      </w:tr>
    </w:tbl>
    <w:bookmarkEnd w:id="32"/>
    <w:bookmarkStart w:id="33" w:name="流出top10板块610"/>
    <w:p>
      <w:pPr>
        <w:pStyle w:val="Heading3"/>
      </w:pPr>
      <w:r>
        <w:t xml:space="preserve">🟢 </w:t>
      </w:r>
      <w:r>
        <w:rPr>
          <w:rFonts w:hint="eastAsia"/>
        </w:rPr>
        <w:t xml:space="preserve">流出TOP10板块（6—10）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电池</w:t>
            </w:r>
          </w:p>
        </w:tc>
        <w:tc>
          <w:tcPr/>
          <w:p>
            <w:pPr>
              <w:pStyle w:val="Compact"/>
              <w:jc w:val="right"/>
            </w:pPr>
            <w:r>
              <w:rPr>
                <w:rFonts w:hint="eastAsia"/>
              </w:rPr>
              <w:t xml:space="preserve">-17.84亿元</w:t>
            </w:r>
          </w:p>
        </w:tc>
      </w:tr>
      <w:tr>
        <w:tc>
          <w:tcPr/>
          <w:p>
            <w:pPr>
              <w:pStyle w:val="Compact"/>
              <w:jc w:val="right"/>
            </w:pPr>
            <w:r>
              <w:t xml:space="preserve">7</w:t>
            </w:r>
          </w:p>
        </w:tc>
        <w:tc>
          <w:tcPr/>
          <w:p>
            <w:pPr>
              <w:pStyle w:val="Compact"/>
            </w:pPr>
            <w:r>
              <w:rPr>
                <w:rFonts w:hint="eastAsia"/>
              </w:rPr>
              <w:t xml:space="preserve">通信设备</w:t>
            </w:r>
          </w:p>
        </w:tc>
        <w:tc>
          <w:tcPr/>
          <w:p>
            <w:pPr>
              <w:pStyle w:val="Compact"/>
              <w:jc w:val="right"/>
            </w:pPr>
            <w:r>
              <w:rPr>
                <w:rFonts w:hint="eastAsia"/>
              </w:rPr>
              <w:t xml:space="preserve">-10.75亿元</w:t>
            </w:r>
          </w:p>
        </w:tc>
      </w:tr>
      <w:tr>
        <w:tc>
          <w:tcPr/>
          <w:p>
            <w:pPr>
              <w:pStyle w:val="Compact"/>
              <w:jc w:val="right"/>
            </w:pPr>
            <w:r>
              <w:t xml:space="preserve">8</w:t>
            </w:r>
          </w:p>
        </w:tc>
        <w:tc>
          <w:tcPr/>
          <w:p>
            <w:pPr>
              <w:pStyle w:val="Compact"/>
            </w:pPr>
            <w:r>
              <w:rPr>
                <w:rFonts w:hint="eastAsia"/>
              </w:rPr>
              <w:t xml:space="preserve">电网设备</w:t>
            </w:r>
          </w:p>
        </w:tc>
        <w:tc>
          <w:tcPr/>
          <w:p>
            <w:pPr>
              <w:pStyle w:val="Compact"/>
              <w:jc w:val="right"/>
            </w:pPr>
            <w:r>
              <w:rPr>
                <w:rFonts w:hint="eastAsia"/>
              </w:rPr>
              <w:t xml:space="preserve">-9.67亿元</w:t>
            </w:r>
          </w:p>
        </w:tc>
      </w:tr>
      <w:tr>
        <w:tc>
          <w:tcPr/>
          <w:p>
            <w:pPr>
              <w:pStyle w:val="Compact"/>
              <w:jc w:val="right"/>
            </w:pPr>
            <w:r>
              <w:t xml:space="preserve">9</w:t>
            </w:r>
          </w:p>
        </w:tc>
        <w:tc>
          <w:tcPr/>
          <w:p>
            <w:pPr>
              <w:pStyle w:val="Compact"/>
            </w:pPr>
            <w:r>
              <w:rPr>
                <w:rFonts w:hint="eastAsia"/>
              </w:rPr>
              <w:t xml:space="preserve">电力</w:t>
            </w:r>
          </w:p>
        </w:tc>
        <w:tc>
          <w:tcPr/>
          <w:p>
            <w:pPr>
              <w:pStyle w:val="Compact"/>
              <w:jc w:val="right"/>
            </w:pPr>
            <w:r>
              <w:rPr>
                <w:rFonts w:hint="eastAsia"/>
              </w:rPr>
              <w:t xml:space="preserve">-8.04亿元</w:t>
            </w:r>
          </w:p>
        </w:tc>
      </w:tr>
      <w:tr>
        <w:tc>
          <w:tcPr/>
          <w:p>
            <w:pPr>
              <w:pStyle w:val="Compact"/>
              <w:jc w:val="right"/>
            </w:pPr>
            <w:r>
              <w:t xml:space="preserve">10</w:t>
            </w:r>
          </w:p>
        </w:tc>
        <w:tc>
          <w:tcPr/>
          <w:p>
            <w:pPr>
              <w:pStyle w:val="Compact"/>
            </w:pPr>
            <w:r>
              <w:rPr>
                <w:rFonts w:hint="eastAsia"/>
              </w:rPr>
              <w:t xml:space="preserve">光伏设备</w:t>
            </w:r>
          </w:p>
        </w:tc>
        <w:tc>
          <w:tcPr/>
          <w:p>
            <w:pPr>
              <w:pStyle w:val="Compact"/>
              <w:jc w:val="right"/>
            </w:pPr>
            <w:r>
              <w:rPr>
                <w:rFonts w:hint="eastAsia"/>
              </w:rPr>
              <w:t xml:space="preserve">-7.60亿元</w:t>
            </w:r>
          </w:p>
        </w:tc>
      </w:tr>
    </w:tbl>
    <w:bookmarkEnd w:id="33"/>
    <w:bookmarkStart w:id="34" w:name="流出top10个股15"/>
    <w:p>
      <w:pPr>
        <w:pStyle w:val="Heading3"/>
      </w:pPr>
      <w:r>
        <w:t xml:space="preserve">🟢 </w:t>
      </w:r>
      <w:r>
        <w:rPr>
          <w:rFonts w:hint="eastAsia"/>
        </w:rPr>
        <w:t xml:space="preserve">流出TOP10个股（1—5）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-90.14亿元</w:t>
            </w:r>
          </w:p>
        </w:tc>
      </w:tr>
      <w:tr>
        <w:tc>
          <w:tcPr/>
          <w:p>
            <w:pPr>
              <w:pStyle w:val="Compact"/>
              <w:jc w:val="right"/>
            </w:pPr>
            <w:r>
              <w:t xml:space="preserve">2</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-88.74亿元</w:t>
            </w:r>
          </w:p>
        </w:tc>
      </w:tr>
      <w:tr>
        <w:tc>
          <w:tcPr/>
          <w:p>
            <w:pPr>
              <w:pStyle w:val="Compact"/>
              <w:jc w:val="right"/>
            </w:pPr>
            <w:r>
              <w:t xml:space="preserve">3</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-83.16亿元</w:t>
            </w:r>
          </w:p>
        </w:tc>
      </w:tr>
      <w:tr>
        <w:tc>
          <w:tcPr/>
          <w:p>
            <w:pPr>
              <w:pStyle w:val="Compact"/>
              <w:jc w:val="right"/>
            </w:pPr>
            <w:r>
              <w:t xml:space="preserve">4</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-58.97亿元</w:t>
            </w:r>
          </w:p>
        </w:tc>
      </w:tr>
      <w:tr>
        <w:tc>
          <w:tcPr/>
          <w:p>
            <w:pPr>
              <w:pStyle w:val="Compact"/>
              <w:jc w:val="right"/>
            </w:pPr>
            <w:r>
              <w:t xml:space="preserve">5</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-52.39亿元</w:t>
            </w:r>
          </w:p>
        </w:tc>
      </w:tr>
    </w:tbl>
    <w:bookmarkEnd w:id="34"/>
    <w:bookmarkStart w:id="35" w:name="流出top10个股610"/>
    <w:p>
      <w:pPr>
        <w:pStyle w:val="Heading3"/>
      </w:pPr>
      <w:r>
        <w:t xml:space="preserve">🟢 </w:t>
      </w:r>
      <w:r>
        <w:rPr>
          <w:rFonts w:hint="eastAsia"/>
        </w:rPr>
        <w:t xml:space="preserve">流出TOP10个股（6—10）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亨通光电</w:t>
            </w:r>
          </w:p>
        </w:tc>
        <w:tc>
          <w:tcPr/>
          <w:p>
            <w:pPr>
              <w:pStyle w:val="Compact"/>
            </w:pPr>
            <w:r>
              <w:t xml:space="preserve">600487</w:t>
            </w:r>
          </w:p>
        </w:tc>
        <w:tc>
          <w:tcPr/>
          <w:p>
            <w:pPr>
              <w:pStyle w:val="Compact"/>
              <w:jc w:val="right"/>
            </w:pPr>
            <w:r>
              <w:rPr>
                <w:rFonts w:hint="eastAsia"/>
              </w:rPr>
              <w:t xml:space="preserve">-40.22亿元</w:t>
            </w:r>
          </w:p>
        </w:tc>
      </w:tr>
      <w:tr>
        <w:tc>
          <w:tcPr/>
          <w:p>
            <w:pPr>
              <w:pStyle w:val="Compact"/>
              <w:jc w:val="right"/>
            </w:pPr>
            <w:r>
              <w:t xml:space="preserve">7</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-36.21亿元</w:t>
            </w:r>
          </w:p>
        </w:tc>
      </w:tr>
      <w:tr>
        <w:tc>
          <w:tcPr/>
          <w:p>
            <w:pPr>
              <w:pStyle w:val="Compact"/>
              <w:jc w:val="right"/>
            </w:pPr>
            <w:r>
              <w:t xml:space="preserve">8</w:t>
            </w:r>
          </w:p>
        </w:tc>
        <w:tc>
          <w:tcPr/>
          <w:p>
            <w:pPr>
              <w:pStyle w:val="Compact"/>
            </w:pPr>
            <w:r>
              <w:rPr>
                <w:rFonts w:hint="eastAsia"/>
              </w:rPr>
              <w:t xml:space="preserve">紫金矿业</w:t>
            </w:r>
          </w:p>
        </w:tc>
        <w:tc>
          <w:tcPr/>
          <w:p>
            <w:pPr>
              <w:pStyle w:val="Compact"/>
            </w:pPr>
            <w:r>
              <w:t xml:space="preserve">601899</w:t>
            </w:r>
          </w:p>
        </w:tc>
        <w:tc>
          <w:tcPr/>
          <w:p>
            <w:pPr>
              <w:pStyle w:val="Compact"/>
              <w:jc w:val="right"/>
            </w:pPr>
            <w:r>
              <w:rPr>
                <w:rFonts w:hint="eastAsia"/>
              </w:rPr>
              <w:t xml:space="preserve">-28.30亿元</w:t>
            </w:r>
          </w:p>
        </w:tc>
      </w:tr>
      <w:tr>
        <w:tc>
          <w:tcPr/>
          <w:p>
            <w:pPr>
              <w:pStyle w:val="Compact"/>
              <w:jc w:val="right"/>
            </w:pPr>
            <w:r>
              <w:t xml:space="preserve">9</w:t>
            </w:r>
          </w:p>
        </w:tc>
        <w:tc>
          <w:tcPr/>
          <w:p>
            <w:pPr>
              <w:pStyle w:val="Compact"/>
            </w:pPr>
            <w:r>
              <w:rPr>
                <w:rFonts w:hint="eastAsia"/>
              </w:rPr>
              <w:t xml:space="preserve">宇树科技-W</w:t>
            </w:r>
          </w:p>
        </w:tc>
        <w:tc>
          <w:tcPr/>
          <w:p>
            <w:pPr>
              <w:pStyle w:val="Compact"/>
            </w:pPr>
            <w:r>
              <w:t xml:space="preserve">688836</w:t>
            </w:r>
          </w:p>
        </w:tc>
        <w:tc>
          <w:tcPr/>
          <w:p>
            <w:pPr>
              <w:pStyle w:val="Compact"/>
              <w:jc w:val="right"/>
            </w:pPr>
            <w:r>
              <w:rPr>
                <w:rFonts w:hint="eastAsia"/>
              </w:rPr>
              <w:t xml:space="preserve">-27.02亿元</w:t>
            </w:r>
          </w:p>
        </w:tc>
      </w:tr>
      <w:tr>
        <w:tc>
          <w:tcPr/>
          <w:p>
            <w:pPr>
              <w:pStyle w:val="Compact"/>
              <w:jc w:val="right"/>
            </w:pPr>
            <w:r>
              <w:t xml:space="preserve">10</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-25.63亿元</w:t>
            </w:r>
          </w:p>
        </w:tc>
      </w:tr>
    </w:tbl>
    <w:bookmarkEnd w:id="35"/>
    <w:bookmarkStart w:id="36" w:name="流入top10板块15"/>
    <w:p>
      <w:pPr>
        <w:pStyle w:val="Heading3"/>
      </w:pPr>
      <w:r>
        <w:t xml:space="preserve">🔴 </w:t>
      </w:r>
      <w:r>
        <w:rPr>
          <w:rFonts w:hint="eastAsia"/>
        </w:rPr>
        <w:t xml:space="preserve">流入TOP10板块（1—5）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消费电子</w:t>
            </w:r>
          </w:p>
        </w:tc>
        <w:tc>
          <w:tcPr/>
          <w:p>
            <w:pPr>
              <w:pStyle w:val="Compact"/>
              <w:jc w:val="right"/>
            </w:pPr>
            <w:r>
              <w:rPr>
                <w:rFonts w:hint="eastAsia"/>
              </w:rPr>
              <w:t xml:space="preserve">+28.82亿元</w:t>
            </w:r>
          </w:p>
        </w:tc>
      </w:tr>
      <w:tr>
        <w:tc>
          <w:tcPr/>
          <w:p>
            <w:pPr>
              <w:pStyle w:val="Compact"/>
              <w:jc w:val="right"/>
            </w:pPr>
            <w:r>
              <w:t xml:space="preserve">2</w:t>
            </w:r>
          </w:p>
        </w:tc>
        <w:tc>
          <w:tcPr/>
          <w:p>
            <w:pPr>
              <w:pStyle w:val="Compact"/>
            </w:pPr>
            <w:r>
              <w:rPr>
                <w:rFonts w:hint="eastAsia"/>
              </w:rPr>
              <w:t xml:space="preserve">自动化设备</w:t>
            </w:r>
          </w:p>
        </w:tc>
        <w:tc>
          <w:tcPr/>
          <w:p>
            <w:pPr>
              <w:pStyle w:val="Compact"/>
              <w:jc w:val="right"/>
            </w:pPr>
            <w:r>
              <w:rPr>
                <w:rFonts w:hint="eastAsia"/>
              </w:rPr>
              <w:t xml:space="preserve">+14.32亿元</w:t>
            </w:r>
          </w:p>
        </w:tc>
      </w:tr>
      <w:tr>
        <w:tc>
          <w:tcPr/>
          <w:p>
            <w:pPr>
              <w:pStyle w:val="Compact"/>
              <w:jc w:val="right"/>
            </w:pPr>
            <w:r>
              <w:t xml:space="preserve">3</w:t>
            </w:r>
          </w:p>
        </w:tc>
        <w:tc>
          <w:tcPr/>
          <w:p>
            <w:pPr>
              <w:pStyle w:val="Compact"/>
            </w:pPr>
            <w:r>
              <w:rPr>
                <w:rFonts w:hint="eastAsia"/>
              </w:rPr>
              <w:t xml:space="preserve">医疗服务</w:t>
            </w:r>
          </w:p>
        </w:tc>
        <w:tc>
          <w:tcPr/>
          <w:p>
            <w:pPr>
              <w:pStyle w:val="Compact"/>
              <w:jc w:val="right"/>
            </w:pPr>
            <w:r>
              <w:rPr>
                <w:rFonts w:hint="eastAsia"/>
              </w:rPr>
              <w:t xml:space="preserve">+9.94亿元</w:t>
            </w:r>
          </w:p>
        </w:tc>
      </w:tr>
      <w:tr>
        <w:tc>
          <w:tcPr/>
          <w:p>
            <w:pPr>
              <w:pStyle w:val="Compact"/>
              <w:jc w:val="right"/>
            </w:pPr>
            <w:r>
              <w:t xml:space="preserve">4</w:t>
            </w:r>
          </w:p>
        </w:tc>
        <w:tc>
          <w:tcPr/>
          <w:p>
            <w:pPr>
              <w:pStyle w:val="Compact"/>
            </w:pPr>
            <w:r>
              <w:rPr>
                <w:rFonts w:hint="eastAsia"/>
              </w:rPr>
              <w:t xml:space="preserve">汽车零部件</w:t>
            </w:r>
          </w:p>
        </w:tc>
        <w:tc>
          <w:tcPr/>
          <w:p>
            <w:pPr>
              <w:pStyle w:val="Compact"/>
              <w:jc w:val="right"/>
            </w:pPr>
            <w:r>
              <w:rPr>
                <w:rFonts w:hint="eastAsia"/>
              </w:rPr>
              <w:t xml:space="preserve">+5.13亿元</w:t>
            </w:r>
          </w:p>
        </w:tc>
      </w:tr>
      <w:tr>
        <w:tc>
          <w:tcPr/>
          <w:p>
            <w:pPr>
              <w:pStyle w:val="Compact"/>
              <w:jc w:val="right"/>
            </w:pPr>
            <w:r>
              <w:t xml:space="preserve">5</w:t>
            </w:r>
          </w:p>
        </w:tc>
        <w:tc>
          <w:tcPr/>
          <w:p>
            <w:pPr>
              <w:pStyle w:val="Compact"/>
            </w:pPr>
            <w:r>
              <w:rPr>
                <w:rFonts w:hint="eastAsia"/>
              </w:rPr>
              <w:t xml:space="preserve">小家电</w:t>
            </w:r>
          </w:p>
        </w:tc>
        <w:tc>
          <w:tcPr/>
          <w:p>
            <w:pPr>
              <w:pStyle w:val="Compact"/>
              <w:jc w:val="right"/>
            </w:pPr>
            <w:r>
              <w:rPr>
                <w:rFonts w:hint="eastAsia"/>
              </w:rPr>
              <w:t xml:space="preserve">+4.04亿元</w:t>
            </w:r>
          </w:p>
        </w:tc>
      </w:tr>
    </w:tbl>
    <w:bookmarkEnd w:id="36"/>
    <w:bookmarkStart w:id="37" w:name="流入top10板块610"/>
    <w:p>
      <w:pPr>
        <w:pStyle w:val="Heading3"/>
      </w:pPr>
      <w:r>
        <w:t xml:space="preserve">🔴 </w:t>
      </w:r>
      <w:r>
        <w:rPr>
          <w:rFonts w:hint="eastAsia"/>
        </w:rPr>
        <w:t xml:space="preserve">流入TOP10板块（6—10）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工程机械</w:t>
            </w:r>
          </w:p>
        </w:tc>
        <w:tc>
          <w:tcPr/>
          <w:p>
            <w:pPr>
              <w:pStyle w:val="Compact"/>
              <w:jc w:val="right"/>
            </w:pPr>
            <w:r>
              <w:rPr>
                <w:rFonts w:hint="eastAsia"/>
              </w:rPr>
              <w:t xml:space="preserve">+3.94亿元</w:t>
            </w:r>
          </w:p>
        </w:tc>
      </w:tr>
      <w:tr>
        <w:tc>
          <w:tcPr/>
          <w:p>
            <w:pPr>
              <w:pStyle w:val="Compact"/>
              <w:jc w:val="right"/>
            </w:pPr>
            <w:r>
              <w:t xml:space="preserve">7</w:t>
            </w:r>
          </w:p>
        </w:tc>
        <w:tc>
          <w:tcPr/>
          <w:p>
            <w:pPr>
              <w:pStyle w:val="Compact"/>
            </w:pPr>
            <w:r>
              <w:rPr>
                <w:rFonts w:hint="eastAsia"/>
              </w:rPr>
              <w:t xml:space="preserve">通用设备</w:t>
            </w:r>
          </w:p>
        </w:tc>
        <w:tc>
          <w:tcPr/>
          <w:p>
            <w:pPr>
              <w:pStyle w:val="Compact"/>
              <w:jc w:val="right"/>
            </w:pPr>
            <w:r>
              <w:rPr>
                <w:rFonts w:hint="eastAsia"/>
              </w:rPr>
              <w:t xml:space="preserve">+3.92亿元</w:t>
            </w:r>
          </w:p>
        </w:tc>
      </w:tr>
      <w:tr>
        <w:tc>
          <w:tcPr/>
          <w:p>
            <w:pPr>
              <w:pStyle w:val="Compact"/>
              <w:jc w:val="right"/>
            </w:pPr>
            <w:r>
              <w:t xml:space="preserve">8</w:t>
            </w:r>
          </w:p>
        </w:tc>
        <w:tc>
          <w:tcPr/>
          <w:p>
            <w:pPr>
              <w:pStyle w:val="Compact"/>
            </w:pPr>
            <w:r>
              <w:rPr>
                <w:rFonts w:hint="eastAsia"/>
              </w:rPr>
              <w:t xml:space="preserve">个护用品</w:t>
            </w:r>
          </w:p>
        </w:tc>
        <w:tc>
          <w:tcPr/>
          <w:p>
            <w:pPr>
              <w:pStyle w:val="Compact"/>
              <w:jc w:val="right"/>
            </w:pPr>
            <w:r>
              <w:rPr>
                <w:rFonts w:hint="eastAsia"/>
              </w:rPr>
              <w:t xml:space="preserve">+3.69亿元</w:t>
            </w:r>
          </w:p>
        </w:tc>
      </w:tr>
      <w:tr>
        <w:tc>
          <w:tcPr/>
          <w:p>
            <w:pPr>
              <w:pStyle w:val="Compact"/>
              <w:jc w:val="right"/>
            </w:pPr>
            <w:r>
              <w:t xml:space="preserve">9</w:t>
            </w:r>
          </w:p>
        </w:tc>
        <w:tc>
          <w:tcPr/>
          <w:p>
            <w:pPr>
              <w:pStyle w:val="Compact"/>
            </w:pPr>
            <w:r>
              <w:rPr>
                <w:rFonts w:hint="eastAsia"/>
              </w:rPr>
              <w:t xml:space="preserve">农化制品</w:t>
            </w:r>
          </w:p>
        </w:tc>
        <w:tc>
          <w:tcPr/>
          <w:p>
            <w:pPr>
              <w:pStyle w:val="Compact"/>
              <w:jc w:val="right"/>
            </w:pPr>
            <w:r>
              <w:rPr>
                <w:rFonts w:hint="eastAsia"/>
              </w:rPr>
              <w:t xml:space="preserve">+2.84亿元</w:t>
            </w:r>
          </w:p>
        </w:tc>
      </w:tr>
      <w:tr>
        <w:tc>
          <w:tcPr/>
          <w:p>
            <w:pPr>
              <w:pStyle w:val="Compact"/>
              <w:jc w:val="right"/>
            </w:pPr>
            <w:r>
              <w:t xml:space="preserve">10</w:t>
            </w:r>
          </w:p>
        </w:tc>
        <w:tc>
          <w:tcPr/>
          <w:p>
            <w:pPr>
              <w:pStyle w:val="Compact"/>
            </w:pPr>
            <w:r>
              <w:rPr>
                <w:rFonts w:hint="eastAsia"/>
              </w:rPr>
              <w:t xml:space="preserve">通信服务</w:t>
            </w:r>
          </w:p>
        </w:tc>
        <w:tc>
          <w:tcPr/>
          <w:p>
            <w:pPr>
              <w:pStyle w:val="Compact"/>
              <w:jc w:val="right"/>
            </w:pPr>
            <w:r>
              <w:rPr>
                <w:rFonts w:hint="eastAsia"/>
              </w:rPr>
              <w:t xml:space="preserve">+2.48亿元</w:t>
            </w:r>
          </w:p>
        </w:tc>
      </w:tr>
    </w:tbl>
    <w:bookmarkEnd w:id="37"/>
    <w:bookmarkStart w:id="38" w:name="流入top10个股15"/>
    <w:p>
      <w:pPr>
        <w:pStyle w:val="Heading3"/>
      </w:pPr>
      <w:r>
        <w:t xml:space="preserve">🔴 </w:t>
      </w:r>
      <w:r>
        <w:rPr>
          <w:rFonts w:hint="eastAsia"/>
        </w:rPr>
        <w:t xml:space="preserve">流入TOP10个股（1—5）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长盈精密</w:t>
            </w:r>
          </w:p>
        </w:tc>
        <w:tc>
          <w:tcPr/>
          <w:p>
            <w:pPr>
              <w:pStyle w:val="Compact"/>
            </w:pPr>
            <w:r>
              <w:t xml:space="preserve">300115</w:t>
            </w:r>
          </w:p>
        </w:tc>
        <w:tc>
          <w:tcPr/>
          <w:p>
            <w:pPr>
              <w:pStyle w:val="Compact"/>
              <w:jc w:val="right"/>
            </w:pPr>
            <w:r>
              <w:rPr>
                <w:rFonts w:hint="eastAsia"/>
              </w:rPr>
              <w:t xml:space="preserve">+6.64亿元</w:t>
            </w:r>
          </w:p>
        </w:tc>
      </w:tr>
      <w:tr>
        <w:tc>
          <w:tcPr/>
          <w:p>
            <w:pPr>
              <w:pStyle w:val="Compact"/>
              <w:jc w:val="right"/>
            </w:pPr>
            <w:r>
              <w:t xml:space="preserve">2</w:t>
            </w:r>
          </w:p>
        </w:tc>
        <w:tc>
          <w:tcPr/>
          <w:p>
            <w:pPr>
              <w:pStyle w:val="Compact"/>
            </w:pPr>
            <w:r>
              <w:rPr>
                <w:rFonts w:hint="eastAsia"/>
              </w:rPr>
              <w:t xml:space="preserve">超声电子</w:t>
            </w:r>
          </w:p>
        </w:tc>
        <w:tc>
          <w:tcPr/>
          <w:p>
            <w:pPr>
              <w:pStyle w:val="Compact"/>
            </w:pPr>
            <w:r>
              <w:t xml:space="preserve">000823</w:t>
            </w:r>
          </w:p>
        </w:tc>
        <w:tc>
          <w:tcPr/>
          <w:p>
            <w:pPr>
              <w:pStyle w:val="Compact"/>
              <w:jc w:val="right"/>
            </w:pPr>
            <w:r>
              <w:rPr>
                <w:rFonts w:hint="eastAsia"/>
              </w:rPr>
              <w:t xml:space="preserve">+4.14亿元</w:t>
            </w:r>
          </w:p>
        </w:tc>
      </w:tr>
      <w:tr>
        <w:tc>
          <w:tcPr/>
          <w:p>
            <w:pPr>
              <w:pStyle w:val="Compact"/>
              <w:jc w:val="right"/>
            </w:pPr>
            <w:r>
              <w:t xml:space="preserve">3</w:t>
            </w:r>
          </w:p>
        </w:tc>
        <w:tc>
          <w:tcPr/>
          <w:p>
            <w:pPr>
              <w:pStyle w:val="Compact"/>
            </w:pPr>
            <w:r>
              <w:rPr>
                <w:rFonts w:hint="eastAsia"/>
              </w:rPr>
              <w:t xml:space="preserve">瑞芯微</w:t>
            </w:r>
          </w:p>
        </w:tc>
        <w:tc>
          <w:tcPr/>
          <w:p>
            <w:pPr>
              <w:pStyle w:val="Compact"/>
            </w:pPr>
            <w:r>
              <w:t xml:space="preserve">603893</w:t>
            </w:r>
          </w:p>
        </w:tc>
        <w:tc>
          <w:tcPr/>
          <w:p>
            <w:pPr>
              <w:pStyle w:val="Compact"/>
              <w:jc w:val="right"/>
            </w:pPr>
            <w:r>
              <w:rPr>
                <w:rFonts w:hint="eastAsia"/>
              </w:rPr>
              <w:t xml:space="preserve">+3.78亿元</w:t>
            </w:r>
          </w:p>
        </w:tc>
      </w:tr>
      <w:tr>
        <w:tc>
          <w:tcPr/>
          <w:p>
            <w:pPr>
              <w:pStyle w:val="Compact"/>
              <w:jc w:val="right"/>
            </w:pPr>
            <w:r>
              <w:t xml:space="preserve">4</w:t>
            </w:r>
          </w:p>
        </w:tc>
        <w:tc>
          <w:tcPr/>
          <w:p>
            <w:pPr>
              <w:pStyle w:val="Compact"/>
            </w:pPr>
            <w:r>
              <w:rPr>
                <w:rFonts w:hint="eastAsia"/>
              </w:rPr>
              <w:t xml:space="preserve">九阳股份</w:t>
            </w:r>
          </w:p>
        </w:tc>
        <w:tc>
          <w:tcPr/>
          <w:p>
            <w:pPr>
              <w:pStyle w:val="Compact"/>
            </w:pPr>
            <w:r>
              <w:t xml:space="preserve">002242</w:t>
            </w:r>
          </w:p>
        </w:tc>
        <w:tc>
          <w:tcPr/>
          <w:p>
            <w:pPr>
              <w:pStyle w:val="Compact"/>
              <w:jc w:val="right"/>
            </w:pPr>
            <w:r>
              <w:rPr>
                <w:rFonts w:hint="eastAsia"/>
              </w:rPr>
              <w:t xml:space="preserve">+3.68亿元</w:t>
            </w:r>
          </w:p>
        </w:tc>
      </w:tr>
      <w:tr>
        <w:tc>
          <w:tcPr/>
          <w:p>
            <w:pPr>
              <w:pStyle w:val="Compact"/>
              <w:jc w:val="right"/>
            </w:pPr>
            <w:r>
              <w:t xml:space="preserve">5</w:t>
            </w:r>
          </w:p>
        </w:tc>
        <w:tc>
          <w:tcPr/>
          <w:p>
            <w:pPr>
              <w:pStyle w:val="Compact"/>
            </w:pPr>
            <w:r>
              <w:rPr>
                <w:rFonts w:hint="eastAsia"/>
              </w:rPr>
              <w:t xml:space="preserve">立讯精密</w:t>
            </w:r>
          </w:p>
        </w:tc>
        <w:tc>
          <w:tcPr/>
          <w:p>
            <w:pPr>
              <w:pStyle w:val="Compact"/>
            </w:pPr>
            <w:r>
              <w:t xml:space="preserve">002475</w:t>
            </w:r>
          </w:p>
        </w:tc>
        <w:tc>
          <w:tcPr/>
          <w:p>
            <w:pPr>
              <w:pStyle w:val="Compact"/>
              <w:jc w:val="right"/>
            </w:pPr>
            <w:r>
              <w:rPr>
                <w:rFonts w:hint="eastAsia"/>
              </w:rPr>
              <w:t xml:space="preserve">+3.58亿元</w:t>
            </w:r>
          </w:p>
        </w:tc>
      </w:tr>
    </w:tbl>
    <w:bookmarkEnd w:id="38"/>
    <w:bookmarkStart w:id="39" w:name="流入top10个股610"/>
    <w:p>
      <w:pPr>
        <w:pStyle w:val="Heading3"/>
      </w:pPr>
      <w:r>
        <w:t xml:space="preserve">🔴 </w:t>
      </w:r>
      <w:r>
        <w:rPr>
          <w:rFonts w:hint="eastAsia"/>
        </w:rPr>
        <w:t xml:space="preserve">流入TOP10个股（6—10）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移远通信</w:t>
            </w:r>
          </w:p>
        </w:tc>
        <w:tc>
          <w:tcPr/>
          <w:p>
            <w:pPr>
              <w:pStyle w:val="Compact"/>
            </w:pPr>
            <w:r>
              <w:t xml:space="preserve">603236</w:t>
            </w:r>
          </w:p>
        </w:tc>
        <w:tc>
          <w:tcPr/>
          <w:p>
            <w:pPr>
              <w:pStyle w:val="Compact"/>
              <w:jc w:val="right"/>
            </w:pPr>
            <w:r>
              <w:rPr>
                <w:rFonts w:hint="eastAsia"/>
              </w:rPr>
              <w:t xml:space="preserve">+3.44亿元</w:t>
            </w:r>
          </w:p>
        </w:tc>
      </w:tr>
      <w:tr>
        <w:tc>
          <w:tcPr/>
          <w:p>
            <w:pPr>
              <w:pStyle w:val="Compact"/>
              <w:jc w:val="right"/>
            </w:pPr>
            <w:r>
              <w:t xml:space="preserve">7</w:t>
            </w:r>
          </w:p>
        </w:tc>
        <w:tc>
          <w:tcPr/>
          <w:p>
            <w:pPr>
              <w:pStyle w:val="Compact"/>
            </w:pPr>
            <w:r>
              <w:rPr>
                <w:rFonts w:hint="eastAsia"/>
              </w:rPr>
              <w:t xml:space="preserve">绿的谐波</w:t>
            </w:r>
          </w:p>
        </w:tc>
        <w:tc>
          <w:tcPr/>
          <w:p>
            <w:pPr>
              <w:pStyle w:val="Compact"/>
            </w:pPr>
            <w:r>
              <w:t xml:space="preserve">688017</w:t>
            </w:r>
          </w:p>
        </w:tc>
        <w:tc>
          <w:tcPr/>
          <w:p>
            <w:pPr>
              <w:pStyle w:val="Compact"/>
              <w:jc w:val="right"/>
            </w:pPr>
            <w:r>
              <w:rPr>
                <w:rFonts w:hint="eastAsia"/>
              </w:rPr>
              <w:t xml:space="preserve">+3.44亿元</w:t>
            </w:r>
          </w:p>
        </w:tc>
      </w:tr>
      <w:tr>
        <w:tc>
          <w:tcPr/>
          <w:p>
            <w:pPr>
              <w:pStyle w:val="Compact"/>
              <w:jc w:val="right"/>
            </w:pPr>
            <w:r>
              <w:t xml:space="preserve">8</w:t>
            </w:r>
          </w:p>
        </w:tc>
        <w:tc>
          <w:tcPr/>
          <w:p>
            <w:pPr>
              <w:pStyle w:val="Compact"/>
            </w:pPr>
            <w:r>
              <w:rPr>
                <w:rFonts w:hint="eastAsia"/>
              </w:rPr>
              <w:t xml:space="preserve">歌尔股份</w:t>
            </w:r>
          </w:p>
        </w:tc>
        <w:tc>
          <w:tcPr/>
          <w:p>
            <w:pPr>
              <w:pStyle w:val="Compact"/>
            </w:pPr>
            <w:r>
              <w:t xml:space="preserve">002241</w:t>
            </w:r>
          </w:p>
        </w:tc>
        <w:tc>
          <w:tcPr/>
          <w:p>
            <w:pPr>
              <w:pStyle w:val="Compact"/>
              <w:jc w:val="right"/>
            </w:pPr>
            <w:r>
              <w:rPr>
                <w:rFonts w:hint="eastAsia"/>
              </w:rPr>
              <w:t xml:space="preserve">+3.29亿元</w:t>
            </w:r>
          </w:p>
        </w:tc>
      </w:tr>
      <w:tr>
        <w:tc>
          <w:tcPr/>
          <w:p>
            <w:pPr>
              <w:pStyle w:val="Compact"/>
              <w:jc w:val="right"/>
            </w:pPr>
            <w:r>
              <w:t xml:space="preserve">9</w:t>
            </w:r>
          </w:p>
        </w:tc>
        <w:tc>
          <w:tcPr/>
          <w:p>
            <w:pPr>
              <w:pStyle w:val="Compact"/>
            </w:pPr>
            <w:r>
              <w:rPr>
                <w:rFonts w:hint="eastAsia"/>
              </w:rPr>
              <w:t xml:space="preserve">胜宏科技</w:t>
            </w:r>
          </w:p>
        </w:tc>
        <w:tc>
          <w:tcPr/>
          <w:p>
            <w:pPr>
              <w:pStyle w:val="Compact"/>
            </w:pPr>
            <w:r>
              <w:t xml:space="preserve">300476</w:t>
            </w:r>
          </w:p>
        </w:tc>
        <w:tc>
          <w:tcPr/>
          <w:p>
            <w:pPr>
              <w:pStyle w:val="Compact"/>
              <w:jc w:val="right"/>
            </w:pPr>
            <w:r>
              <w:rPr>
                <w:rFonts w:hint="eastAsia"/>
              </w:rPr>
              <w:t xml:space="preserve">+2.76亿元</w:t>
            </w:r>
          </w:p>
        </w:tc>
      </w:tr>
      <w:tr>
        <w:tc>
          <w:tcPr/>
          <w:p>
            <w:pPr>
              <w:pStyle w:val="Compact"/>
              <w:jc w:val="right"/>
            </w:pPr>
            <w:r>
              <w:t xml:space="preserve">10</w:t>
            </w:r>
          </w:p>
        </w:tc>
        <w:tc>
          <w:tcPr/>
          <w:p>
            <w:pPr>
              <w:pStyle w:val="Compact"/>
            </w:pPr>
            <w:r>
              <w:rPr>
                <w:rFonts w:hint="eastAsia"/>
              </w:rPr>
              <w:t xml:space="preserve">昭衍新药</w:t>
            </w:r>
          </w:p>
        </w:tc>
        <w:tc>
          <w:tcPr/>
          <w:p>
            <w:pPr>
              <w:pStyle w:val="Compact"/>
            </w:pPr>
            <w:r>
              <w:t xml:space="preserve">603127</w:t>
            </w:r>
          </w:p>
        </w:tc>
        <w:tc>
          <w:tcPr/>
          <w:p>
            <w:pPr>
              <w:pStyle w:val="Compact"/>
              <w:jc w:val="right"/>
            </w:pPr>
            <w:r>
              <w:rPr>
                <w:rFonts w:hint="eastAsia"/>
              </w:rPr>
              <w:t xml:space="preserve">+2.72亿元</w:t>
            </w:r>
          </w:p>
        </w:tc>
      </w:tr>
    </w:tbl>
    <w:p>
      <w:r>
        <w:pict>
          <v:rect style="width:0;height:1.5pt" o:hralign="center" o:hrstd="t" o:hr="t"/>
        </w:pict>
      </w:r>
    </w:p>
    <w:bookmarkEnd w:id="39"/>
    <w:bookmarkEnd w:id="40"/>
    <w:bookmarkStart w:id="45" w:name="两融宽基etf成交额恐慌联合信号"/>
    <w:p>
      <w:pPr>
        <w:pStyle w:val="Heading2"/>
      </w:pPr>
      <w:r>
        <w:t xml:space="preserve">💧 </w:t>
      </w:r>
      <w:r>
        <w:rPr>
          <w:rFonts w:hint="eastAsia"/>
        </w:rPr>
        <w:t xml:space="preserve">两融·宽基ETF·成交额·恐慌联合信号</w:t>
      </w:r>
    </w:p>
    <w:bookmarkStart w:id="41"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项目</w:t>
            </w:r>
          </w:p>
        </w:tc>
        <w:tc>
          <w:tcPr/>
          <w:p>
            <w:pPr>
              <w:pStyle w:val="Compact"/>
              <w:jc w:val="right"/>
            </w:pPr>
            <w:r>
              <w:t xml:space="preserve">2026-10-19</w:t>
            </w:r>
          </w:p>
        </w:tc>
        <w:tc>
          <w:tcPr/>
          <w:p>
            <w:pPr>
              <w:pStyle w:val="Compact"/>
              <w:jc w:val="right"/>
            </w:pPr>
            <w:r>
              <w:t xml:space="preserve">2026-10-16</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24825.42亿元</w:t>
            </w:r>
          </w:p>
        </w:tc>
        <w:tc>
          <w:tcPr/>
          <w:p>
            <w:pPr>
              <w:pStyle w:val="Compact"/>
              <w:jc w:val="right"/>
            </w:pPr>
            <w:r>
              <w:rPr>
                <w:rFonts w:hint="eastAsia"/>
              </w:rPr>
              <w:t xml:space="preserve">24888.57亿元</w:t>
            </w:r>
          </w:p>
        </w:tc>
        <w:tc>
          <w:tcPr/>
          <w:p>
            <w:pPr>
              <w:pStyle w:val="Compact"/>
              <w:jc w:val="right"/>
            </w:pPr>
            <w:r>
              <w:rPr>
                <w:rFonts w:hint="eastAsia"/>
              </w:rPr>
              <w:t xml:space="preserve">-63.15亿元</w:t>
            </w:r>
          </w:p>
        </w:tc>
      </w:tr>
      <w:tr>
        <w:tc>
          <w:tcPr/>
          <w:p>
            <w:pPr>
              <w:pStyle w:val="Compact"/>
            </w:pPr>
            <w:r>
              <w:rPr>
                <w:rFonts w:hint="eastAsia"/>
              </w:rPr>
              <w:t xml:space="preserve">融资余额</w:t>
            </w:r>
          </w:p>
        </w:tc>
        <w:tc>
          <w:tcPr/>
          <w:p>
            <w:pPr>
              <w:pStyle w:val="Compact"/>
              <w:jc w:val="right"/>
            </w:pPr>
            <w:r>
              <w:rPr>
                <w:rFonts w:hint="eastAsia"/>
              </w:rPr>
              <w:t xml:space="preserve">24533.74亿元</w:t>
            </w:r>
          </w:p>
        </w:tc>
        <w:tc>
          <w:tcPr/>
          <w:p>
            <w:pPr>
              <w:pStyle w:val="Compact"/>
              <w:jc w:val="right"/>
            </w:pPr>
            <w:r>
              <w:rPr>
                <w:rFonts w:hint="eastAsia"/>
              </w:rPr>
              <w:t xml:space="preserve">24597.06亿元</w:t>
            </w:r>
          </w:p>
        </w:tc>
        <w:tc>
          <w:tcPr/>
          <w:p>
            <w:pPr>
              <w:pStyle w:val="Compact"/>
              <w:jc w:val="right"/>
            </w:pPr>
            <w:r>
              <w:rPr>
                <w:rFonts w:hint="eastAsia"/>
              </w:rPr>
              <w:t xml:space="preserve">-63.31亿元</w:t>
            </w:r>
          </w:p>
        </w:tc>
      </w:tr>
      <w:tr>
        <w:tc>
          <w:tcPr/>
          <w:p>
            <w:pPr>
              <w:pStyle w:val="Compact"/>
            </w:pPr>
            <w:r>
              <w:rPr>
                <w:rFonts w:hint="eastAsia"/>
              </w:rPr>
              <w:t xml:space="preserve">融券余额</w:t>
            </w:r>
          </w:p>
        </w:tc>
        <w:tc>
          <w:tcPr/>
          <w:p>
            <w:pPr>
              <w:pStyle w:val="Compact"/>
              <w:jc w:val="right"/>
            </w:pPr>
            <w:r>
              <w:rPr>
                <w:rFonts w:hint="eastAsia"/>
              </w:rPr>
              <w:t xml:space="preserve">291.68亿元</w:t>
            </w:r>
          </w:p>
        </w:tc>
        <w:tc>
          <w:tcPr/>
          <w:p>
            <w:pPr>
              <w:pStyle w:val="Compact"/>
              <w:jc w:val="right"/>
            </w:pPr>
            <w:r>
              <w:rPr>
                <w:rFonts w:hint="eastAsia"/>
              </w:rPr>
              <w:t xml:space="preserve">291.51亿元</w:t>
            </w:r>
          </w:p>
        </w:tc>
        <w:tc>
          <w:tcPr/>
          <w:p>
            <w:pPr>
              <w:pStyle w:val="Compact"/>
              <w:jc w:val="right"/>
            </w:pPr>
            <w:r>
              <w:rPr>
                <w:rFonts w:hint="eastAsia"/>
              </w:rPr>
              <w:t xml:space="preserve">+0.16亿元</w:t>
            </w:r>
          </w:p>
        </w:tc>
      </w:tr>
    </w:tbl>
    <w:p>
      <w:pPr>
        <w:pStyle w:val="BodyText"/>
      </w:pPr>
      <w:r>
        <w:rPr>
          <w:rFonts w:hint="eastAsia"/>
        </w:rPr>
        <w:t xml:space="preserve">实际最新结算日期为2026年10月19日，</w:t>
      </w:r>
      <w:r>
        <w:rPr>
          <w:rFonts w:hint="eastAsia"/>
          <w:b/>
          <w:bCs/>
        </w:rPr>
        <w:t xml:space="preserve">T+1滞后，报告日当日两融尚未发布</w:t>
      </w:r>
      <w:r>
        <w:t xml:space="preserve">。</w:t>
      </w:r>
    </w:p>
    <w:p>
      <w:pPr>
        <w:pStyle w:val="BodyText"/>
      </w:pPr>
      <w:r>
        <w:rPr>
          <w:rFonts w:hint="eastAsia"/>
        </w:rPr>
        <w:t xml:space="preserve">本轮两融余额下降主要由融资余额减少驱动，融券余额反而小幅增加。杠杆资金风险偏好仍在收缩，不能把宽基ETF流入直接解读为主动资金全面回归。</w:t>
      </w:r>
    </w:p>
    <w:bookmarkEnd w:id="41"/>
    <w:bookmarkStart w:id="42" w:name="宽基etf份额变化"/>
    <w:p>
      <w:pPr>
        <w:pStyle w:val="Heading3"/>
      </w:pPr>
      <w:r>
        <w:t xml:space="preserve">💰 </w:t>
      </w:r>
      <w:r>
        <w:rPr>
          <w:rFonts w:hint="eastAsia"/>
        </w:rPr>
        <w:t xml:space="preserve">宽基ETF份额变化</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ETF</w:t>
            </w:r>
          </w:p>
        </w:tc>
        <w:tc>
          <w:tcPr/>
          <w:p>
            <w:pPr>
              <w:pStyle w:val="Compact"/>
              <w:jc w:val="right"/>
            </w:pPr>
            <w:r>
              <w:rPr>
                <w:rFonts w:hint="eastAsia"/>
              </w:rPr>
              <w:t xml:space="preserve">10月20日份额变化</w:t>
            </w:r>
          </w:p>
        </w:tc>
        <w:tc>
          <w:tcPr/>
          <w:p>
            <w:pPr>
              <w:pStyle w:val="Compact"/>
              <w:jc w:val="right"/>
            </w:pPr>
            <w:r>
              <w:rPr>
                <w:rFonts w:hint="eastAsia"/>
              </w:rPr>
              <w:t xml:space="preserve">估算净申购</w:t>
            </w:r>
          </w:p>
        </w:tc>
        <w:tc>
          <w:tcPr/>
          <w:p>
            <w:pPr>
              <w:pStyle w:val="Compact"/>
            </w:pPr>
            <w:r>
              <w:rPr>
                <w:rFonts w:hint="eastAsia"/>
              </w:rPr>
              <w:t xml:space="preserve">连续状态</w:t>
            </w:r>
          </w:p>
        </w:tc>
      </w:tr>
      <w:tr>
        <w:tc>
          <w:tcPr/>
          <w:p>
            <w:pPr>
              <w:pStyle w:val="Compact"/>
            </w:pPr>
            <w:r>
              <w:rPr>
                <w:rFonts w:hint="eastAsia"/>
              </w:rPr>
              <w:t xml:space="preserve">上证50ETF</w:t>
            </w:r>
          </w:p>
        </w:tc>
        <w:tc>
          <w:tcPr/>
          <w:p>
            <w:pPr>
              <w:pStyle w:val="Compact"/>
              <w:jc w:val="right"/>
            </w:pPr>
            <w:r>
              <w:rPr>
                <w:rFonts w:hint="eastAsia"/>
              </w:rPr>
              <w:t xml:space="preserve">+15.408亿份</w:t>
            </w:r>
          </w:p>
        </w:tc>
        <w:tc>
          <w:tcPr/>
          <w:p>
            <w:pPr>
              <w:pStyle w:val="Compact"/>
              <w:jc w:val="right"/>
            </w:pPr>
            <w:r>
              <w:rPr>
                <w:rFonts w:hint="eastAsia"/>
              </w:rPr>
              <w:t xml:space="preserve">+44.328816亿元</w:t>
            </w:r>
          </w:p>
        </w:tc>
        <w:tc>
          <w:tcPr/>
          <w:p>
            <w:pPr>
              <w:pStyle w:val="Compact"/>
            </w:pPr>
            <w:r>
              <w:rPr>
                <w:rFonts w:hint="eastAsia"/>
              </w:rPr>
              <w:t xml:space="preserve">连续3个区间流入</w:t>
            </w:r>
          </w:p>
        </w:tc>
      </w:tr>
      <w:tr>
        <w:tc>
          <w:tcPr/>
          <w:p>
            <w:pPr>
              <w:pStyle w:val="Compact"/>
            </w:pPr>
            <w:r>
              <w:rPr>
                <w:rFonts w:hint="eastAsia"/>
              </w:rPr>
              <w:t xml:space="preserve">沪深300ETF</w:t>
            </w:r>
          </w:p>
        </w:tc>
        <w:tc>
          <w:tcPr/>
          <w:p>
            <w:pPr>
              <w:pStyle w:val="Compact"/>
              <w:jc w:val="right"/>
            </w:pPr>
            <w:r>
              <w:rPr>
                <w:rFonts w:hint="eastAsia"/>
              </w:rPr>
              <w:t xml:space="preserve">+2.052亿份</w:t>
            </w:r>
          </w:p>
        </w:tc>
        <w:tc>
          <w:tcPr/>
          <w:p>
            <w:pPr>
              <w:pStyle w:val="Compact"/>
              <w:jc w:val="right"/>
            </w:pPr>
            <w:r>
              <w:rPr>
                <w:rFonts w:hint="eastAsia"/>
              </w:rPr>
              <w:t xml:space="preserve">+8.659440亿元</w:t>
            </w:r>
          </w:p>
        </w:tc>
        <w:tc>
          <w:tcPr/>
          <w:p>
            <w:pPr>
              <w:pStyle w:val="Compact"/>
            </w:pPr>
            <w:r>
              <w:rPr>
                <w:rFonts w:hint="eastAsia"/>
              </w:rPr>
              <w:t xml:space="preserve">连续3个区间流入</w:t>
            </w:r>
          </w:p>
        </w:tc>
      </w:tr>
      <w:tr>
        <w:tc>
          <w:tcPr/>
          <w:p>
            <w:pPr>
              <w:pStyle w:val="Compact"/>
            </w:pPr>
            <w:r>
              <w:rPr>
                <w:rFonts w:hint="eastAsia"/>
              </w:rPr>
              <w:t xml:space="preserve">科创50ETF</w:t>
            </w:r>
          </w:p>
        </w:tc>
        <w:tc>
          <w:tcPr/>
          <w:p>
            <w:pPr>
              <w:pStyle w:val="Compact"/>
              <w:jc w:val="right"/>
            </w:pPr>
            <w:r>
              <w:rPr>
                <w:rFonts w:hint="eastAsia"/>
              </w:rPr>
              <w:t xml:space="preserve">+21.270亿份</w:t>
            </w:r>
          </w:p>
        </w:tc>
        <w:tc>
          <w:tcPr/>
          <w:p>
            <w:pPr>
              <w:pStyle w:val="Compact"/>
              <w:jc w:val="right"/>
            </w:pPr>
            <w:r>
              <w:rPr>
                <w:rFonts w:hint="eastAsia"/>
              </w:rPr>
              <w:t xml:space="preserve">+30.139590亿元</w:t>
            </w:r>
          </w:p>
        </w:tc>
        <w:tc>
          <w:tcPr/>
          <w:p>
            <w:pPr>
              <w:pStyle w:val="Compact"/>
            </w:pPr>
            <w:r>
              <w:rPr>
                <w:rFonts w:hint="eastAsia"/>
              </w:rPr>
              <w:t xml:space="preserve">连续3个区间流入</w:t>
            </w:r>
          </w:p>
        </w:tc>
      </w:tr>
      <w:tr>
        <w:tc>
          <w:tcPr/>
          <w:p>
            <w:pPr>
              <w:pStyle w:val="Compact"/>
            </w:pPr>
            <w:r>
              <w:rPr>
                <w:rFonts w:hint="eastAsia"/>
              </w:rPr>
              <w:t xml:space="preserve">创业板ETF</w:t>
            </w:r>
          </w:p>
        </w:tc>
        <w:tc>
          <w:tcPr/>
          <w:p>
            <w:pPr>
              <w:pStyle w:val="Compact"/>
              <w:jc w:val="right"/>
            </w:pPr>
            <w:r>
              <w:rPr>
                <w:rFonts w:hint="eastAsia"/>
              </w:rPr>
              <w:t xml:space="preserve">+6.070亿份</w:t>
            </w:r>
          </w:p>
        </w:tc>
        <w:tc>
          <w:tcPr/>
          <w:p>
            <w:pPr>
              <w:pStyle w:val="Compact"/>
              <w:jc w:val="right"/>
            </w:pPr>
            <w:r>
              <w:rPr>
                <w:rFonts w:hint="eastAsia"/>
              </w:rPr>
              <w:t xml:space="preserve">+16.728920亿元</w:t>
            </w:r>
          </w:p>
        </w:tc>
        <w:tc>
          <w:tcPr/>
          <w:p>
            <w:pPr>
              <w:pStyle w:val="Compact"/>
            </w:pPr>
            <w:r>
              <w:rPr>
                <w:rFonts w:hint="eastAsia"/>
              </w:rPr>
              <w:t xml:space="preserve">连续3个区间流入</w:t>
            </w:r>
          </w:p>
        </w:tc>
      </w:tr>
      <w:tr>
        <w:tc>
          <w:tcPr/>
          <w:p>
            <w:pPr>
              <w:pStyle w:val="Compact"/>
            </w:pPr>
            <w:r>
              <w:rPr>
                <w:rFonts w:hint="eastAsia"/>
              </w:rPr>
              <w:t xml:space="preserve">中证500ETF</w:t>
            </w:r>
          </w:p>
        </w:tc>
        <w:tc>
          <w:tcPr/>
          <w:p>
            <w:pPr>
              <w:pStyle w:val="Compact"/>
              <w:jc w:val="right"/>
            </w:pPr>
            <w:r>
              <w:rPr>
                <w:rFonts w:hint="eastAsia"/>
              </w:rPr>
              <w:t xml:space="preserve">-2.708亿份</w:t>
            </w:r>
          </w:p>
        </w:tc>
        <w:tc>
          <w:tcPr/>
          <w:p>
            <w:pPr>
              <w:pStyle w:val="Compact"/>
              <w:jc w:val="right"/>
            </w:pPr>
            <w:r>
              <w:rPr>
                <w:rFonts w:hint="eastAsia"/>
              </w:rPr>
              <w:t xml:space="preserve">-18.606668亿元</w:t>
            </w:r>
          </w:p>
        </w:tc>
        <w:tc>
          <w:tcPr/>
          <w:p>
            <w:pPr>
              <w:pStyle w:val="Compact"/>
            </w:pPr>
            <w:r>
              <w:rPr>
                <w:rFonts w:hint="eastAsia"/>
              </w:rPr>
              <w:t xml:space="preserve">连续流入中断</w:t>
            </w:r>
          </w:p>
        </w:tc>
      </w:tr>
    </w:tbl>
    <w:p>
      <w:pPr>
        <w:pStyle w:val="BodyText"/>
      </w:pPr>
      <w:r>
        <w:rPr>
          <w:rFonts w:hint="eastAsia"/>
        </w:rPr>
        <w:t xml:space="preserve">上证50ETF、沪深300ETF、科创50ETF和创业板ETF均达到连续大额净申购条件，说明被动或配置型资金对核心宽基仍有明确承接；中证500ETF转为净赎回，资金并非无差别扩散。</w:t>
      </w:r>
    </w:p>
    <w:bookmarkEnd w:id="42"/>
    <w:bookmarkStart w:id="43" w:name="成交额与恐慌代理"/>
    <w:p>
      <w:pPr>
        <w:pStyle w:val="Heading3"/>
      </w:pPr>
      <w:r>
        <w:t xml:space="preserve">📊 </w:t>
      </w:r>
      <w:r>
        <w:rPr>
          <w:rFonts w:hint="eastAsia"/>
        </w:rPr>
        <w:t xml:space="preserve">成交额与恐慌代理</w:t>
      </w:r>
    </w:p>
    <w:p>
      <w:pPr>
        <w:pStyle w:val="Compact"/>
        <w:numPr>
          <w:ilvl w:val="0"/>
          <w:numId w:val="1017"/>
        </w:numPr>
      </w:pPr>
      <w:r>
        <w:rPr>
          <w:rFonts w:hint="eastAsia"/>
        </w:rPr>
        <w:t xml:space="preserve">上一交易日全市场成交额：14715.24亿元。</w:t>
      </w:r>
    </w:p>
    <w:p>
      <w:pPr>
        <w:pStyle w:val="Compact"/>
        <w:numPr>
          <w:ilvl w:val="0"/>
          <w:numId w:val="1017"/>
        </w:numPr>
      </w:pPr>
      <w:r>
        <w:rPr>
          <w:rFonts w:hint="eastAsia"/>
        </w:rPr>
        <w:t xml:space="preserve">前一交易日成交额：14487.86亿元。</w:t>
      </w:r>
    </w:p>
    <w:p>
      <w:pPr>
        <w:pStyle w:val="Compact"/>
        <w:numPr>
          <w:ilvl w:val="0"/>
          <w:numId w:val="1017"/>
        </w:numPr>
      </w:pPr>
      <w:r>
        <w:rPr>
          <w:rFonts w:hint="eastAsia"/>
        </w:rPr>
        <w:t xml:space="preserve">成交额增加：227.38亿元，增幅1.57%。</w:t>
      </w:r>
    </w:p>
    <w:p>
      <w:pPr>
        <w:pStyle w:val="Compact"/>
        <w:numPr>
          <w:ilvl w:val="0"/>
          <w:numId w:val="1017"/>
        </w:numPr>
      </w:pPr>
      <w:r>
        <w:t xml:space="preserve">300ETF </w:t>
      </w:r>
      <w:r>
        <w:rPr>
          <w:rFonts w:hint="eastAsia"/>
        </w:rPr>
        <w:t xml:space="preserve">QVIX最新结算值：18.71。</w:t>
      </w:r>
    </w:p>
    <w:p>
      <w:pPr>
        <w:pStyle w:val="Compact"/>
        <w:numPr>
          <w:ilvl w:val="0"/>
          <w:numId w:val="1017"/>
        </w:numPr>
      </w:pPr>
      <w:r>
        <w:rPr>
          <w:rFonts w:hint="eastAsia"/>
        </w:rPr>
        <w:t xml:space="preserve">前收盘：18.61，最新上涨0.10，涨幅0.5373%。</w:t>
      </w:r>
    </w:p>
    <w:p>
      <w:pPr>
        <w:pStyle w:val="Compact"/>
        <w:numPr>
          <w:ilvl w:val="0"/>
          <w:numId w:val="1017"/>
        </w:numPr>
      </w:pPr>
      <w:r>
        <w:rPr>
          <w:rFonts w:hint="eastAsia"/>
        </w:rPr>
        <w:t xml:space="preserve">20日峰值：22.10，当前较峰值回落15.3394%。</w:t>
      </w:r>
    </w:p>
    <w:p>
      <w:pPr>
        <w:pStyle w:val="FirstParagraph"/>
      </w:pPr>
      <w:r>
        <w:rPr>
          <w:rFonts w:hint="eastAsia"/>
        </w:rPr>
        <w:t xml:space="preserve">QVIX虽较20日峰值回落超过10%，但最新值高于前收盘，未满足“恐慌指标继续下降”的确认条件。</w:t>
      </w:r>
    </w:p>
    <w:bookmarkEnd w:id="43"/>
    <w:bookmarkStart w:id="44"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not_confirmed</w:t>
      </w:r>
      <w:r>
        <w:t xml:space="preserve">。</w:t>
      </w:r>
    </w:p>
    <w:p>
      <w:pPr>
        <w:pStyle w:val="BodyText"/>
      </w:pPr>
      <w:r>
        <w:rPr>
          <w:rFonts w:hint="eastAsia"/>
          <w:b/>
          <w:bCs/>
        </w:rPr>
        <w:t xml:space="preserve">恐慌高位降温且宽基ETF持续流入未确认。</w:t>
      </w:r>
      <w:r>
        <w:t xml:space="preserve"> </w:t>
      </w:r>
      <w:r>
        <w:rPr>
          <w:rFonts w:hint="eastAsia"/>
        </w:rPr>
        <w:t xml:space="preserve">宽基ETF连续流入已经成立，但恐慌代理未同步继续降温，同时两融融资余额下降，因此当前只能视为“配置资金承接、杠杆资金谨慎”的分化状态。</w:t>
      </w:r>
    </w:p>
    <w:p>
      <w:r>
        <w:pict>
          <v:rect style="width:0;height:1.5pt" o:hralign="center" o:hrstd="t" o:hr="t"/>
        </w:pict>
      </w:r>
    </w:p>
    <w:bookmarkEnd w:id="44"/>
    <w:bookmarkEnd w:id="45"/>
    <w:bookmarkStart w:id="48" w:name="市场风格预判"/>
    <w:p>
      <w:pPr>
        <w:pStyle w:val="Heading2"/>
      </w:pPr>
      <w:r>
        <w:t xml:space="preserve">🧭 </w:t>
      </w:r>
      <w:r>
        <w:rPr>
          <w:rFonts w:hint="eastAsia"/>
        </w:rPr>
        <w:t xml:space="preserve">市场风格预判</w:t>
      </w:r>
    </w:p>
    <w:bookmarkStart w:id="46" w:name="主判断偏成长但不是全面进攻"/>
    <w:p>
      <w:pPr>
        <w:pStyle w:val="Heading3"/>
      </w:pPr>
      <w:r>
        <w:rPr>
          <w:rFonts w:hint="eastAsia"/>
        </w:rPr>
        <w:t xml:space="preserve">主判断：偏成长，但不是全面进攻</w:t>
      </w:r>
    </w:p>
    <w:p>
      <w:pPr>
        <w:pStyle w:val="Compact"/>
        <w:numPr>
          <w:ilvl w:val="0"/>
          <w:numId w:val="1018"/>
        </w:numPr>
      </w:pPr>
      <w:r>
        <w:t xml:space="preserve">🔴 </w:t>
      </w:r>
      <w:r>
        <w:rPr>
          <w:rFonts w:hint="eastAsia"/>
        </w:rPr>
        <w:t xml:space="preserve">科创50上一交易日上涨0.9957%，显著强于沪深300的-0.5372%。</w:t>
      </w:r>
    </w:p>
    <w:p>
      <w:pPr>
        <w:pStyle w:val="Compact"/>
        <w:numPr>
          <w:ilvl w:val="0"/>
          <w:numId w:val="1018"/>
        </w:numPr>
      </w:pPr>
      <w:r>
        <w:t xml:space="preserve">💰 </w:t>
      </w:r>
      <w:r>
        <w:rPr>
          <w:rFonts w:hint="eastAsia"/>
        </w:rPr>
        <w:t xml:space="preserve">消费电子、自动化设备、医疗服务是明确净流入方向。</w:t>
      </w:r>
    </w:p>
    <w:p>
      <w:pPr>
        <w:pStyle w:val="Compact"/>
        <w:numPr>
          <w:ilvl w:val="0"/>
          <w:numId w:val="1018"/>
        </w:numPr>
      </w:pPr>
      <w:r>
        <w:t xml:space="preserve">⚠️ </w:t>
      </w:r>
      <w:r>
        <w:rPr>
          <w:rFonts w:hint="eastAsia"/>
        </w:rPr>
        <w:t xml:space="preserve">半导体、通信设备同时出现在资金流出榜，科技内部存在明显分化。</w:t>
      </w:r>
    </w:p>
    <w:p>
      <w:pPr>
        <w:pStyle w:val="Compact"/>
        <w:numPr>
          <w:ilvl w:val="0"/>
          <w:numId w:val="1018"/>
        </w:numPr>
      </w:pPr>
      <w:r>
        <w:t xml:space="preserve">📉 </w:t>
      </w:r>
      <w:r>
        <w:rPr>
          <w:rFonts w:hint="eastAsia"/>
        </w:rPr>
        <w:t xml:space="preserve">重点股TickFlow样本中没有A、B级右侧标的，9只获得D级，长鑫科技因MA60缺失无法评级。</w:t>
      </w:r>
    </w:p>
    <w:p>
      <w:pPr>
        <w:pStyle w:val="Compact"/>
        <w:numPr>
          <w:ilvl w:val="0"/>
          <w:numId w:val="1018"/>
        </w:numPr>
      </w:pPr>
      <w:r>
        <w:t xml:space="preserve">💡 </w:t>
      </w:r>
      <w:r>
        <w:rPr>
          <w:rFonts w:hint="eastAsia"/>
        </w:rPr>
        <w:t xml:space="preserve">因此今天应聚焦“有政策、有资金、有趋势确认”的细分方向，不能笼统追科技成长。</w:t>
      </w:r>
    </w:p>
    <w:bookmarkEnd w:id="46"/>
    <w:bookmarkStart w:id="47" w:name="盘面路径预案"/>
    <w:p>
      <w:pPr>
        <w:pStyle w:val="Heading3"/>
      </w:pPr>
      <w:r>
        <w:rPr>
          <w:rFonts w:hint="eastAsia"/>
        </w:rPr>
        <w:t xml:space="preserve">盘面路径预案</w:t>
      </w:r>
    </w:p>
    <w:p>
      <w:pPr>
        <w:pStyle w:val="Compact"/>
        <w:numPr>
          <w:ilvl w:val="0"/>
          <w:numId w:val="1019"/>
        </w:numPr>
      </w:pPr>
      <w:r>
        <w:rPr>
          <w:rFonts w:hint="eastAsia"/>
          <w:b/>
          <w:bCs/>
        </w:rPr>
        <w:t xml:space="preserve">强势路径</w:t>
      </w:r>
      <w:r>
        <w:rPr>
          <w:rFonts w:hint="eastAsia"/>
        </w:rPr>
        <w:t xml:space="preserve">：宽基ETF继续承接，消费电子、自动化设备放量上行，核心股回踩不破后再度放量。</w:t>
      </w:r>
    </w:p>
    <w:p>
      <w:pPr>
        <w:pStyle w:val="Compact"/>
        <w:numPr>
          <w:ilvl w:val="0"/>
          <w:numId w:val="1019"/>
        </w:numPr>
      </w:pPr>
      <w:r>
        <w:rPr>
          <w:rFonts w:hint="eastAsia"/>
          <w:b/>
          <w:bCs/>
        </w:rPr>
        <w:t xml:space="preserve">震荡路径</w:t>
      </w:r>
      <w:r>
        <w:rPr>
          <w:rFonts w:hint="eastAsia"/>
        </w:rPr>
        <w:t xml:space="preserve">：指数稳定但板块快速轮动，采用35%仓位，减少追涨。</w:t>
      </w:r>
    </w:p>
    <w:p>
      <w:pPr>
        <w:pStyle w:val="Compact"/>
        <w:numPr>
          <w:ilvl w:val="0"/>
          <w:numId w:val="1019"/>
        </w:numPr>
      </w:pPr>
      <w:r>
        <w:rPr>
          <w:rFonts w:hint="eastAsia"/>
          <w:b/>
          <w:bCs/>
        </w:rPr>
        <w:t xml:space="preserve">弱势路径</w:t>
      </w:r>
      <w:r>
        <w:rPr>
          <w:rFonts w:hint="eastAsia"/>
        </w:rPr>
        <w:t xml:space="preserve">：A50高开低走、融资敏感方向继续流出、核心股跌破昨日低点，仓位降至20%以下。</w:t>
      </w:r>
    </w:p>
    <w:p>
      <w:r>
        <w:pict>
          <v:rect style="width:0;height:1.5pt" o:hralign="center" o:hrstd="t" o:hr="t"/>
        </w:pict>
      </w:r>
    </w:p>
    <w:bookmarkEnd w:id="47"/>
    <w:bookmarkEnd w:id="48"/>
    <w:bookmarkStart w:id="55" w:name="投资方向分层"/>
    <w:p>
      <w:pPr>
        <w:pStyle w:val="Heading2"/>
      </w:pPr>
      <w:r>
        <w:t xml:space="preserve">🧱 </w:t>
      </w:r>
      <w:r>
        <w:rPr>
          <w:rFonts w:hint="eastAsia"/>
        </w:rPr>
        <w:t xml:space="preserve">投资方向分层</w:t>
      </w:r>
    </w:p>
    <w:bookmarkStart w:id="49" w:name="可参与消费电子与智能硬件但只做右侧确认"/>
    <w:p>
      <w:pPr>
        <w:pStyle w:val="Heading3"/>
      </w:pPr>
      <w:r>
        <w:t xml:space="preserve">✅ </w:t>
      </w:r>
      <w:r>
        <w:rPr>
          <w:rFonts w:hint="eastAsia"/>
        </w:rPr>
        <w:t xml:space="preserve">可参与：消费电子与智能硬件，但只做右侧确认</w:t>
      </w:r>
    </w:p>
    <w:p>
      <w:pPr>
        <w:pStyle w:val="FirstParagraph"/>
      </w:pPr>
      <w:r>
        <w:rPr>
          <w:rFonts w:hint="eastAsia"/>
          <w:b/>
          <w:bCs/>
        </w:rPr>
        <w:t xml:space="preserve">证据链：</w:t>
      </w:r>
    </w:p>
    <w:p>
      <w:pPr>
        <w:pStyle w:val="Compact"/>
        <w:numPr>
          <w:ilvl w:val="0"/>
          <w:numId w:val="1020"/>
        </w:numPr>
      </w:pPr>
      <w:r>
        <w:rPr>
          <w:rFonts w:hint="eastAsia"/>
        </w:rPr>
        <w:t xml:space="preserve">消费电子主力净流入28.82亿元，位列板块流入第一。</w:t>
      </w:r>
    </w:p>
    <w:p>
      <w:pPr>
        <w:pStyle w:val="Compact"/>
        <w:numPr>
          <w:ilvl w:val="0"/>
          <w:numId w:val="1020"/>
        </w:numPr>
      </w:pPr>
      <w:r>
        <w:rPr>
          <w:rFonts w:hint="eastAsia"/>
        </w:rPr>
        <w:t xml:space="preserve">长盈精密净流入6.64亿元、超声电子4.14亿元、立讯精密3.58亿元、歌尔股份3.29亿元。</w:t>
      </w:r>
    </w:p>
    <w:p>
      <w:pPr>
        <w:pStyle w:val="Compact"/>
        <w:numPr>
          <w:ilvl w:val="0"/>
          <w:numId w:val="1020"/>
        </w:numPr>
      </w:pPr>
      <w:r>
        <w:rPr>
          <w:rFonts w:hint="eastAsia"/>
        </w:rPr>
        <w:t xml:space="preserve">上一交易日消费电子类板块上涨3.24%。</w:t>
      </w:r>
    </w:p>
    <w:p>
      <w:pPr>
        <w:pStyle w:val="Compact"/>
        <w:numPr>
          <w:ilvl w:val="0"/>
          <w:numId w:val="1020"/>
        </w:numPr>
      </w:pPr>
      <w:r>
        <w:rPr>
          <w:rFonts w:hint="eastAsia"/>
        </w:rPr>
        <w:t xml:space="preserve">广交会智能制造、服务机器人和新能源首发新品数量增长20%，提供产业侧催化。</w:t>
      </w:r>
    </w:p>
    <w:p>
      <w:pPr>
        <w:pStyle w:val="FirstParagraph"/>
      </w:pPr>
      <w:r>
        <w:rPr>
          <w:rFonts w:hint="eastAsia"/>
          <w:b/>
          <w:bCs/>
        </w:rPr>
        <w:t xml:space="preserve">核心标的：</w:t>
      </w:r>
      <w:r>
        <w:t xml:space="preserve"> </w:t>
      </w:r>
      <w:r>
        <w:rPr>
          <w:rFonts w:hint="eastAsia"/>
        </w:rPr>
        <w:t xml:space="preserve">长盈精密、立讯精密、歌尔股份、超声电子。</w:t>
      </w:r>
    </w:p>
    <w:p>
      <w:pPr>
        <w:pStyle w:val="BodyText"/>
      </w:pPr>
      <w:r>
        <w:rPr>
          <w:rFonts w:hint="eastAsia"/>
          <w:b/>
          <w:bCs/>
        </w:rPr>
        <w:t xml:space="preserve">触发条件：</w:t>
      </w:r>
    </w:p>
    <w:p>
      <w:pPr>
        <w:pStyle w:val="Compact"/>
        <w:numPr>
          <w:ilvl w:val="0"/>
          <w:numId w:val="1021"/>
        </w:numPr>
      </w:pPr>
      <w:r>
        <w:rPr>
          <w:rFonts w:hint="eastAsia"/>
        </w:rPr>
        <w:t xml:space="preserve">板块成交额继续放大；</w:t>
      </w:r>
    </w:p>
    <w:p>
      <w:pPr>
        <w:pStyle w:val="Compact"/>
        <w:numPr>
          <w:ilvl w:val="0"/>
          <w:numId w:val="1021"/>
        </w:numPr>
      </w:pPr>
      <w:r>
        <w:rPr>
          <w:rFonts w:hint="eastAsia"/>
        </w:rPr>
        <w:t xml:space="preserve">核心股不高开加速，回踩后重新放量突破；</w:t>
      </w:r>
    </w:p>
    <w:p>
      <w:pPr>
        <w:pStyle w:val="Compact"/>
        <w:numPr>
          <w:ilvl w:val="0"/>
          <w:numId w:val="1021"/>
        </w:numPr>
      </w:pPr>
      <w:r>
        <w:rPr>
          <w:rFonts w:hint="eastAsia"/>
        </w:rPr>
        <w:t xml:space="preserve">主力净流入方向没有快速反转。</w:t>
      </w:r>
    </w:p>
    <w:p>
      <w:pPr>
        <w:pStyle w:val="FirstParagraph"/>
      </w:pPr>
      <w:r>
        <w:rPr>
          <w:rFonts w:hint="eastAsia"/>
          <w:b/>
          <w:bCs/>
        </w:rPr>
        <w:t xml:space="preserve">失效条件：</w:t>
      </w:r>
    </w:p>
    <w:p>
      <w:pPr>
        <w:pStyle w:val="Compact"/>
        <w:numPr>
          <w:ilvl w:val="0"/>
          <w:numId w:val="1022"/>
        </w:numPr>
      </w:pPr>
      <w:r>
        <w:rPr>
          <w:rFonts w:hint="eastAsia"/>
        </w:rPr>
        <w:t xml:space="preserve">高开后放量跌破开盘价；</w:t>
      </w:r>
    </w:p>
    <w:p>
      <w:pPr>
        <w:pStyle w:val="Compact"/>
        <w:numPr>
          <w:ilvl w:val="0"/>
          <w:numId w:val="1022"/>
        </w:numPr>
      </w:pPr>
      <w:r>
        <w:rPr>
          <w:rFonts w:hint="eastAsia"/>
        </w:rPr>
        <w:t xml:space="preserve">板块冲高回落且核心股同步转弱；</w:t>
      </w:r>
    </w:p>
    <w:p>
      <w:pPr>
        <w:pStyle w:val="Compact"/>
        <w:numPr>
          <w:ilvl w:val="0"/>
          <w:numId w:val="1022"/>
        </w:numPr>
      </w:pPr>
      <w:r>
        <w:rPr>
          <w:rFonts w:hint="eastAsia"/>
        </w:rPr>
        <w:t xml:space="preserve">仅有单只题材股上涨，未形成板块扩散。</w:t>
      </w:r>
    </w:p>
    <w:bookmarkEnd w:id="49"/>
    <w:bookmarkStart w:id="50" w:name="可参与自动化设备机器人与通用设备"/>
    <w:p>
      <w:pPr>
        <w:pStyle w:val="Heading3"/>
      </w:pPr>
      <w:r>
        <w:t xml:space="preserve">✅ </w:t>
      </w:r>
      <w:r>
        <w:rPr>
          <w:rFonts w:hint="eastAsia"/>
        </w:rPr>
        <w:t xml:space="preserve">可参与：自动化设备、机器人与通用设备</w:t>
      </w:r>
    </w:p>
    <w:p>
      <w:pPr>
        <w:pStyle w:val="FirstParagraph"/>
      </w:pPr>
      <w:r>
        <w:rPr>
          <w:rFonts w:hint="eastAsia"/>
          <w:b/>
          <w:bCs/>
        </w:rPr>
        <w:t xml:space="preserve">证据链：</w:t>
      </w:r>
    </w:p>
    <w:p>
      <w:pPr>
        <w:pStyle w:val="Compact"/>
        <w:numPr>
          <w:ilvl w:val="0"/>
          <w:numId w:val="1023"/>
        </w:numPr>
      </w:pPr>
      <w:r>
        <w:rPr>
          <w:rFonts w:hint="eastAsia"/>
        </w:rPr>
        <w:t xml:space="preserve">自动化设备净流入14.32亿元，通用设备净流入3.92亿元，工程机械净流入3.94亿元。</w:t>
      </w:r>
    </w:p>
    <w:p>
      <w:pPr>
        <w:pStyle w:val="Compact"/>
        <w:numPr>
          <w:ilvl w:val="0"/>
          <w:numId w:val="1023"/>
        </w:numPr>
      </w:pPr>
      <w:r>
        <w:rPr>
          <w:rFonts w:hint="eastAsia"/>
        </w:rPr>
        <w:t xml:space="preserve">新闻联播明确智能制造、重大技术改造和设备更新方向。</w:t>
      </w:r>
    </w:p>
    <w:p>
      <w:pPr>
        <w:pStyle w:val="Compact"/>
        <w:numPr>
          <w:ilvl w:val="0"/>
          <w:numId w:val="1023"/>
        </w:numPr>
      </w:pPr>
      <w:r>
        <w:rPr>
          <w:rFonts w:hint="eastAsia"/>
        </w:rPr>
        <w:t xml:space="preserve">绿的谐波主力净流入3.44亿元。</w:t>
      </w:r>
    </w:p>
    <w:p>
      <w:pPr>
        <w:pStyle w:val="FirstParagraph"/>
      </w:pPr>
      <w:r>
        <w:rPr>
          <w:rFonts w:hint="eastAsia"/>
          <w:b/>
          <w:bCs/>
        </w:rPr>
        <w:t xml:space="preserve">核心标的：</w:t>
      </w:r>
      <w:r>
        <w:t xml:space="preserve"> </w:t>
      </w:r>
      <w:r>
        <w:rPr>
          <w:rFonts w:hint="eastAsia"/>
        </w:rPr>
        <w:t xml:space="preserve">绿的谐波；其余个股因本轮缺少右侧技术评级，只能盘中筛选。</w:t>
      </w:r>
    </w:p>
    <w:p>
      <w:pPr>
        <w:pStyle w:val="BodyText"/>
      </w:pPr>
      <w:r>
        <w:rPr>
          <w:rFonts w:hint="eastAsia"/>
          <w:b/>
          <w:bCs/>
        </w:rPr>
        <w:t xml:space="preserve">触发条件：</w:t>
      </w:r>
      <w:r>
        <w:t xml:space="preserve"> </w:t>
      </w:r>
      <w:r>
        <w:rPr>
          <w:rFonts w:hint="eastAsia"/>
        </w:rPr>
        <w:t xml:space="preserve">板块指数放量、核心中军站稳开盘区间并出现回踩承接。</w:t>
      </w:r>
    </w:p>
    <w:p>
      <w:pPr>
        <w:pStyle w:val="BodyText"/>
      </w:pPr>
      <w:r>
        <w:rPr>
          <w:rFonts w:hint="eastAsia"/>
          <w:b/>
          <w:bCs/>
        </w:rPr>
        <w:t xml:space="preserve">失效条件：</w:t>
      </w:r>
      <w:r>
        <w:t xml:space="preserve"> </w:t>
      </w:r>
      <w:r>
        <w:rPr>
          <w:rFonts w:hint="eastAsia"/>
        </w:rPr>
        <w:t xml:space="preserve">机器人概念高开低走，或成交额缩减且仅小市值个股脉冲。</w:t>
      </w:r>
    </w:p>
    <w:bookmarkEnd w:id="50"/>
    <w:bookmarkStart w:id="51" w:name="只观察数据要素算力基础设施和数据安全"/>
    <w:p>
      <w:pPr>
        <w:pStyle w:val="Heading3"/>
      </w:pPr>
      <w:r>
        <w:t xml:space="preserve">👀 </w:t>
      </w:r>
      <w:r>
        <w:rPr>
          <w:rFonts w:hint="eastAsia"/>
        </w:rPr>
        <w:t xml:space="preserve">只观察：数据要素、算力基础设施和数据安全</w:t>
      </w:r>
    </w:p>
    <w:p>
      <w:pPr>
        <w:pStyle w:val="FirstParagraph"/>
      </w:pPr>
      <w:r>
        <w:rPr>
          <w:rFonts w:hint="eastAsia"/>
          <w:b/>
          <w:bCs/>
        </w:rPr>
        <w:t xml:space="preserve">证据链：</w:t>
      </w:r>
    </w:p>
    <w:p>
      <w:pPr>
        <w:pStyle w:val="Compact"/>
        <w:numPr>
          <w:ilvl w:val="0"/>
          <w:numId w:val="1024"/>
        </w:numPr>
      </w:pPr>
      <w:r>
        <w:rPr>
          <w:rFonts w:hint="eastAsia"/>
        </w:rPr>
        <w:t xml:space="preserve">国家数据集团成立，政策级别高。</w:t>
      </w:r>
    </w:p>
    <w:p>
      <w:pPr>
        <w:pStyle w:val="Compact"/>
        <w:numPr>
          <w:ilvl w:val="0"/>
          <w:numId w:val="1024"/>
        </w:numPr>
      </w:pPr>
      <w:r>
        <w:rPr>
          <w:rFonts w:hint="eastAsia"/>
        </w:rPr>
        <w:t xml:space="preserve">工信领域同时强调算力扩容、人工智能与制造业融合。</w:t>
      </w:r>
    </w:p>
    <w:p>
      <w:pPr>
        <w:pStyle w:val="Compact"/>
        <w:numPr>
          <w:ilvl w:val="0"/>
          <w:numId w:val="1024"/>
        </w:numPr>
      </w:pPr>
      <w:r>
        <w:rPr>
          <w:rFonts w:hint="eastAsia"/>
        </w:rPr>
        <w:t xml:space="preserve">软件开发和互联网服务上一交易日分别上涨2.75%和2.61%。</w:t>
      </w:r>
    </w:p>
    <w:p>
      <w:pPr>
        <w:pStyle w:val="FirstParagraph"/>
      </w:pPr>
      <w:r>
        <w:rPr>
          <w:rFonts w:hint="eastAsia"/>
          <w:b/>
          <w:bCs/>
        </w:rPr>
        <w:t xml:space="preserve">核心标的：</w:t>
      </w:r>
      <w:r>
        <w:t xml:space="preserve"> </w:t>
      </w:r>
      <w:r>
        <w:rPr>
          <w:rFonts w:hint="eastAsia"/>
        </w:rPr>
        <w:t xml:space="preserve">南威软件仅作为风险观察样本；其已发布异常波动公告，不作为追涨标的。</w:t>
      </w:r>
    </w:p>
    <w:p>
      <w:pPr>
        <w:pStyle w:val="BodyText"/>
      </w:pPr>
      <w:r>
        <w:rPr>
          <w:rFonts w:hint="eastAsia"/>
          <w:b/>
          <w:bCs/>
        </w:rPr>
        <w:t xml:space="preserve">触发条件：</w:t>
      </w:r>
      <w:r>
        <w:t xml:space="preserve"> </w:t>
      </w:r>
      <w:r>
        <w:rPr>
          <w:rFonts w:hint="eastAsia"/>
        </w:rPr>
        <w:t xml:space="preserve">板块形成成交额扩散，核心中军站稳MA20，且资金从题材股扩散至基础设施和安全环节。</w:t>
      </w:r>
    </w:p>
    <w:p>
      <w:pPr>
        <w:pStyle w:val="BodyText"/>
      </w:pPr>
      <w:r>
        <w:rPr>
          <w:rFonts w:hint="eastAsia"/>
          <w:b/>
          <w:bCs/>
        </w:rPr>
        <w:t xml:space="preserve">失效条件：</w:t>
      </w:r>
      <w:r>
        <w:t xml:space="preserve"> </w:t>
      </w:r>
      <w:r>
        <w:rPr>
          <w:rFonts w:hint="eastAsia"/>
        </w:rPr>
        <w:t xml:space="preserve">一字或大幅高开后炸板、后排快速掉队、政策题材无业绩和订单承接。</w:t>
      </w:r>
    </w:p>
    <w:bookmarkEnd w:id="51"/>
    <w:bookmarkStart w:id="52" w:name="只观察医疗服务与创新药服务链"/>
    <w:p>
      <w:pPr>
        <w:pStyle w:val="Heading3"/>
      </w:pPr>
      <w:r>
        <w:t xml:space="preserve">👀 </w:t>
      </w:r>
      <w:r>
        <w:rPr>
          <w:rFonts w:hint="eastAsia"/>
        </w:rPr>
        <w:t xml:space="preserve">只观察：医疗服务与创新药服务链</w:t>
      </w:r>
    </w:p>
    <w:p>
      <w:pPr>
        <w:pStyle w:val="FirstParagraph"/>
      </w:pPr>
      <w:r>
        <w:rPr>
          <w:rFonts w:hint="eastAsia"/>
          <w:b/>
          <w:bCs/>
        </w:rPr>
        <w:t xml:space="preserve">证据链：</w:t>
      </w:r>
    </w:p>
    <w:p>
      <w:pPr>
        <w:pStyle w:val="Compact"/>
        <w:numPr>
          <w:ilvl w:val="0"/>
          <w:numId w:val="1025"/>
        </w:numPr>
      </w:pPr>
      <w:r>
        <w:rPr>
          <w:rFonts w:hint="eastAsia"/>
        </w:rPr>
        <w:t xml:space="preserve">医疗服务净流入9.94亿元，位列板块流入第三。</w:t>
      </w:r>
    </w:p>
    <w:p>
      <w:pPr>
        <w:pStyle w:val="Compact"/>
        <w:numPr>
          <w:ilvl w:val="0"/>
          <w:numId w:val="1025"/>
        </w:numPr>
      </w:pPr>
      <w:r>
        <w:rPr>
          <w:rFonts w:hint="eastAsia"/>
        </w:rPr>
        <w:t xml:space="preserve">昭衍新药净流入2.72亿元。</w:t>
      </w:r>
    </w:p>
    <w:p>
      <w:pPr>
        <w:pStyle w:val="Compact"/>
        <w:numPr>
          <w:ilvl w:val="0"/>
          <w:numId w:val="1025"/>
        </w:numPr>
      </w:pPr>
      <w:r>
        <w:rPr>
          <w:rFonts w:hint="eastAsia"/>
        </w:rPr>
        <w:t xml:space="preserve">医疗服务上一交易日上涨2.82%。</w:t>
      </w:r>
    </w:p>
    <w:p>
      <w:pPr>
        <w:pStyle w:val="FirstParagraph"/>
      </w:pPr>
      <w:r>
        <w:rPr>
          <w:rFonts w:hint="eastAsia"/>
          <w:b/>
          <w:bCs/>
        </w:rPr>
        <w:t xml:space="preserve">触发条件：</w:t>
      </w:r>
      <w:r>
        <w:t xml:space="preserve"> </w:t>
      </w:r>
      <w:r>
        <w:rPr>
          <w:rFonts w:hint="eastAsia"/>
        </w:rPr>
        <w:t xml:space="preserve">医疗服务保持资金净流入，核心股放量站稳前高。</w:t>
      </w:r>
    </w:p>
    <w:p>
      <w:pPr>
        <w:pStyle w:val="BodyText"/>
      </w:pPr>
      <w:r>
        <w:rPr>
          <w:rFonts w:hint="eastAsia"/>
          <w:b/>
          <w:bCs/>
        </w:rPr>
        <w:t xml:space="preserve">失效条件：</w:t>
      </w:r>
      <w:r>
        <w:t xml:space="preserve"> </w:t>
      </w:r>
      <w:r>
        <w:rPr>
          <w:rFonts w:hint="eastAsia"/>
        </w:rPr>
        <w:t xml:space="preserve">板块放量滞涨或资金转为净流出。</w:t>
      </w:r>
    </w:p>
    <w:bookmarkEnd w:id="52"/>
    <w:bookmarkStart w:id="53" w:name="应回避半导体光模块高成交破位股"/>
    <w:p>
      <w:pPr>
        <w:pStyle w:val="Heading3"/>
      </w:pPr>
      <w:r>
        <w:t xml:space="preserve">⛔ </w:t>
      </w:r>
      <w:r>
        <w:rPr>
          <w:rFonts w:hint="eastAsia"/>
        </w:rPr>
        <w:t xml:space="preserve">应回避：半导体、光模块高成交破位股</w:t>
      </w:r>
    </w:p>
    <w:p>
      <w:pPr>
        <w:pStyle w:val="FirstParagraph"/>
      </w:pPr>
      <w:r>
        <w:rPr>
          <w:rFonts w:hint="eastAsia"/>
          <w:b/>
          <w:bCs/>
        </w:rPr>
        <w:t xml:space="preserve">证据链：</w:t>
      </w:r>
    </w:p>
    <w:p>
      <w:pPr>
        <w:pStyle w:val="Compact"/>
        <w:numPr>
          <w:ilvl w:val="0"/>
          <w:numId w:val="1026"/>
        </w:numPr>
      </w:pPr>
      <w:r>
        <w:rPr>
          <w:rFonts w:hint="eastAsia"/>
        </w:rPr>
        <w:t xml:space="preserve">半导体主力净流出19.29亿元。</w:t>
      </w:r>
    </w:p>
    <w:p>
      <w:pPr>
        <w:pStyle w:val="Compact"/>
        <w:numPr>
          <w:ilvl w:val="0"/>
          <w:numId w:val="1026"/>
        </w:numPr>
      </w:pPr>
      <w:r>
        <w:rPr>
          <w:rFonts w:hint="eastAsia"/>
        </w:rPr>
        <w:t xml:space="preserve">中际旭创净流出83.16亿元、新易盛净流出58.97亿元、寒武纪净流出52.39亿元、兆易创新净流出25.63亿元。</w:t>
      </w:r>
    </w:p>
    <w:p>
      <w:pPr>
        <w:pStyle w:val="Compact"/>
        <w:numPr>
          <w:ilvl w:val="0"/>
          <w:numId w:val="1026"/>
        </w:numPr>
      </w:pPr>
      <w:r>
        <w:rPr>
          <w:rFonts w:hint="eastAsia"/>
        </w:rPr>
        <w:t xml:space="preserve">TickFlow技术评级中，上述个股均为D级趋势破位。</w:t>
      </w:r>
    </w:p>
    <w:p>
      <w:pPr>
        <w:pStyle w:val="Compact"/>
        <w:numPr>
          <w:ilvl w:val="0"/>
          <w:numId w:val="1026"/>
        </w:numPr>
      </w:pPr>
      <w:r>
        <w:rPr>
          <w:rFonts w:hint="eastAsia"/>
        </w:rPr>
        <w:t xml:space="preserve">美股半导体隔夜只有台积电上涨，其余4只核心股收跌。</w:t>
      </w:r>
    </w:p>
    <w:p>
      <w:pPr>
        <w:pStyle w:val="FirstParagraph"/>
      </w:pPr>
      <w:r>
        <w:rPr>
          <w:rFonts w:hint="eastAsia"/>
          <w:b/>
          <w:bCs/>
        </w:rPr>
        <w:t xml:space="preserve">恢复条件：</w:t>
      </w:r>
      <w:r>
        <w:t xml:space="preserve"> </w:t>
      </w:r>
      <w:r>
        <w:rPr>
          <w:rFonts w:hint="eastAsia"/>
        </w:rPr>
        <w:t xml:space="preserve">重新站上MA20与MA60，并在缩量回踩不破后放量确认。</w:t>
      </w:r>
    </w:p>
    <w:bookmarkEnd w:id="53"/>
    <w:bookmarkStart w:id="54" w:name="应回避电力设备电池证券与工业金属弱资金方向"/>
    <w:p>
      <w:pPr>
        <w:pStyle w:val="Heading3"/>
      </w:pPr>
      <w:r>
        <w:t xml:space="preserve">⛔ </w:t>
      </w:r>
      <w:r>
        <w:rPr>
          <w:rFonts w:hint="eastAsia"/>
        </w:rPr>
        <w:t xml:space="preserve">应回避：电力设备、电池、证券与工业金属弱资金方向</w:t>
      </w:r>
    </w:p>
    <w:p>
      <w:pPr>
        <w:pStyle w:val="Compact"/>
        <w:numPr>
          <w:ilvl w:val="0"/>
          <w:numId w:val="1027"/>
        </w:numPr>
      </w:pPr>
      <w:r>
        <w:rPr>
          <w:rFonts w:hint="eastAsia"/>
        </w:rPr>
        <w:t xml:space="preserve">电力设备净流出35.56亿元，电池净流出17.84亿元。</w:t>
      </w:r>
    </w:p>
    <w:p>
      <w:pPr>
        <w:pStyle w:val="Compact"/>
        <w:numPr>
          <w:ilvl w:val="0"/>
          <w:numId w:val="1027"/>
        </w:numPr>
      </w:pPr>
      <w:r>
        <w:rPr>
          <w:rFonts w:hint="eastAsia"/>
        </w:rPr>
        <w:t xml:space="preserve">非银金融净流出28.16亿元，证券Ⅱ净流出21.31亿元。</w:t>
      </w:r>
    </w:p>
    <w:p>
      <w:pPr>
        <w:pStyle w:val="Compact"/>
        <w:numPr>
          <w:ilvl w:val="0"/>
          <w:numId w:val="1027"/>
        </w:numPr>
      </w:pPr>
      <w:r>
        <w:rPr>
          <w:rFonts w:hint="eastAsia"/>
        </w:rPr>
        <w:t xml:space="preserve">工业金属净流出21.92亿元。</w:t>
      </w:r>
    </w:p>
    <w:p>
      <w:pPr>
        <w:pStyle w:val="Compact"/>
        <w:numPr>
          <w:ilvl w:val="0"/>
          <w:numId w:val="1027"/>
        </w:numPr>
      </w:pPr>
      <w:r>
        <w:rPr>
          <w:rFonts w:hint="eastAsia"/>
        </w:rPr>
        <w:t xml:space="preserve">宁德时代虽然业绩增长，但上一交易日净流出90.14亿元且技术评级为D，业绩利好不等于右侧买点。</w:t>
      </w:r>
    </w:p>
    <w:p>
      <w:r>
        <w:pict>
          <v:rect style="width:0;height:1.5pt" o:hralign="center" o:hrstd="t" o:hr="t"/>
        </w:pict>
      </w:r>
    </w:p>
    <w:bookmarkEnd w:id="54"/>
    <w:bookmarkEnd w:id="55"/>
    <w:bookmarkStart w:id="59" w:name="重点股基本面与右侧技术校验"/>
    <w:p>
      <w:pPr>
        <w:pStyle w:val="Heading2"/>
      </w:pPr>
      <w:r>
        <w:t xml:space="preserve">🔬 </w:t>
      </w:r>
      <w:r>
        <w:rPr>
          <w:rFonts w:hint="eastAsia"/>
        </w:rPr>
        <w:t xml:space="preserve">重点股基本面与右侧技术校验</w:t>
      </w:r>
    </w:p>
    <w:p>
      <w:pPr>
        <w:pStyle w:val="FirstParagraph"/>
      </w:pPr>
      <w:r>
        <w:rPr>
          <w:rFonts w:hint="eastAsia"/>
        </w:rPr>
        <w:t xml:space="preserve">TickFlow技术数据截至2026年10月19日，较上一交易日收盘滞后一日，仅作为日K技术校验，不代表2026年10月21日实时状态。</w:t>
      </w:r>
    </w:p>
    <w:bookmarkStart w:id="56" w:name="重点股技术评级15"/>
    <w:p>
      <w:pPr>
        <w:pStyle w:val="Heading3"/>
      </w:pPr>
      <w:r>
        <w:t xml:space="preserve">📉 </w:t>
      </w:r>
      <w:r>
        <w:rPr>
          <w:rFonts w:hint="eastAsia"/>
        </w:rPr>
        <w:t xml:space="preserve">重点股技术评级（1—5）</w:t>
      </w:r>
    </w:p>
    <w:tbl>
      <w:tblPr>
        <w:tblStyle w:val="Table"/>
        <w:tblW w:type="pct" w:w="5000"/>
        <w:tblLayout w:type="fixed"/>
        <w:tblLook w:firstRow="1" w:lastRow="0" w:firstColumn="0" w:lastColumn="0" w:noHBand="0" w:noVBand="0" w:val="0020"/>
      </w:tblPr>
      <w:tblGrid>
        <w:gridCol w:w="1131"/>
        <w:gridCol w:w="1131"/>
        <w:gridCol w:w="1508"/>
        <w:gridCol w:w="1508"/>
        <w:gridCol w:w="1508"/>
        <w:gridCol w:w="1131"/>
      </w:tblGrid>
      <w:tr>
        <w:trPr>
          <w:tblHeader w:val="on"/>
        </w:trPr>
        <w:tc>
          <w:tcPr/>
          <w:p>
            <w:pPr>
              <w:pStyle w:val="Compact"/>
            </w:pPr>
            <w:r>
              <w:rPr>
                <w:rFonts w:hint="eastAsia"/>
              </w:rPr>
              <w:t xml:space="preserve">股票</w:t>
            </w:r>
          </w:p>
        </w:tc>
        <w:tc>
          <w:tcPr/>
          <w:p>
            <w:pPr>
              <w:pStyle w:val="Compact"/>
            </w:pPr>
            <w:r>
              <w:rPr>
                <w:rFonts w:hint="eastAsia"/>
              </w:rPr>
              <w:t xml:space="preserve">评级</w:t>
            </w:r>
          </w:p>
        </w:tc>
        <w:tc>
          <w:tcPr/>
          <w:p>
            <w:pPr>
              <w:pStyle w:val="Compact"/>
              <w:jc w:val="right"/>
            </w:pPr>
            <w:r>
              <w:t xml:space="preserve">MA20 / MA60</w:t>
            </w:r>
          </w:p>
        </w:tc>
        <w:tc>
          <w:tcPr/>
          <w:p>
            <w:pPr>
              <w:pStyle w:val="Compact"/>
              <w:jc w:val="right"/>
            </w:pPr>
            <w:r>
              <w:rPr>
                <w:rFonts w:hint="eastAsia"/>
              </w:rPr>
              <w:t xml:space="preserve">距60日高点</w:t>
            </w:r>
          </w:p>
        </w:tc>
        <w:tc>
          <w:tcPr/>
          <w:p>
            <w:pPr>
              <w:pStyle w:val="Compact"/>
              <w:jc w:val="right"/>
            </w:pPr>
            <w:r>
              <w:rPr>
                <w:rFonts w:hint="eastAsia"/>
              </w:rPr>
              <w:t xml:space="preserve">量比</w:t>
            </w:r>
          </w:p>
        </w:tc>
        <w:tc>
          <w:tcPr/>
          <w:p>
            <w:pPr>
              <w:pStyle w:val="Compact"/>
            </w:pPr>
            <w:r>
              <w:rPr>
                <w:rFonts w:hint="eastAsia"/>
              </w:rPr>
              <w:t xml:space="preserve">行动与ATR证伪参考</w:t>
            </w:r>
          </w:p>
        </w:tc>
      </w:tr>
      <w:tr>
        <w:tc>
          <w:tcPr/>
          <w:p>
            <w:pPr>
              <w:pStyle w:val="Compact"/>
            </w:pPr>
            <w:r>
              <w:rPr>
                <w:rFonts w:hint="eastAsia"/>
              </w:rPr>
              <w:t xml:space="preserve">宁德时代</w:t>
            </w:r>
          </w:p>
        </w:tc>
        <w:tc>
          <w:tcPr/>
          <w:p>
            <w:pPr>
              <w:pStyle w:val="Compact"/>
            </w:pPr>
            <w:r>
              <w:t xml:space="preserve">D</w:t>
            </w:r>
          </w:p>
        </w:tc>
        <w:tc>
          <w:tcPr/>
          <w:p>
            <w:pPr>
              <w:pStyle w:val="Compact"/>
              <w:jc w:val="right"/>
            </w:pPr>
            <w:r>
              <w:t xml:space="preserve">295.30 / 350.60</w:t>
            </w:r>
          </w:p>
        </w:tc>
        <w:tc>
          <w:tcPr/>
          <w:p>
            <w:pPr>
              <w:pStyle w:val="Compact"/>
              <w:jc w:val="right"/>
            </w:pPr>
            <w:r>
              <w:t xml:space="preserve">-34.10%</w:t>
            </w:r>
          </w:p>
        </w:tc>
        <w:tc>
          <w:tcPr/>
          <w:p>
            <w:pPr>
              <w:pStyle w:val="Compact"/>
              <w:jc w:val="right"/>
            </w:pPr>
            <w:r>
              <w:t xml:space="preserve">0.83</w:t>
            </w:r>
          </w:p>
        </w:tc>
        <w:tc>
          <w:tcPr/>
          <w:p>
            <w:pPr>
              <w:pStyle w:val="Compact"/>
            </w:pPr>
            <w:r>
              <w:rPr>
                <w:rFonts w:hint="eastAsia"/>
              </w:rPr>
              <w:t xml:space="preserve">回避；重新站回双均线后复评，参考290.24</w:t>
            </w:r>
          </w:p>
        </w:tc>
      </w:tr>
      <w:tr>
        <w:tc>
          <w:tcPr/>
          <w:p>
            <w:pPr>
              <w:pStyle w:val="Compact"/>
            </w:pPr>
            <w:r>
              <w:rPr>
                <w:rFonts w:hint="eastAsia"/>
              </w:rPr>
              <w:t xml:space="preserve">中际旭创</w:t>
            </w:r>
          </w:p>
        </w:tc>
        <w:tc>
          <w:tcPr/>
          <w:p>
            <w:pPr>
              <w:pStyle w:val="Compact"/>
            </w:pPr>
            <w:r>
              <w:t xml:space="preserve">D</w:t>
            </w:r>
          </w:p>
        </w:tc>
        <w:tc>
          <w:tcPr/>
          <w:p>
            <w:pPr>
              <w:pStyle w:val="Compact"/>
              <w:jc w:val="right"/>
            </w:pPr>
            <w:r>
              <w:t xml:space="preserve">814.45 / 888.42</w:t>
            </w:r>
          </w:p>
        </w:tc>
        <w:tc>
          <w:tcPr/>
          <w:p>
            <w:pPr>
              <w:pStyle w:val="Compact"/>
              <w:jc w:val="right"/>
            </w:pPr>
            <w:r>
              <w:t xml:space="preserve">-41.87%</w:t>
            </w:r>
          </w:p>
        </w:tc>
        <w:tc>
          <w:tcPr/>
          <w:p>
            <w:pPr>
              <w:pStyle w:val="Compact"/>
              <w:jc w:val="right"/>
            </w:pPr>
            <w:r>
              <w:t xml:space="preserve">0.74</w:t>
            </w:r>
          </w:p>
        </w:tc>
        <w:tc>
          <w:tcPr/>
          <w:p>
            <w:pPr>
              <w:pStyle w:val="Compact"/>
            </w:pPr>
            <w:r>
              <w:rPr>
                <w:rFonts w:hint="eastAsia"/>
              </w:rPr>
              <w:t xml:space="preserve">回避；参考791.64</w:t>
            </w:r>
          </w:p>
        </w:tc>
      </w:tr>
      <w:tr>
        <w:tc>
          <w:tcPr/>
          <w:p>
            <w:pPr>
              <w:pStyle w:val="Compact"/>
            </w:pPr>
            <w:r>
              <w:rPr>
                <w:rFonts w:hint="eastAsia"/>
              </w:rPr>
              <w:t xml:space="preserve">新易盛</w:t>
            </w:r>
          </w:p>
        </w:tc>
        <w:tc>
          <w:tcPr/>
          <w:p>
            <w:pPr>
              <w:pStyle w:val="Compact"/>
            </w:pPr>
            <w:r>
              <w:t xml:space="preserve">D</w:t>
            </w:r>
          </w:p>
        </w:tc>
        <w:tc>
          <w:tcPr/>
          <w:p>
            <w:pPr>
              <w:pStyle w:val="Compact"/>
              <w:jc w:val="right"/>
            </w:pPr>
            <w:r>
              <w:t xml:space="preserve">388.54 / 414.70</w:t>
            </w:r>
          </w:p>
        </w:tc>
        <w:tc>
          <w:tcPr/>
          <w:p>
            <w:pPr>
              <w:pStyle w:val="Compact"/>
              <w:jc w:val="right"/>
            </w:pPr>
            <w:r>
              <w:t xml:space="preserve">-44.18%</w:t>
            </w:r>
          </w:p>
        </w:tc>
        <w:tc>
          <w:tcPr/>
          <w:p>
            <w:pPr>
              <w:pStyle w:val="Compact"/>
              <w:jc w:val="right"/>
            </w:pPr>
            <w:r>
              <w:t xml:space="preserve">0.84</w:t>
            </w:r>
          </w:p>
        </w:tc>
        <w:tc>
          <w:tcPr/>
          <w:p>
            <w:pPr>
              <w:pStyle w:val="Compact"/>
            </w:pPr>
            <w:r>
              <w:rPr>
                <w:rFonts w:hint="eastAsia"/>
              </w:rPr>
              <w:t xml:space="preserve">回避；参考376.58</w:t>
            </w:r>
          </w:p>
        </w:tc>
      </w:tr>
      <w:tr>
        <w:tc>
          <w:tcPr/>
          <w:p>
            <w:pPr>
              <w:pStyle w:val="Compact"/>
            </w:pPr>
            <w:r>
              <w:rPr>
                <w:rFonts w:hint="eastAsia"/>
              </w:rPr>
              <w:t xml:space="preserve">亨通光电</w:t>
            </w:r>
          </w:p>
        </w:tc>
        <w:tc>
          <w:tcPr/>
          <w:p>
            <w:pPr>
              <w:pStyle w:val="Compact"/>
            </w:pPr>
            <w:r>
              <w:t xml:space="preserve">D</w:t>
            </w:r>
          </w:p>
        </w:tc>
        <w:tc>
          <w:tcPr/>
          <w:p>
            <w:pPr>
              <w:pStyle w:val="Compact"/>
              <w:jc w:val="right"/>
            </w:pPr>
            <w:r>
              <w:t xml:space="preserve">58.93 / 59.47</w:t>
            </w:r>
          </w:p>
        </w:tc>
        <w:tc>
          <w:tcPr/>
          <w:p>
            <w:pPr>
              <w:pStyle w:val="Compact"/>
              <w:jc w:val="right"/>
            </w:pPr>
            <w:r>
              <w:t xml:space="preserve">-31.16%</w:t>
            </w:r>
          </w:p>
        </w:tc>
        <w:tc>
          <w:tcPr/>
          <w:p>
            <w:pPr>
              <w:pStyle w:val="Compact"/>
              <w:jc w:val="right"/>
            </w:pPr>
            <w:r>
              <w:t xml:space="preserve">2.03</w:t>
            </w:r>
          </w:p>
        </w:tc>
        <w:tc>
          <w:tcPr/>
          <w:p>
            <w:pPr>
              <w:pStyle w:val="Compact"/>
            </w:pPr>
            <w:r>
              <w:rPr>
                <w:rFonts w:hint="eastAsia"/>
              </w:rPr>
              <w:t xml:space="preserve">放量但趋势破位，回避；参考57.05</w:t>
            </w:r>
          </w:p>
        </w:tc>
      </w:tr>
      <w:tr>
        <w:tc>
          <w:tcPr/>
          <w:p>
            <w:pPr>
              <w:pStyle w:val="Compact"/>
            </w:pPr>
            <w:r>
              <w:rPr>
                <w:rFonts w:hint="eastAsia"/>
              </w:rPr>
              <w:t xml:space="preserve">寒武纪</w:t>
            </w:r>
          </w:p>
        </w:tc>
        <w:tc>
          <w:tcPr/>
          <w:p>
            <w:pPr>
              <w:pStyle w:val="Compact"/>
            </w:pPr>
            <w:r>
              <w:t xml:space="preserve">D</w:t>
            </w:r>
          </w:p>
        </w:tc>
        <w:tc>
          <w:tcPr/>
          <w:p>
            <w:pPr>
              <w:pStyle w:val="Compact"/>
              <w:jc w:val="right"/>
            </w:pPr>
            <w:r>
              <w:t xml:space="preserve">1027.97 / 1083.28</w:t>
            </w:r>
          </w:p>
        </w:tc>
        <w:tc>
          <w:tcPr/>
          <w:p>
            <w:pPr>
              <w:pStyle w:val="Compact"/>
              <w:jc w:val="right"/>
            </w:pPr>
            <w:r>
              <w:t xml:space="preserve">-31.22%</w:t>
            </w:r>
          </w:p>
        </w:tc>
        <w:tc>
          <w:tcPr/>
          <w:p>
            <w:pPr>
              <w:pStyle w:val="Compact"/>
              <w:jc w:val="right"/>
            </w:pPr>
            <w:r>
              <w:t xml:space="preserve">1.06</w:t>
            </w:r>
          </w:p>
        </w:tc>
        <w:tc>
          <w:tcPr/>
          <w:p>
            <w:pPr>
              <w:pStyle w:val="Compact"/>
            </w:pPr>
            <w:r>
              <w:rPr>
                <w:rFonts w:hint="eastAsia"/>
              </w:rPr>
              <w:t xml:space="preserve">回避；参考1001.54</w:t>
            </w:r>
          </w:p>
        </w:tc>
      </w:tr>
    </w:tbl>
    <w:bookmarkEnd w:id="56"/>
    <w:bookmarkStart w:id="57" w:name="重点股技术评级610"/>
    <w:p>
      <w:pPr>
        <w:pStyle w:val="Heading3"/>
      </w:pPr>
      <w:r>
        <w:t xml:space="preserve">📉 </w:t>
      </w:r>
      <w:r>
        <w:rPr>
          <w:rFonts w:hint="eastAsia"/>
        </w:rPr>
        <w:t xml:space="preserve">重点股技术评级（6—10）</w:t>
      </w:r>
    </w:p>
    <w:tbl>
      <w:tblPr>
        <w:tblStyle w:val="Table"/>
        <w:tblW w:type="pct" w:w="5000"/>
        <w:tblLayout w:type="fixed"/>
        <w:tblLook w:firstRow="1" w:lastRow="0" w:firstColumn="0" w:lastColumn="0" w:noHBand="0" w:noVBand="0" w:val="0020"/>
      </w:tblPr>
      <w:tblGrid>
        <w:gridCol w:w="1131"/>
        <w:gridCol w:w="1131"/>
        <w:gridCol w:w="1508"/>
        <w:gridCol w:w="1508"/>
        <w:gridCol w:w="1508"/>
        <w:gridCol w:w="1131"/>
      </w:tblGrid>
      <w:tr>
        <w:trPr>
          <w:tblHeader w:val="on"/>
        </w:trPr>
        <w:tc>
          <w:tcPr/>
          <w:p>
            <w:pPr>
              <w:pStyle w:val="Compact"/>
            </w:pPr>
            <w:r>
              <w:rPr>
                <w:rFonts w:hint="eastAsia"/>
              </w:rPr>
              <w:t xml:space="preserve">股票</w:t>
            </w:r>
          </w:p>
        </w:tc>
        <w:tc>
          <w:tcPr/>
          <w:p>
            <w:pPr>
              <w:pStyle w:val="Compact"/>
            </w:pPr>
            <w:r>
              <w:rPr>
                <w:rFonts w:hint="eastAsia"/>
              </w:rPr>
              <w:t xml:space="preserve">评级</w:t>
            </w:r>
          </w:p>
        </w:tc>
        <w:tc>
          <w:tcPr/>
          <w:p>
            <w:pPr>
              <w:pStyle w:val="Compact"/>
              <w:jc w:val="right"/>
            </w:pPr>
            <w:r>
              <w:t xml:space="preserve">MA20 / MA60</w:t>
            </w:r>
          </w:p>
        </w:tc>
        <w:tc>
          <w:tcPr/>
          <w:p>
            <w:pPr>
              <w:pStyle w:val="Compact"/>
              <w:jc w:val="right"/>
            </w:pPr>
            <w:r>
              <w:rPr>
                <w:rFonts w:hint="eastAsia"/>
              </w:rPr>
              <w:t xml:space="preserve">距60日高点</w:t>
            </w:r>
          </w:p>
        </w:tc>
        <w:tc>
          <w:tcPr/>
          <w:p>
            <w:pPr>
              <w:pStyle w:val="Compact"/>
              <w:jc w:val="right"/>
            </w:pPr>
            <w:r>
              <w:rPr>
                <w:rFonts w:hint="eastAsia"/>
              </w:rPr>
              <w:t xml:space="preserve">量比</w:t>
            </w:r>
          </w:p>
        </w:tc>
        <w:tc>
          <w:tcPr/>
          <w:p>
            <w:pPr>
              <w:pStyle w:val="Compact"/>
            </w:pPr>
            <w:r>
              <w:rPr>
                <w:rFonts w:hint="eastAsia"/>
              </w:rPr>
              <w:t xml:space="preserve">行动与ATR证伪参考</w:t>
            </w:r>
          </w:p>
        </w:tc>
      </w:tr>
      <w:tr>
        <w:tc>
          <w:tcPr/>
          <w:p>
            <w:pPr>
              <w:pStyle w:val="Compact"/>
            </w:pPr>
            <w:r>
              <w:rPr>
                <w:rFonts w:hint="eastAsia"/>
              </w:rPr>
              <w:t xml:space="preserve">兆易创新</w:t>
            </w:r>
          </w:p>
        </w:tc>
        <w:tc>
          <w:tcPr/>
          <w:p>
            <w:pPr>
              <w:pStyle w:val="Compact"/>
            </w:pPr>
            <w:r>
              <w:t xml:space="preserve">D</w:t>
            </w:r>
          </w:p>
        </w:tc>
        <w:tc>
          <w:tcPr/>
          <w:p>
            <w:pPr>
              <w:pStyle w:val="Compact"/>
              <w:jc w:val="right"/>
            </w:pPr>
            <w:r>
              <w:t xml:space="preserve">346.02 / 383.22</w:t>
            </w:r>
          </w:p>
        </w:tc>
        <w:tc>
          <w:tcPr/>
          <w:p>
            <w:pPr>
              <w:pStyle w:val="Compact"/>
              <w:jc w:val="right"/>
            </w:pPr>
            <w:r>
              <w:t xml:space="preserve">-40.61%</w:t>
            </w:r>
          </w:p>
        </w:tc>
        <w:tc>
          <w:tcPr/>
          <w:p>
            <w:pPr>
              <w:pStyle w:val="Compact"/>
              <w:jc w:val="right"/>
            </w:pPr>
            <w:r>
              <w:t xml:space="preserve">1.04</w:t>
            </w:r>
          </w:p>
        </w:tc>
        <w:tc>
          <w:tcPr/>
          <w:p>
            <w:pPr>
              <w:pStyle w:val="Compact"/>
            </w:pPr>
            <w:r>
              <w:rPr>
                <w:rFonts w:hint="eastAsia"/>
              </w:rPr>
              <w:t xml:space="preserve">回避；参考336.80</w:t>
            </w:r>
          </w:p>
        </w:tc>
      </w:tr>
      <w:tr>
        <w:tc>
          <w:tcPr/>
          <w:p>
            <w:pPr>
              <w:pStyle w:val="Compact"/>
            </w:pPr>
            <w:r>
              <w:rPr>
                <w:rFonts w:hint="eastAsia"/>
              </w:rPr>
              <w:t xml:space="preserve">生益科技</w:t>
            </w:r>
          </w:p>
        </w:tc>
        <w:tc>
          <w:tcPr/>
          <w:p>
            <w:pPr>
              <w:pStyle w:val="Compact"/>
            </w:pPr>
            <w:r>
              <w:t xml:space="preserve">D</w:t>
            </w:r>
          </w:p>
        </w:tc>
        <w:tc>
          <w:tcPr/>
          <w:p>
            <w:pPr>
              <w:pStyle w:val="Compact"/>
              <w:jc w:val="right"/>
            </w:pPr>
            <w:r>
              <w:t xml:space="preserve">133.56 / 132.69</w:t>
            </w:r>
          </w:p>
        </w:tc>
        <w:tc>
          <w:tcPr/>
          <w:p>
            <w:pPr>
              <w:pStyle w:val="Compact"/>
              <w:jc w:val="right"/>
            </w:pPr>
            <w:r>
              <w:t xml:space="preserve">-23.85%</w:t>
            </w:r>
          </w:p>
        </w:tc>
        <w:tc>
          <w:tcPr/>
          <w:p>
            <w:pPr>
              <w:pStyle w:val="Compact"/>
              <w:jc w:val="right"/>
            </w:pPr>
            <w:r>
              <w:t xml:space="preserve">1.20</w:t>
            </w:r>
          </w:p>
        </w:tc>
        <w:tc>
          <w:tcPr/>
          <w:p>
            <w:pPr>
              <w:pStyle w:val="Compact"/>
            </w:pPr>
            <w:r>
              <w:rPr>
                <w:rFonts w:hint="eastAsia"/>
              </w:rPr>
              <w:t xml:space="preserve">回避；参考129.25</w:t>
            </w:r>
          </w:p>
        </w:tc>
      </w:tr>
      <w:tr>
        <w:tc>
          <w:tcPr/>
          <w:p>
            <w:pPr>
              <w:pStyle w:val="Compact"/>
            </w:pPr>
            <w:r>
              <w:rPr>
                <w:rFonts w:hint="eastAsia"/>
              </w:rPr>
              <w:t xml:space="preserve">紫金矿业</w:t>
            </w:r>
          </w:p>
        </w:tc>
        <w:tc>
          <w:tcPr/>
          <w:p>
            <w:pPr>
              <w:pStyle w:val="Compact"/>
            </w:pPr>
            <w:r>
              <w:t xml:space="preserve">D</w:t>
            </w:r>
          </w:p>
        </w:tc>
        <w:tc>
          <w:tcPr/>
          <w:p>
            <w:pPr>
              <w:pStyle w:val="Compact"/>
              <w:jc w:val="right"/>
            </w:pPr>
            <w:r>
              <w:t xml:space="preserve">30.55 / 32.32</w:t>
            </w:r>
          </w:p>
        </w:tc>
        <w:tc>
          <w:tcPr/>
          <w:p>
            <w:pPr>
              <w:pStyle w:val="Compact"/>
              <w:jc w:val="right"/>
            </w:pPr>
            <w:r>
              <w:t xml:space="preserve">-15.97%</w:t>
            </w:r>
          </w:p>
        </w:tc>
        <w:tc>
          <w:tcPr/>
          <w:p>
            <w:pPr>
              <w:pStyle w:val="Compact"/>
              <w:jc w:val="right"/>
            </w:pPr>
            <w:r>
              <w:t xml:space="preserve">0.72</w:t>
            </w:r>
          </w:p>
        </w:tc>
        <w:tc>
          <w:tcPr/>
          <w:p>
            <w:pPr>
              <w:pStyle w:val="Compact"/>
            </w:pPr>
            <w:r>
              <w:rPr>
                <w:rFonts w:hint="eastAsia"/>
              </w:rPr>
              <w:t xml:space="preserve">回避；参考30.06</w:t>
            </w:r>
          </w:p>
        </w:tc>
      </w:tr>
      <w:tr>
        <w:tc>
          <w:tcPr/>
          <w:p>
            <w:pPr>
              <w:pStyle w:val="Compact"/>
            </w:pPr>
            <w:r>
              <w:rPr>
                <w:rFonts w:hint="eastAsia"/>
              </w:rPr>
              <w:t xml:space="preserve">东山精密</w:t>
            </w:r>
          </w:p>
        </w:tc>
        <w:tc>
          <w:tcPr/>
          <w:p>
            <w:pPr>
              <w:pStyle w:val="Compact"/>
            </w:pPr>
            <w:r>
              <w:t xml:space="preserve">D</w:t>
            </w:r>
          </w:p>
        </w:tc>
        <w:tc>
          <w:tcPr/>
          <w:p>
            <w:pPr>
              <w:pStyle w:val="Compact"/>
              <w:jc w:val="right"/>
            </w:pPr>
            <w:r>
              <w:t xml:space="preserve">165.04 / 184.68</w:t>
            </w:r>
          </w:p>
        </w:tc>
        <w:tc>
          <w:tcPr/>
          <w:p>
            <w:pPr>
              <w:pStyle w:val="Compact"/>
              <w:jc w:val="right"/>
            </w:pPr>
            <w:r>
              <w:t xml:space="preserve">-47.12%</w:t>
            </w:r>
          </w:p>
        </w:tc>
        <w:tc>
          <w:tcPr/>
          <w:p>
            <w:pPr>
              <w:pStyle w:val="Compact"/>
              <w:jc w:val="right"/>
            </w:pPr>
            <w:r>
              <w:t xml:space="preserve">0.73</w:t>
            </w:r>
          </w:p>
        </w:tc>
        <w:tc>
          <w:tcPr/>
          <w:p>
            <w:pPr>
              <w:pStyle w:val="Compact"/>
            </w:pPr>
            <w:r>
              <w:rPr>
                <w:rFonts w:hint="eastAsia"/>
              </w:rPr>
              <w:t xml:space="preserve">回避；参考159.86</w:t>
            </w:r>
          </w:p>
        </w:tc>
      </w:tr>
      <w:tr>
        <w:tc>
          <w:tcPr/>
          <w:p>
            <w:pPr>
              <w:pStyle w:val="Compact"/>
            </w:pPr>
            <w:r>
              <w:rPr>
                <w:rFonts w:hint="eastAsia"/>
              </w:rPr>
              <w:t xml:space="preserve">长鑫科技</w:t>
            </w:r>
          </w:p>
        </w:tc>
        <w:tc>
          <w:tcPr/>
          <w:p>
            <w:pPr>
              <w:pStyle w:val="Compact"/>
            </w:pPr>
            <w:r>
              <w:rPr>
                <w:rFonts w:hint="eastAsia"/>
              </w:rPr>
              <w:t xml:space="preserve">数据不足，暂不评级</w:t>
            </w:r>
          </w:p>
        </w:tc>
        <w:tc>
          <w:tcPr/>
          <w:p>
            <w:pPr>
              <w:pStyle w:val="Compact"/>
              <w:jc w:val="right"/>
            </w:pPr>
            <w:r>
              <w:rPr>
                <w:rFonts w:hint="eastAsia"/>
              </w:rPr>
              <w:t xml:space="preserve">MA60缺失</w:t>
            </w:r>
          </w:p>
        </w:tc>
        <w:tc>
          <w:tcPr/>
          <w:p>
            <w:pPr>
              <w:pStyle w:val="Compact"/>
              <w:jc w:val="right"/>
            </w:pPr>
            <w:r>
              <w:rPr>
                <w:rFonts w:hint="eastAsia"/>
              </w:rPr>
              <w:t xml:space="preserve">数据源缺失，不估算</w:t>
            </w:r>
          </w:p>
        </w:tc>
        <w:tc>
          <w:tcPr/>
          <w:p>
            <w:pPr>
              <w:pStyle w:val="Compact"/>
              <w:jc w:val="right"/>
            </w:pPr>
            <w:r>
              <w:t xml:space="preserve">1.25</w:t>
            </w:r>
          </w:p>
        </w:tc>
        <w:tc>
          <w:tcPr/>
          <w:p>
            <w:pPr>
              <w:pStyle w:val="Compact"/>
            </w:pPr>
            <w:r>
              <w:rPr>
                <w:rFonts w:hint="eastAsia"/>
              </w:rPr>
              <w:t xml:space="preserve">指标不足，不做技术判断</w:t>
            </w:r>
          </w:p>
        </w:tc>
      </w:tr>
    </w:tbl>
    <w:p>
      <w:pPr>
        <w:pStyle w:val="BodyText"/>
      </w:pPr>
      <w:r>
        <w:rPr>
          <w:rFonts w:hint="eastAsia"/>
        </w:rPr>
        <w:t xml:space="preserve">D级标的统一执行“回避、等待重新站回MA20和MA60后复评”。即使盘中反弹，也不能把超跌反弹误判为右侧趋势反转。</w:t>
      </w:r>
    </w:p>
    <w:bookmarkEnd w:id="57"/>
    <w:bookmarkStart w:id="58" w:name="基本面与估值交叉观察"/>
    <w:p>
      <w:pPr>
        <w:pStyle w:val="Heading3"/>
      </w:pPr>
      <w:r>
        <w:t xml:space="preserve">🧾 </w:t>
      </w:r>
      <w:r>
        <w:rPr>
          <w:rFonts w:hint="eastAsia"/>
        </w:rPr>
        <w:t xml:space="preserve">基本面与估值交叉观察</w:t>
      </w:r>
    </w:p>
    <w:p>
      <w:pPr>
        <w:pStyle w:val="Compact"/>
        <w:numPr>
          <w:ilvl w:val="0"/>
          <w:numId w:val="1028"/>
        </w:numPr>
      </w:pPr>
      <w:r>
        <w:rPr>
          <w:rFonts w:hint="eastAsia"/>
          <w:b/>
          <w:bCs/>
        </w:rPr>
        <w:t xml:space="preserve">宁德时代</w:t>
      </w:r>
      <w:r>
        <w:rPr>
          <w:rFonts w:hint="eastAsia"/>
        </w:rPr>
        <w:t xml:space="preserve">：2026年三季报营收同比增长56.19%、净利润同比增长32.89%、ROE</w:t>
      </w:r>
      <w:r>
        <w:t xml:space="preserve"> </w:t>
      </w:r>
      <w:r>
        <w:rPr>
          <w:rFonts w:hint="eastAsia"/>
        </w:rPr>
        <w:t xml:space="preserve">17.64%；10月20日PE</w:t>
      </w:r>
      <w:r>
        <w:t xml:space="preserve"> </w:t>
      </w:r>
      <w:r>
        <w:rPr>
          <w:rFonts w:hint="eastAsia"/>
        </w:rPr>
        <w:t xml:space="preserve">14.10倍、PB</w:t>
      </w:r>
      <w:r>
        <w:t xml:space="preserve"> </w:t>
      </w:r>
      <w:r>
        <w:rPr>
          <w:rFonts w:hint="eastAsia"/>
        </w:rPr>
        <w:t xml:space="preserve">3.099倍、换手率1.381%。基本面有支撑，但技术破位且单日净流出90.14亿元。</w:t>
      </w:r>
    </w:p>
    <w:p>
      <w:pPr>
        <w:pStyle w:val="Compact"/>
        <w:numPr>
          <w:ilvl w:val="0"/>
          <w:numId w:val="1028"/>
        </w:numPr>
      </w:pPr>
      <w:r>
        <w:rPr>
          <w:rFonts w:hint="eastAsia"/>
          <w:b/>
          <w:bCs/>
        </w:rPr>
        <w:t xml:space="preserve">中际旭创</w:t>
      </w:r>
      <w:r>
        <w:rPr>
          <w:rFonts w:hint="eastAsia"/>
        </w:rPr>
        <w:t xml:space="preserve">：2026年中报营收同比增长182.5%、净利润同比增长247.3%、ROE</w:t>
      </w:r>
      <w:r>
        <w:t xml:space="preserve"> </w:t>
      </w:r>
      <w:r>
        <w:rPr>
          <w:rFonts w:hint="eastAsia"/>
        </w:rPr>
        <w:t xml:space="preserve">37.62%；PE</w:t>
      </w:r>
      <w:r>
        <w:t xml:space="preserve"> </w:t>
      </w:r>
      <w:r>
        <w:rPr>
          <w:rFonts w:hint="eastAsia"/>
        </w:rPr>
        <w:t xml:space="preserve">37.31倍、PB</w:t>
      </w:r>
      <w:r>
        <w:t xml:space="preserve"> </w:t>
      </w:r>
      <w:r>
        <w:rPr>
          <w:rFonts w:hint="eastAsia"/>
        </w:rPr>
        <w:t xml:space="preserve">19.15倍。业绩高增，但估值和技术波动风险均高。</w:t>
      </w:r>
    </w:p>
    <w:p>
      <w:pPr>
        <w:pStyle w:val="Compact"/>
        <w:numPr>
          <w:ilvl w:val="0"/>
          <w:numId w:val="1028"/>
        </w:numPr>
      </w:pPr>
      <w:r>
        <w:rPr>
          <w:rFonts w:hint="eastAsia"/>
          <w:b/>
          <w:bCs/>
        </w:rPr>
        <w:t xml:space="preserve">新易盛</w:t>
      </w:r>
      <w:r>
        <w:rPr>
          <w:rFonts w:hint="eastAsia"/>
        </w:rPr>
        <w:t xml:space="preserve">：2026年中报营收同比增长100.3%、净利润同比增长91.93%、ROE</w:t>
      </w:r>
      <w:r>
        <w:t xml:space="preserve"> </w:t>
      </w:r>
      <w:r>
        <w:rPr>
          <w:rFonts w:hint="eastAsia"/>
        </w:rPr>
        <w:t xml:space="preserve">34.86%；PE</w:t>
      </w:r>
      <w:r>
        <w:t xml:space="preserve"> </w:t>
      </w:r>
      <w:r>
        <w:rPr>
          <w:rFonts w:hint="eastAsia"/>
        </w:rPr>
        <w:t xml:space="preserve">31.70倍、PB</w:t>
      </w:r>
      <w:r>
        <w:t xml:space="preserve"> </w:t>
      </w:r>
      <w:r>
        <w:rPr>
          <w:rFonts w:hint="eastAsia"/>
        </w:rPr>
        <w:t xml:space="preserve">17.12倍。当前仍是D级，不能因业绩增速追反弹。</w:t>
      </w:r>
    </w:p>
    <w:p>
      <w:pPr>
        <w:pStyle w:val="Compact"/>
        <w:numPr>
          <w:ilvl w:val="0"/>
          <w:numId w:val="1028"/>
        </w:numPr>
      </w:pPr>
      <w:r>
        <w:rPr>
          <w:rFonts w:hint="eastAsia"/>
          <w:b/>
          <w:bCs/>
        </w:rPr>
        <w:t xml:space="preserve">亨通光电</w:t>
      </w:r>
      <w:r>
        <w:rPr>
          <w:rFonts w:hint="eastAsia"/>
        </w:rPr>
        <w:t xml:space="preserve">：2026年中报营收同比增长31.13%、净利润同比增长88.75%；PE</w:t>
      </w:r>
      <w:r>
        <w:t xml:space="preserve"> </w:t>
      </w:r>
      <w:r>
        <w:rPr>
          <w:rFonts w:hint="eastAsia"/>
        </w:rPr>
        <w:t xml:space="preserve">30.67倍，换手率8.663%，交易拥挤度相对更高。</w:t>
      </w:r>
    </w:p>
    <w:p>
      <w:pPr>
        <w:pStyle w:val="Compact"/>
        <w:numPr>
          <w:ilvl w:val="0"/>
          <w:numId w:val="1028"/>
        </w:numPr>
      </w:pPr>
      <w:r>
        <w:rPr>
          <w:rFonts w:hint="eastAsia"/>
          <w:b/>
          <w:bCs/>
        </w:rPr>
        <w:t xml:space="preserve">长鑫科技</w:t>
      </w:r>
      <w:r>
        <w:rPr>
          <w:rFonts w:hint="eastAsia"/>
        </w:rPr>
        <w:t xml:space="preserve">：mx-data显示PE</w:t>
      </w:r>
      <w:r>
        <w:t xml:space="preserve"> </w:t>
      </w:r>
      <w:r>
        <w:rPr>
          <w:rFonts w:hint="eastAsia"/>
        </w:rPr>
        <w:t xml:space="preserve">33.46倍、PB</w:t>
      </w:r>
      <w:r>
        <w:t xml:space="preserve"> </w:t>
      </w:r>
      <w:r>
        <w:rPr>
          <w:rFonts w:hint="eastAsia"/>
        </w:rPr>
        <w:t xml:space="preserve">20.32倍、换手率7.923%；但TickFlow缺少MA60且financial_rigor未给出通过结论，不据此形成买入评级。</w:t>
      </w:r>
    </w:p>
    <w:p>
      <w:r>
        <w:pict>
          <v:rect style="width:0;height:1.5pt" o:hralign="center" o:hrstd="t" o:hr="t"/>
        </w:pict>
      </w:r>
    </w:p>
    <w:bookmarkEnd w:id="58"/>
    <w:bookmarkEnd w:id="59"/>
    <w:bookmarkStart w:id="63" w:name="今日操作策略"/>
    <w:p>
      <w:pPr>
        <w:pStyle w:val="Heading2"/>
      </w:pPr>
      <w:r>
        <w:t xml:space="preserve">💡 </w:t>
      </w:r>
      <w:r>
        <w:rPr>
          <w:rFonts w:hint="eastAsia"/>
        </w:rPr>
        <w:t xml:space="preserve">今日操作策略</w:t>
      </w:r>
    </w:p>
    <w:bookmarkStart w:id="60" w:name="保守档2035"/>
    <w:p>
      <w:pPr>
        <w:pStyle w:val="Heading3"/>
      </w:pPr>
      <w:r>
        <w:t xml:space="preserve">🛡️ </w:t>
      </w:r>
      <w:r>
        <w:rPr>
          <w:rFonts w:hint="eastAsia"/>
        </w:rPr>
        <w:t xml:space="preserve">保守档：20%—35%</w:t>
      </w:r>
    </w:p>
    <w:p>
      <w:pPr>
        <w:pStyle w:val="FirstParagraph"/>
      </w:pPr>
      <w:r>
        <w:rPr>
          <w:rFonts w:hint="eastAsia"/>
        </w:rPr>
        <w:t xml:space="preserve">适用条件：</w:t>
      </w:r>
    </w:p>
    <w:p>
      <w:pPr>
        <w:pStyle w:val="Compact"/>
        <w:numPr>
          <w:ilvl w:val="0"/>
          <w:numId w:val="1029"/>
        </w:numPr>
      </w:pPr>
      <w:r>
        <w:rPr>
          <w:rFonts w:hint="eastAsia"/>
        </w:rPr>
        <w:t xml:space="preserve">指数低开或高开低走；</w:t>
      </w:r>
    </w:p>
    <w:p>
      <w:pPr>
        <w:pStyle w:val="Compact"/>
        <w:numPr>
          <w:ilvl w:val="0"/>
          <w:numId w:val="1029"/>
        </w:numPr>
      </w:pPr>
      <w:r>
        <w:rPr>
          <w:rFonts w:hint="eastAsia"/>
        </w:rPr>
        <w:t xml:space="preserve">数据、机器人等政策题材冲高回落；</w:t>
      </w:r>
    </w:p>
    <w:p>
      <w:pPr>
        <w:pStyle w:val="Compact"/>
        <w:numPr>
          <w:ilvl w:val="0"/>
          <w:numId w:val="1029"/>
        </w:numPr>
      </w:pPr>
      <w:r>
        <w:rPr>
          <w:rFonts w:hint="eastAsia"/>
        </w:rPr>
        <w:t xml:space="preserve">宽基ETF承接减弱；</w:t>
      </w:r>
    </w:p>
    <w:p>
      <w:pPr>
        <w:pStyle w:val="Compact"/>
        <w:numPr>
          <w:ilvl w:val="0"/>
          <w:numId w:val="1029"/>
        </w:numPr>
      </w:pPr>
      <w:r>
        <w:rPr>
          <w:rFonts w:hint="eastAsia"/>
        </w:rPr>
        <w:t xml:space="preserve">核心成交额个股继续出现大额抛压。</w:t>
      </w:r>
    </w:p>
    <w:p>
      <w:pPr>
        <w:pStyle w:val="FirstParagraph"/>
      </w:pPr>
      <w:r>
        <w:rPr>
          <w:rFonts w:hint="eastAsia"/>
        </w:rPr>
        <w:t xml:space="preserve">执行方式：</w:t>
      </w:r>
    </w:p>
    <w:p>
      <w:pPr>
        <w:pStyle w:val="Compact"/>
        <w:numPr>
          <w:ilvl w:val="0"/>
          <w:numId w:val="1030"/>
        </w:numPr>
      </w:pPr>
      <w:r>
        <w:rPr>
          <w:rFonts w:hint="eastAsia"/>
        </w:rPr>
        <w:t xml:space="preserve">只保留确定性底仓；</w:t>
      </w:r>
    </w:p>
    <w:p>
      <w:pPr>
        <w:pStyle w:val="Compact"/>
        <w:numPr>
          <w:ilvl w:val="0"/>
          <w:numId w:val="1030"/>
        </w:numPr>
      </w:pPr>
      <w:r>
        <w:rPr>
          <w:rFonts w:hint="eastAsia"/>
        </w:rPr>
        <w:t xml:space="preserve">不参与D级破位股反弹；</w:t>
      </w:r>
    </w:p>
    <w:p>
      <w:pPr>
        <w:pStyle w:val="Compact"/>
        <w:numPr>
          <w:ilvl w:val="0"/>
          <w:numId w:val="1030"/>
        </w:numPr>
      </w:pPr>
      <w:r>
        <w:rPr>
          <w:rFonts w:hint="eastAsia"/>
        </w:rPr>
        <w:t xml:space="preserve">新开仓单一方向不超过10%。</w:t>
      </w:r>
    </w:p>
    <w:bookmarkEnd w:id="60"/>
    <w:bookmarkStart w:id="61" w:name="均衡档3550"/>
    <w:p>
      <w:pPr>
        <w:pStyle w:val="Heading3"/>
      </w:pPr>
      <w:r>
        <w:t xml:space="preserve">⚖️ </w:t>
      </w:r>
      <w:r>
        <w:rPr>
          <w:rFonts w:hint="eastAsia"/>
        </w:rPr>
        <w:t xml:space="preserve">均衡档：35%—50%</w:t>
      </w:r>
    </w:p>
    <w:p>
      <w:pPr>
        <w:pStyle w:val="FirstParagraph"/>
      </w:pPr>
      <w:r>
        <w:rPr>
          <w:rFonts w:hint="eastAsia"/>
        </w:rPr>
        <w:t xml:space="preserve">适用条件：</w:t>
      </w:r>
    </w:p>
    <w:p>
      <w:pPr>
        <w:pStyle w:val="Compact"/>
        <w:numPr>
          <w:ilvl w:val="0"/>
          <w:numId w:val="1031"/>
        </w:numPr>
      </w:pPr>
      <w:r>
        <w:rPr>
          <w:rFonts w:hint="eastAsia"/>
        </w:rPr>
        <w:t xml:space="preserve">上证指数维持稳定；</w:t>
      </w:r>
    </w:p>
    <w:p>
      <w:pPr>
        <w:pStyle w:val="Compact"/>
        <w:numPr>
          <w:ilvl w:val="0"/>
          <w:numId w:val="1031"/>
        </w:numPr>
      </w:pPr>
      <w:r>
        <w:rPr>
          <w:rFonts w:hint="eastAsia"/>
        </w:rPr>
        <w:t xml:space="preserve">消费电子、自动化设备至少一个方向放量；</w:t>
      </w:r>
    </w:p>
    <w:p>
      <w:pPr>
        <w:pStyle w:val="Compact"/>
        <w:numPr>
          <w:ilvl w:val="0"/>
          <w:numId w:val="1031"/>
        </w:numPr>
      </w:pPr>
      <w:r>
        <w:rPr>
          <w:rFonts w:hint="eastAsia"/>
        </w:rPr>
        <w:t xml:space="preserve">核心股回踩有承接；</w:t>
      </w:r>
    </w:p>
    <w:p>
      <w:pPr>
        <w:pStyle w:val="Compact"/>
        <w:numPr>
          <w:ilvl w:val="0"/>
          <w:numId w:val="1031"/>
        </w:numPr>
      </w:pPr>
      <w:r>
        <w:rPr>
          <w:rFonts w:hint="eastAsia"/>
        </w:rPr>
        <w:t xml:space="preserve">全市场成交额延续上一交易日14715.24亿元的量级。</w:t>
      </w:r>
    </w:p>
    <w:p>
      <w:pPr>
        <w:pStyle w:val="FirstParagraph"/>
      </w:pPr>
      <w:r>
        <w:rPr>
          <w:rFonts w:hint="eastAsia"/>
        </w:rPr>
        <w:t xml:space="preserve">执行方式：</w:t>
      </w:r>
    </w:p>
    <w:p>
      <w:pPr>
        <w:pStyle w:val="Compact"/>
        <w:numPr>
          <w:ilvl w:val="0"/>
          <w:numId w:val="1032"/>
        </w:numPr>
      </w:pPr>
      <w:r>
        <w:rPr>
          <w:rFonts w:hint="eastAsia"/>
        </w:rPr>
        <w:t xml:space="preserve">20%底仓配置资金明确方向；</w:t>
      </w:r>
    </w:p>
    <w:p>
      <w:pPr>
        <w:pStyle w:val="Compact"/>
        <w:numPr>
          <w:ilvl w:val="0"/>
          <w:numId w:val="1032"/>
        </w:numPr>
      </w:pPr>
      <w:r>
        <w:rPr>
          <w:rFonts w:hint="eastAsia"/>
        </w:rPr>
        <w:t xml:space="preserve">15%用于回踩确认；</w:t>
      </w:r>
    </w:p>
    <w:p>
      <w:pPr>
        <w:pStyle w:val="Compact"/>
        <w:numPr>
          <w:ilvl w:val="0"/>
          <w:numId w:val="1032"/>
        </w:numPr>
      </w:pPr>
      <w:r>
        <w:rPr>
          <w:rFonts w:hint="eastAsia"/>
        </w:rPr>
        <w:t xml:space="preserve">15%机动仓等待午后趋势确认。</w:t>
      </w:r>
    </w:p>
    <w:bookmarkEnd w:id="61"/>
    <w:bookmarkStart w:id="62" w:name="进攻档50上限"/>
    <w:p>
      <w:pPr>
        <w:pStyle w:val="Heading3"/>
      </w:pPr>
      <w:r>
        <w:t xml:space="preserve">🚀 </w:t>
      </w:r>
      <w:r>
        <w:rPr>
          <w:rFonts w:hint="eastAsia"/>
        </w:rPr>
        <w:t xml:space="preserve">进攻档：50%上限</w:t>
      </w:r>
    </w:p>
    <w:p>
      <w:pPr>
        <w:pStyle w:val="FirstParagraph"/>
      </w:pPr>
      <w:r>
        <w:rPr>
          <w:rFonts w:hint="eastAsia"/>
        </w:rPr>
        <w:t xml:space="preserve">适用条件必须同时满足：</w:t>
      </w:r>
    </w:p>
    <w:p>
      <w:pPr>
        <w:pStyle w:val="Compact"/>
        <w:numPr>
          <w:ilvl w:val="0"/>
          <w:numId w:val="1033"/>
        </w:numPr>
      </w:pPr>
      <w:r>
        <w:rPr>
          <w:rFonts w:hint="eastAsia"/>
        </w:rPr>
        <w:t xml:space="preserve">宽基ETF继续出现份额净流入；</w:t>
      </w:r>
    </w:p>
    <w:p>
      <w:pPr>
        <w:pStyle w:val="Compact"/>
        <w:numPr>
          <w:ilvl w:val="0"/>
          <w:numId w:val="1033"/>
        </w:numPr>
      </w:pPr>
      <w:r>
        <w:rPr>
          <w:rFonts w:hint="eastAsia"/>
        </w:rPr>
        <w:t xml:space="preserve">成交额明显高于上一交易日同期；</w:t>
      </w:r>
    </w:p>
    <w:p>
      <w:pPr>
        <w:pStyle w:val="Compact"/>
        <w:numPr>
          <w:ilvl w:val="0"/>
          <w:numId w:val="1033"/>
        </w:numPr>
      </w:pPr>
      <w:r>
        <w:rPr>
          <w:rFonts w:hint="eastAsia"/>
        </w:rPr>
        <w:t xml:space="preserve">消费电子或智能制造形成板块扩散；</w:t>
      </w:r>
    </w:p>
    <w:p>
      <w:pPr>
        <w:pStyle w:val="Compact"/>
        <w:numPr>
          <w:ilvl w:val="0"/>
          <w:numId w:val="1033"/>
        </w:numPr>
      </w:pPr>
      <w:r>
        <w:rPr>
          <w:rFonts w:hint="eastAsia"/>
        </w:rPr>
        <w:t xml:space="preserve">核心标的不高开加速，回踩后重新放量；</w:t>
      </w:r>
    </w:p>
    <w:p>
      <w:pPr>
        <w:pStyle w:val="Compact"/>
        <w:numPr>
          <w:ilvl w:val="0"/>
          <w:numId w:val="1033"/>
        </w:numPr>
      </w:pPr>
      <w:r>
        <w:rPr>
          <w:rFonts w:hint="eastAsia"/>
        </w:rPr>
        <w:t xml:space="preserve">QVIX不再上行，联合风险信号改善。</w:t>
      </w:r>
    </w:p>
    <w:p>
      <w:pPr>
        <w:pStyle w:val="FirstParagraph"/>
      </w:pPr>
      <w:r>
        <w:rPr>
          <w:rFonts w:hint="eastAsia"/>
        </w:rPr>
        <w:t xml:space="preserve">当前联合信号为未确认，两融融资余额下降，且重点股样本没有A、B级右侧标的，因此盘前不支持超过50%的进攻仓位。</w:t>
      </w:r>
    </w:p>
    <w:p>
      <w:r>
        <w:pict>
          <v:rect style="width:0;height:1.5pt" o:hralign="center" o:hrstd="t" o:hr="t"/>
        </w:pict>
      </w:r>
    </w:p>
    <w:bookmarkEnd w:id="62"/>
    <w:bookmarkEnd w:id="63"/>
    <w:bookmarkStart w:id="66" w:name="仓位模型量化推导"/>
    <w:p>
      <w:pPr>
        <w:pStyle w:val="Heading2"/>
      </w:pPr>
      <w:r>
        <w:t xml:space="preserve">🧮 </w:t>
      </w:r>
      <w:r>
        <w:rPr>
          <w:rFonts w:hint="eastAsia"/>
        </w:rPr>
        <w:t xml:space="preserve">仓位模型量化推导</w:t>
      </w:r>
    </w:p>
    <w:p>
      <w:pPr>
        <w:pStyle w:val="FirstParagraph"/>
      </w:pPr>
      <w:r>
        <w:rPr>
          <w:rFonts w:hint="eastAsia"/>
        </w:rPr>
        <w:t xml:space="preserve">自动仓位模型基础上限为50%。</w:t>
      </w:r>
    </w:p>
    <w:bookmarkStart w:id="64" w:name="加减分依据"/>
    <w:p>
      <w:pPr>
        <w:pStyle w:val="Heading3"/>
      </w:pPr>
      <w:r>
        <w:rPr>
          <w:rFonts w:hint="eastAsia"/>
        </w:rPr>
        <w:t xml:space="preserve">加减分依据</w:t>
      </w:r>
    </w:p>
    <w:p>
      <w:pPr>
        <w:pStyle w:val="Compact"/>
        <w:numPr>
          <w:ilvl w:val="0"/>
          <w:numId w:val="1034"/>
        </w:numPr>
      </w:pPr>
      <w:r>
        <w:t xml:space="preserve">🔴 </w:t>
      </w:r>
      <w:r>
        <w:rPr>
          <w:rFonts w:hint="eastAsia"/>
        </w:rPr>
        <w:t xml:space="preserve">上一交易日上涨家数明显多于下跌家数：加分。</w:t>
      </w:r>
    </w:p>
    <w:p>
      <w:pPr>
        <w:pStyle w:val="Compact"/>
        <w:numPr>
          <w:ilvl w:val="0"/>
          <w:numId w:val="1034"/>
        </w:numPr>
      </w:pPr>
      <w:r>
        <w:t xml:space="preserve">➖ </w:t>
      </w:r>
      <w:r>
        <w:rPr>
          <w:rFonts w:hint="eastAsia"/>
        </w:rPr>
        <w:t xml:space="preserve">全市场成交额14715.24亿元，较前一日增加1.57%：温和放量，不追加仓位分。</w:t>
      </w:r>
    </w:p>
    <w:p>
      <w:pPr>
        <w:pStyle w:val="Compact"/>
        <w:numPr>
          <w:ilvl w:val="0"/>
          <w:numId w:val="1034"/>
        </w:numPr>
      </w:pPr>
      <w:r>
        <w:t xml:space="preserve">🔴 </w:t>
      </w:r>
      <w:r>
        <w:rPr>
          <w:rFonts w:hint="eastAsia"/>
        </w:rPr>
        <w:t xml:space="preserve">宽基ETF连续净申购：提供配置资金支撑。</w:t>
      </w:r>
    </w:p>
    <w:p>
      <w:pPr>
        <w:pStyle w:val="Compact"/>
        <w:numPr>
          <w:ilvl w:val="0"/>
          <w:numId w:val="1034"/>
        </w:numPr>
      </w:pPr>
      <w:r>
        <w:t xml:space="preserve">🟢 </w:t>
      </w:r>
      <w:r>
        <w:rPr>
          <w:rFonts w:hint="eastAsia"/>
        </w:rPr>
        <w:t xml:space="preserve">两融余额减少63.15亿元，主要由融资余额下降63.31亿元驱动：扣减杠杆风险偏好。</w:t>
      </w:r>
    </w:p>
    <w:p>
      <w:pPr>
        <w:pStyle w:val="Compact"/>
        <w:numPr>
          <w:ilvl w:val="0"/>
          <w:numId w:val="1034"/>
        </w:numPr>
      </w:pPr>
      <w:r>
        <w:t xml:space="preserve">🟢 </w:t>
      </w:r>
      <w:r>
        <w:rPr>
          <w:rFonts w:hint="eastAsia"/>
        </w:rPr>
        <w:t xml:space="preserve">QVIX由18.61升至18.71：恐慌降温未连续确认。</w:t>
      </w:r>
    </w:p>
    <w:p>
      <w:pPr>
        <w:pStyle w:val="Compact"/>
        <w:numPr>
          <w:ilvl w:val="0"/>
          <w:numId w:val="1034"/>
        </w:numPr>
      </w:pPr>
      <w:r>
        <w:t xml:space="preserve">🟢 </w:t>
      </w:r>
      <w:r>
        <w:rPr>
          <w:rFonts w:hint="eastAsia"/>
        </w:rPr>
        <w:t xml:space="preserve">重点股样本A/B级数量为0，D级9只：限制进攻仓位。</w:t>
      </w:r>
    </w:p>
    <w:p>
      <w:pPr>
        <w:pStyle w:val="Compact"/>
        <w:numPr>
          <w:ilvl w:val="0"/>
          <w:numId w:val="1034"/>
        </w:numPr>
      </w:pPr>
      <w:r>
        <w:t xml:space="preserve">➖ </w:t>
      </w:r>
      <w:r>
        <w:rPr>
          <w:rFonts w:hint="eastAsia"/>
        </w:rPr>
        <w:t xml:space="preserve">行为金融风险评分为1，未触发FOMO或拥挤阈值：不额外扣分，但也不构成加仓理由。</w:t>
      </w:r>
    </w:p>
    <w:bookmarkEnd w:id="64"/>
    <w:bookmarkStart w:id="65" w:name="最终仓位结论"/>
    <w:p>
      <w:pPr>
        <w:pStyle w:val="Heading3"/>
      </w:pPr>
      <w:r>
        <w:rPr>
          <w:rFonts w:hint="eastAsia"/>
        </w:rPr>
        <w:t xml:space="preserve">最终仓位结论</w:t>
      </w:r>
    </w:p>
    <w:p>
      <w:pPr>
        <w:pStyle w:val="Compact"/>
        <w:numPr>
          <w:ilvl w:val="0"/>
          <w:numId w:val="1035"/>
        </w:numPr>
      </w:pPr>
      <w:r>
        <w:rPr>
          <w:rFonts w:hint="eastAsia"/>
          <w:b/>
          <w:bCs/>
        </w:rPr>
        <w:t xml:space="preserve">保守仓位：35%</w:t>
      </w:r>
    </w:p>
    <w:p>
      <w:pPr>
        <w:pStyle w:val="Compact"/>
        <w:numPr>
          <w:ilvl w:val="0"/>
          <w:numId w:val="1035"/>
        </w:numPr>
      </w:pPr>
      <w:r>
        <w:rPr>
          <w:rFonts w:hint="eastAsia"/>
          <w:b/>
          <w:bCs/>
        </w:rPr>
        <w:t xml:space="preserve">均衡仓位：50%</w:t>
      </w:r>
    </w:p>
    <w:p>
      <w:pPr>
        <w:pStyle w:val="Compact"/>
        <w:numPr>
          <w:ilvl w:val="0"/>
          <w:numId w:val="1035"/>
        </w:numPr>
      </w:pPr>
      <w:r>
        <w:rPr>
          <w:rFonts w:hint="eastAsia"/>
          <w:b/>
          <w:bCs/>
        </w:rPr>
        <w:t xml:space="preserve">进攻仓位：50%上限</w:t>
      </w:r>
    </w:p>
    <w:p>
      <w:pPr>
        <w:pStyle w:val="FirstParagraph"/>
      </w:pPr>
      <w:r>
        <w:rPr>
          <w:rFonts w:hint="eastAsia"/>
        </w:rPr>
        <w:t xml:space="preserve">今天更适合“先确认、后加仓”，而不是开盘直接达到上限。若政策题材没有资金承接，应主动回落至35%；若指数、成交额和主线同时转弱，降至20%以下。</w:t>
      </w:r>
    </w:p>
    <w:p>
      <w:r>
        <w:pict>
          <v:rect style="width:0;height:1.5pt" o:hralign="center" o:hrstd="t" o:hr="t"/>
        </w:pict>
      </w:r>
    </w:p>
    <w:bookmarkEnd w:id="65"/>
    <w:bookmarkEnd w:id="66"/>
    <w:bookmarkStart w:id="67" w:name="回避清单"/>
    <w:p>
      <w:pPr>
        <w:pStyle w:val="Heading2"/>
      </w:pPr>
      <w:r>
        <w:t xml:space="preserve">🚫 </w:t>
      </w:r>
      <w:r>
        <w:rPr>
          <w:rFonts w:hint="eastAsia"/>
        </w:rPr>
        <w:t xml:space="preserve">回避清单</w:t>
      </w:r>
    </w:p>
    <w:p>
      <w:pPr>
        <w:pStyle w:val="Compact"/>
        <w:numPr>
          <w:ilvl w:val="0"/>
          <w:numId w:val="1036"/>
        </w:numPr>
      </w:pPr>
      <w:r>
        <w:rPr>
          <w:rFonts w:hint="eastAsia"/>
          <w:b/>
          <w:bCs/>
        </w:rPr>
        <w:t xml:space="preserve">D级趋势破位股</w:t>
      </w:r>
      <w:r>
        <w:rPr>
          <w:rFonts w:hint="eastAsia"/>
        </w:rPr>
        <w:t xml:space="preserve">：宁德时代、中际旭创、新易盛、亨通光电、寒武纪、兆易创新、生益科技、紫金矿业、东山精密。</w:t>
      </w:r>
    </w:p>
    <w:p>
      <w:pPr>
        <w:pStyle w:val="Compact"/>
        <w:numPr>
          <w:ilvl w:val="0"/>
          <w:numId w:val="1036"/>
        </w:numPr>
      </w:pPr>
      <w:r>
        <w:rPr>
          <w:rFonts w:hint="eastAsia"/>
          <w:b/>
          <w:bCs/>
        </w:rPr>
        <w:t xml:space="preserve">技术指标不足股</w:t>
      </w:r>
      <w:r>
        <w:rPr>
          <w:rFonts w:hint="eastAsia"/>
        </w:rPr>
        <w:t xml:space="preserve">：长鑫科技缺少MA60，不做右侧结论。</w:t>
      </w:r>
    </w:p>
    <w:p>
      <w:pPr>
        <w:pStyle w:val="Compact"/>
        <w:numPr>
          <w:ilvl w:val="0"/>
          <w:numId w:val="1036"/>
        </w:numPr>
      </w:pPr>
      <w:r>
        <w:rPr>
          <w:rFonts w:hint="eastAsia"/>
          <w:b/>
          <w:bCs/>
        </w:rPr>
        <w:t xml:space="preserve">异常波动与风险提示股</w:t>
      </w:r>
      <w:r>
        <w:rPr>
          <w:rFonts w:hint="eastAsia"/>
        </w:rPr>
        <w:t xml:space="preserve">：南威软件、新经典、长春一东、京城股份。</w:t>
      </w:r>
    </w:p>
    <w:p>
      <w:pPr>
        <w:pStyle w:val="Compact"/>
        <w:numPr>
          <w:ilvl w:val="0"/>
          <w:numId w:val="1036"/>
        </w:numPr>
      </w:pPr>
      <w:r>
        <w:rPr>
          <w:rFonts w:hint="eastAsia"/>
          <w:b/>
          <w:bCs/>
        </w:rPr>
        <w:t xml:space="preserve">股东减持与权益变动压力股</w:t>
      </w:r>
      <w:r>
        <w:rPr>
          <w:rFonts w:hint="eastAsia"/>
        </w:rPr>
        <w:t xml:space="preserve">：数据港等减持事项相关标的。</w:t>
      </w:r>
    </w:p>
    <w:p>
      <w:pPr>
        <w:pStyle w:val="Compact"/>
        <w:numPr>
          <w:ilvl w:val="0"/>
          <w:numId w:val="1036"/>
        </w:numPr>
      </w:pPr>
      <w:r>
        <w:rPr>
          <w:rFonts w:hint="eastAsia"/>
          <w:b/>
          <w:bCs/>
        </w:rPr>
        <w:t xml:space="preserve">减值风险股</w:t>
      </w:r>
      <w:r>
        <w:rPr>
          <w:rFonts w:hint="eastAsia"/>
        </w:rPr>
        <w:t xml:space="preserve">：大族数控、清水源、ST合力泰。</w:t>
      </w:r>
    </w:p>
    <w:p>
      <w:pPr>
        <w:pStyle w:val="Compact"/>
        <w:numPr>
          <w:ilvl w:val="0"/>
          <w:numId w:val="1036"/>
        </w:numPr>
      </w:pPr>
      <w:r>
        <w:rPr>
          <w:rFonts w:hint="eastAsia"/>
          <w:b/>
          <w:bCs/>
        </w:rPr>
        <w:t xml:space="preserve">资金持续流出方向</w:t>
      </w:r>
      <w:r>
        <w:rPr>
          <w:rFonts w:hint="eastAsia"/>
        </w:rPr>
        <w:t xml:space="preserve">：电力设备、非银金融、工业金属、证券Ⅱ、半导体、电池、通信设备、电网设备、电力、光伏设备。</w:t>
      </w:r>
    </w:p>
    <w:p>
      <w:pPr>
        <w:pStyle w:val="Compact"/>
        <w:numPr>
          <w:ilvl w:val="0"/>
          <w:numId w:val="1036"/>
        </w:numPr>
      </w:pPr>
      <w:r>
        <w:rPr>
          <w:rFonts w:hint="eastAsia"/>
          <w:b/>
          <w:bCs/>
        </w:rPr>
        <w:t xml:space="preserve">纯概念高开股</w:t>
      </w:r>
      <w:r>
        <w:rPr>
          <w:rFonts w:hint="eastAsia"/>
        </w:rPr>
        <w:t xml:space="preserve">：数据要素、军工、机器人若缺少板块成交额和核心中军确认，一律不追。</w:t>
      </w:r>
    </w:p>
    <w:p>
      <w:r>
        <w:pict>
          <v:rect style="width:0;height:1.5pt" o:hralign="center" o:hrstd="t" o:hr="t"/>
        </w:pict>
      </w:r>
    </w:p>
    <w:bookmarkEnd w:id="67"/>
    <w:bookmarkStart w:id="70" w:name="风险日历"/>
    <w:p>
      <w:pPr>
        <w:pStyle w:val="Heading2"/>
      </w:pPr>
      <w:r>
        <w:t xml:space="preserve">⚠️ </w:t>
      </w:r>
      <w:r>
        <w:rPr>
          <w:rFonts w:hint="eastAsia"/>
        </w:rPr>
        <w:t xml:space="preserve">风险日历</w:t>
      </w:r>
    </w:p>
    <w:bookmarkStart w:id="68" w:name="年10月21日"/>
    <w:p>
      <w:pPr>
        <w:pStyle w:val="Heading3"/>
      </w:pPr>
      <w:r>
        <w:rPr>
          <w:rFonts w:hint="eastAsia"/>
        </w:rPr>
        <w:t xml:space="preserve">2026年10月21日</w:t>
      </w:r>
    </w:p>
    <w:p>
      <w:pPr>
        <w:pStyle w:val="Compact"/>
        <w:numPr>
          <w:ilvl w:val="0"/>
          <w:numId w:val="1037"/>
        </w:numPr>
      </w:pPr>
      <w:r>
        <w:rPr>
          <w:rFonts w:hint="eastAsia"/>
        </w:rPr>
        <w:t xml:space="preserve">三季报、业绩预告进入密集披露期，重点防范业绩不及预期和利润增速低于收入增速。</w:t>
      </w:r>
    </w:p>
    <w:p>
      <w:pPr>
        <w:pStyle w:val="Compact"/>
        <w:numPr>
          <w:ilvl w:val="0"/>
          <w:numId w:val="1037"/>
        </w:numPr>
      </w:pPr>
      <w:r>
        <w:rPr>
          <w:rFonts w:hint="eastAsia"/>
        </w:rPr>
        <w:t xml:space="preserve">今日公告分类中包含8项限售或激励股份上市流通事项、18项减持相关事项、5项业绩预告或快报、19项问询函相关事项、3项减值事项及2项停牌事项。</w:t>
      </w:r>
    </w:p>
    <w:p>
      <w:pPr>
        <w:pStyle w:val="Compact"/>
        <w:numPr>
          <w:ilvl w:val="0"/>
          <w:numId w:val="1037"/>
        </w:numPr>
      </w:pPr>
      <w:r>
        <w:rPr>
          <w:rFonts w:hint="eastAsia"/>
        </w:rPr>
        <w:t xml:space="preserve">秦港股份因重大资产重组事项停牌。</w:t>
      </w:r>
    </w:p>
    <w:p>
      <w:pPr>
        <w:pStyle w:val="Compact"/>
        <w:numPr>
          <w:ilvl w:val="0"/>
          <w:numId w:val="1037"/>
        </w:numPr>
      </w:pPr>
      <w:r>
        <w:rPr>
          <w:rFonts w:hint="eastAsia"/>
        </w:rPr>
        <w:t xml:space="preserve">南威软件、新经典、长春一东、京城股份存在异常波动或交易风险提示。</w:t>
      </w:r>
    </w:p>
    <w:bookmarkEnd w:id="68"/>
    <w:bookmarkStart w:id="69" w:name="外部风险"/>
    <w:p>
      <w:pPr>
        <w:pStyle w:val="Heading3"/>
      </w:pPr>
      <w:r>
        <w:rPr>
          <w:rFonts w:hint="eastAsia"/>
        </w:rPr>
        <w:t xml:space="preserve">外部风险</w:t>
      </w:r>
    </w:p>
    <w:p>
      <w:pPr>
        <w:pStyle w:val="Compact"/>
        <w:numPr>
          <w:ilvl w:val="0"/>
          <w:numId w:val="1038"/>
        </w:numPr>
      </w:pPr>
      <w:r>
        <w:rPr>
          <w:rFonts w:hint="eastAsia"/>
        </w:rPr>
        <w:t xml:space="preserve">中东局势和胡塞武装相关事件可能推动油价与航运波动。</w:t>
      </w:r>
    </w:p>
    <w:p>
      <w:pPr>
        <w:pStyle w:val="Compact"/>
        <w:numPr>
          <w:ilvl w:val="0"/>
          <w:numId w:val="1038"/>
        </w:numPr>
      </w:pPr>
      <w:r>
        <w:rPr>
          <w:rFonts w:hint="eastAsia"/>
        </w:rPr>
        <w:t xml:space="preserve">WTI原油已升至98.517美元，继续上行将增加部分制造与运输行业成本压力。</w:t>
      </w:r>
    </w:p>
    <w:p>
      <w:pPr>
        <w:pStyle w:val="Compact"/>
        <w:numPr>
          <w:ilvl w:val="0"/>
          <w:numId w:val="1038"/>
        </w:numPr>
      </w:pPr>
      <w:r>
        <w:rPr>
          <w:rFonts w:hint="eastAsia"/>
        </w:rPr>
        <w:t xml:space="preserve">法国抗议、西班牙洪灾及俄乌援助不确定性可能扰动欧洲风险偏好。</w:t>
      </w:r>
    </w:p>
    <w:p>
      <w:pPr>
        <w:pStyle w:val="Compact"/>
        <w:numPr>
          <w:ilvl w:val="0"/>
          <w:numId w:val="1038"/>
        </w:numPr>
      </w:pPr>
      <w:r>
        <w:rPr>
          <w:rFonts w:hint="eastAsia"/>
        </w:rPr>
        <w:t xml:space="preserve">当日海外重要经济数据具体发布时间未在采集JSON中核验，不补充未经确认的时间点。</w:t>
      </w:r>
    </w:p>
    <w:p>
      <w:r>
        <w:pict>
          <v:rect style="width:0;height:1.5pt" o:hralign="center" o:hrstd="t" o:hr="t"/>
        </w:pict>
      </w:r>
    </w:p>
    <w:bookmarkEnd w:id="69"/>
    <w:bookmarkEnd w:id="70"/>
    <w:bookmarkStart w:id="71" w:name="外资与离岸风险偏好"/>
    <w:p>
      <w:pPr>
        <w:pStyle w:val="Heading2"/>
      </w:pPr>
      <w:r>
        <w:t xml:space="preserve">🌐 </w:t>
      </w:r>
      <w:r>
        <w:rPr>
          <w:rFonts w:hint="eastAsia"/>
        </w:rPr>
        <w:t xml:space="preserve">外资与离岸风险偏好</w:t>
      </w:r>
    </w:p>
    <w:p>
      <w:pPr>
        <w:pStyle w:val="Compact"/>
        <w:numPr>
          <w:ilvl w:val="0"/>
          <w:numId w:val="1039"/>
        </w:numPr>
      </w:pPr>
      <w:r>
        <w:rPr>
          <w:rFonts w:hint="eastAsia"/>
        </w:rPr>
        <w:t xml:space="preserve">富时中国A50期指上涨0.28%，对A股开盘形成温和正向指引。</w:t>
      </w:r>
    </w:p>
    <w:p>
      <w:pPr>
        <w:pStyle w:val="Compact"/>
        <w:numPr>
          <w:ilvl w:val="0"/>
          <w:numId w:val="1039"/>
        </w:numPr>
      </w:pPr>
      <w:r>
        <w:rPr>
          <w:rFonts w:hint="eastAsia"/>
        </w:rPr>
        <w:t xml:space="preserve">美元兑离岸人民币为6.6747，人民币小幅走强0.01%，汇率端暂未出现明显外资撤离压力。</w:t>
      </w:r>
    </w:p>
    <w:p>
      <w:pPr>
        <w:pStyle w:val="Compact"/>
        <w:numPr>
          <w:ilvl w:val="0"/>
          <w:numId w:val="1039"/>
        </w:numPr>
      </w:pPr>
      <w:r>
        <w:rPr>
          <w:rFonts w:hint="eastAsia"/>
        </w:rPr>
        <w:t xml:space="preserve">恒生指数上一有效行情显示下跌1.32%，港股风险偏好仍偏弱。</w:t>
      </w:r>
    </w:p>
    <w:p>
      <w:pPr>
        <w:pStyle w:val="Compact"/>
        <w:numPr>
          <w:ilvl w:val="0"/>
          <w:numId w:val="1039"/>
        </w:numPr>
      </w:pPr>
      <w:r>
        <w:rPr>
          <w:rFonts w:hint="eastAsia"/>
        </w:rPr>
        <w:t xml:space="preserve">上证50ETF、沪深300ETF、科创50ETF及创业板ETF连续获得份额净申购，说明配置型资金正在承接核心资产与成长宽基。</w:t>
      </w:r>
    </w:p>
    <w:p>
      <w:pPr>
        <w:pStyle w:val="Compact"/>
        <w:numPr>
          <w:ilvl w:val="0"/>
          <w:numId w:val="1039"/>
        </w:numPr>
      </w:pPr>
      <w:r>
        <w:rPr>
          <w:rFonts w:hint="eastAsia"/>
        </w:rPr>
        <w:t xml:space="preserve">北向资金当日净流入、净流出数据未在采集JSON中核验，不能以宽基ETF净申购替代外资流向。</w:t>
      </w:r>
    </w:p>
    <w:p>
      <w:pPr>
        <w:pStyle w:val="FirstParagraph"/>
      </w:pPr>
      <w:r>
        <w:rPr>
          <w:rFonts w:hint="eastAsia"/>
          <w:b/>
          <w:bCs/>
        </w:rPr>
        <w:t xml:space="preserve">结论：</w:t>
      </w:r>
      <w:r>
        <w:t xml:space="preserve"> </w:t>
      </w:r>
      <w:r>
        <w:rPr>
          <w:rFonts w:hint="eastAsia"/>
        </w:rPr>
        <w:t xml:space="preserve">离岸信号中性偏暖，但港股偏弱、融资余额下降、QVIX未继续降温。外资与配置资金可以提供指数支撑，却不足以证明主动风险偏好全面回升。</w:t>
      </w:r>
    </w:p>
    <w:p>
      <w:r>
        <w:pict>
          <v:rect style="width:0;height:1.5pt" o:hralign="center" o:hrstd="t" o:hr="t"/>
        </w:pict>
      </w:r>
    </w:p>
    <w:bookmarkEnd w:id="71"/>
    <w:bookmarkStart w:id="72" w:name="盘前结论"/>
    <w:p>
      <w:pPr>
        <w:pStyle w:val="Heading2"/>
      </w:pPr>
      <w:r>
        <w:t xml:space="preserve">🎯 </w:t>
      </w:r>
      <w:r>
        <w:rPr>
          <w:rFonts w:hint="eastAsia"/>
        </w:rPr>
        <w:t xml:space="preserve">盘前结论</w:t>
      </w:r>
    </w:p>
    <w:p>
      <w:pPr>
        <w:pStyle w:val="Compact"/>
        <w:numPr>
          <w:ilvl w:val="0"/>
          <w:numId w:val="1040"/>
        </w:numPr>
      </w:pPr>
      <w:r>
        <w:t xml:space="preserve">🔴</w:t>
      </w:r>
      <w:r>
        <w:t xml:space="preserve"> </w:t>
      </w:r>
      <w:r>
        <w:rPr>
          <w:rFonts w:hint="eastAsia"/>
          <w:b/>
          <w:bCs/>
        </w:rPr>
        <w:t xml:space="preserve">主攻观察顺序：消费电子</w:t>
      </w:r>
      <w:r>
        <w:rPr>
          <w:b/>
          <w:bCs/>
        </w:rPr>
        <w:t xml:space="preserve"> </w:t>
      </w:r>
      <w:r>
        <w:rPr>
          <w:rFonts w:hint="eastAsia"/>
          <w:b/>
          <w:bCs/>
        </w:rPr>
        <w:t xml:space="preserve">＞</w:t>
      </w:r>
      <w:r>
        <w:rPr>
          <w:b/>
          <w:bCs/>
        </w:rPr>
        <w:t xml:space="preserve"> </w:t>
      </w:r>
      <w:r>
        <w:rPr>
          <w:rFonts w:hint="eastAsia"/>
          <w:b/>
          <w:bCs/>
        </w:rPr>
        <w:t xml:space="preserve">自动化设备/机器人</w:t>
      </w:r>
      <w:r>
        <w:rPr>
          <w:b/>
          <w:bCs/>
        </w:rPr>
        <w:t xml:space="preserve"> </w:t>
      </w:r>
      <w:r>
        <w:rPr>
          <w:rFonts w:hint="eastAsia"/>
          <w:b/>
          <w:bCs/>
        </w:rPr>
        <w:t xml:space="preserve">＞</w:t>
      </w:r>
      <w:r>
        <w:rPr>
          <w:b/>
          <w:bCs/>
        </w:rPr>
        <w:t xml:space="preserve"> </w:t>
      </w:r>
      <w:r>
        <w:rPr>
          <w:rFonts w:hint="eastAsia"/>
          <w:b/>
          <w:bCs/>
        </w:rPr>
        <w:t xml:space="preserve">医疗服务。</w:t>
      </w:r>
    </w:p>
    <w:p>
      <w:pPr>
        <w:pStyle w:val="Compact"/>
        <w:numPr>
          <w:ilvl w:val="0"/>
          <w:numId w:val="1040"/>
        </w:numPr>
      </w:pPr>
      <w:r>
        <w:t xml:space="preserve">🟡</w:t>
      </w:r>
      <w:r>
        <w:t xml:space="preserve"> </w:t>
      </w:r>
      <w:r>
        <w:rPr>
          <w:rFonts w:hint="eastAsia"/>
          <w:b/>
          <w:bCs/>
        </w:rPr>
        <w:t xml:space="preserve">政策观察顺序：数据要素/算力基础设施</w:t>
      </w:r>
      <w:r>
        <w:rPr>
          <w:b/>
          <w:bCs/>
        </w:rPr>
        <w:t xml:space="preserve"> </w:t>
      </w:r>
      <w:r>
        <w:rPr>
          <w:rFonts w:hint="eastAsia"/>
          <w:b/>
          <w:bCs/>
        </w:rPr>
        <w:t xml:space="preserve">＞</w:t>
      </w:r>
      <w:r>
        <w:rPr>
          <w:b/>
          <w:bCs/>
        </w:rPr>
        <w:t xml:space="preserve"> </w:t>
      </w:r>
      <w:r>
        <w:rPr>
          <w:rFonts w:hint="eastAsia"/>
          <w:b/>
          <w:bCs/>
        </w:rPr>
        <w:t xml:space="preserve">智能制造</w:t>
      </w:r>
      <w:r>
        <w:rPr>
          <w:b/>
          <w:bCs/>
        </w:rPr>
        <w:t xml:space="preserve"> </w:t>
      </w:r>
      <w:r>
        <w:rPr>
          <w:rFonts w:hint="eastAsia"/>
          <w:b/>
          <w:bCs/>
        </w:rPr>
        <w:t xml:space="preserve">＞</w:t>
      </w:r>
      <w:r>
        <w:rPr>
          <w:b/>
          <w:bCs/>
        </w:rPr>
        <w:t xml:space="preserve"> </w:t>
      </w:r>
      <w:r>
        <w:rPr>
          <w:rFonts w:hint="eastAsia"/>
          <w:b/>
          <w:bCs/>
        </w:rPr>
        <w:t xml:space="preserve">军工信息化</w:t>
      </w:r>
      <w:r>
        <w:rPr>
          <w:b/>
          <w:bCs/>
        </w:rPr>
        <w:t xml:space="preserve"> </w:t>
      </w:r>
      <w:r>
        <w:rPr>
          <w:rFonts w:hint="eastAsia"/>
          <w:b/>
          <w:bCs/>
        </w:rPr>
        <w:t xml:space="preserve">＞</w:t>
      </w:r>
      <w:r>
        <w:rPr>
          <w:b/>
          <w:bCs/>
        </w:rPr>
        <w:t xml:space="preserve"> </w:t>
      </w:r>
      <w:r>
        <w:rPr>
          <w:rFonts w:hint="eastAsia"/>
          <w:b/>
          <w:bCs/>
        </w:rPr>
        <w:t xml:space="preserve">文化数字化。</w:t>
      </w:r>
    </w:p>
    <w:p>
      <w:pPr>
        <w:pStyle w:val="Compact"/>
        <w:numPr>
          <w:ilvl w:val="0"/>
          <w:numId w:val="1040"/>
        </w:numPr>
      </w:pPr>
      <w:r>
        <w:t xml:space="preserve">🟢</w:t>
      </w:r>
      <w:r>
        <w:t xml:space="preserve"> </w:t>
      </w:r>
      <w:r>
        <w:rPr>
          <w:rFonts w:hint="eastAsia"/>
          <w:b/>
          <w:bCs/>
        </w:rPr>
        <w:t xml:space="preserve">明确回避：半导体与光模块D级破位股、电力设备、电池、证券及异常波动高开股。</w:t>
      </w:r>
    </w:p>
    <w:p>
      <w:pPr>
        <w:pStyle w:val="Compact"/>
        <w:numPr>
          <w:ilvl w:val="0"/>
          <w:numId w:val="1040"/>
        </w:numPr>
      </w:pPr>
      <w:r>
        <w:t xml:space="preserve">💰 </w:t>
      </w:r>
      <w:r>
        <w:rPr>
          <w:rFonts w:hint="eastAsia"/>
        </w:rPr>
        <w:t xml:space="preserve">宽基ETF连续流入，但融资余额下降、QVIX回升，联合信号未确认。</w:t>
      </w:r>
    </w:p>
    <w:p>
      <w:pPr>
        <w:pStyle w:val="Compact"/>
        <w:numPr>
          <w:ilvl w:val="0"/>
          <w:numId w:val="1040"/>
        </w:numPr>
      </w:pPr>
      <w:r>
        <w:t xml:space="preserve">💡 </w:t>
      </w:r>
      <w:r>
        <w:rPr>
          <w:rFonts w:hint="eastAsia"/>
        </w:rPr>
        <w:t xml:space="preserve">盘前基准仓位35%，确认主线与量能后提高至50%，不支持无条件重仓。</w:t>
      </w:r>
    </w:p>
    <w:p>
      <w:pPr>
        <w:pStyle w:val="Compact"/>
        <w:numPr>
          <w:ilvl w:val="0"/>
          <w:numId w:val="1040"/>
        </w:numPr>
      </w:pPr>
      <w:r>
        <w:t xml:space="preserve">⚠️ </w:t>
      </w:r>
      <w:r>
        <w:rPr>
          <w:rFonts w:hint="eastAsia"/>
        </w:rPr>
        <w:t xml:space="preserve">所有A/B级右侧候选当前为空；今天的核心不是抢反弹，而是等待“资金流入＋量价突破＋回踩承接”三项同时确认。</w:t>
      </w:r>
    </w:p>
    <w:p>
      <w:pPr>
        <w:pStyle w:val="BlockText"/>
      </w:pPr>
      <w:r>
        <w:t xml:space="preserve">📊 </w:t>
      </w:r>
      <w:r>
        <w:rPr>
          <w:rFonts w:hint="eastAsia"/>
        </w:rPr>
        <w:t xml:space="preserve">生成时间：2026-10-21</w:t>
      </w:r>
      <w:r>
        <w:t xml:space="preserve"> 08:34</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72"/>
    <w:bookmarkEnd w:id="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2026-10-21T00:47:22Z</dcterms:created>
  <dcterms:modified xsi:type="dcterms:W3CDTF">2026-10-21T00:47:22Z</dcterms:modified>
</cp:coreProperties>
</file>

<file path=docProps/custom.xml><?xml version="1.0" encoding="utf-8"?>
<Properties xmlns="http://schemas.openxmlformats.org/officeDocument/2006/custom-properties" xmlns:vt="http://schemas.openxmlformats.org/officeDocument/2006/docPropsVTypes"/>
</file>