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4" w:name="奇迹早知道2026年10月20日盘前简报"/>
    <w:p>
      <w:pPr>
        <w:pStyle w:val="Heading1"/>
      </w:pPr>
      <w:r>
        <w:t xml:space="preserve">🌅 </w:t>
      </w:r>
      <w:r>
        <w:rPr>
          <w:rFonts w:hint="eastAsia"/>
        </w:rPr>
        <w:t xml:space="preserve">奇迹早知道｜2026年10月20日盘前简报</w:t>
      </w:r>
    </w:p>
    <w:bookmarkStart w:id="12" w:name="隔夜全球市场美股科技偏强a股外部映射仍需内盘确认"/>
    <w:p>
      <w:pPr>
        <w:pStyle w:val="Heading2"/>
      </w:pPr>
      <w:r>
        <w:t xml:space="preserve">🌍 </w:t>
      </w:r>
      <w:r>
        <w:rPr>
          <w:rFonts w:hint="eastAsia"/>
        </w:rPr>
        <w:t xml:space="preserve">隔夜全球市场：美股科技偏强，A股外部映射仍需内盘确认</w:t>
      </w:r>
    </w:p>
    <w:bookmarkStart w:id="9" w:name="美股三大指数"/>
    <w:p>
      <w:pPr>
        <w:pStyle w:val="Heading3"/>
      </w:pPr>
      <w:r>
        <w:t xml:space="preserve">📈🔴 </w:t>
      </w:r>
      <w:r>
        <w:rPr>
          <w:rFonts w:hint="eastAsia"/>
        </w:rPr>
        <w:t xml:space="preserve">美股三大指数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道琼斯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51966.0312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-0.07%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纳斯达克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26430.8862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+1.11%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标普500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7690.7300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+0.41%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纳斯达克明显强于道琼斯，隔夜风险偏好主要集中在科技成长方向。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美股核心半导体五只标的全部上涨，但A股科技重点股技术评级普遍为D，外盘上涨不能直接转化为追涨依据。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今日应观察半导体、通信设备能否在竞价和开盘后获得增量资金承接，而不是仅凭隔夜映射交易。</w:t>
      </w:r>
    </w:p>
    <w:bookmarkEnd w:id="9"/>
    <w:bookmarkStart w:id="10" w:name="五只核心半导体个股"/>
    <w:p>
      <w:pPr>
        <w:pStyle w:val="Heading3"/>
      </w:pPr>
      <w:r>
        <w:t xml:space="preserve">🧠🔴 </w:t>
      </w:r>
      <w:r>
        <w:rPr>
          <w:rFonts w:hint="eastAsia"/>
        </w:rPr>
        <w:t xml:space="preserve">五只核心半导体个股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公司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英伟达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217.09美元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+1.38%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538.05美元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+1.76%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台积电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420.22美元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+1.84%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334.59美元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+1.78%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904.90美元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+2.97%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t xml:space="preserve">🔴 </w:t>
      </w:r>
      <w:r>
        <w:rPr>
          <w:rFonts w:hint="eastAsia"/>
        </w:rPr>
        <w:t xml:space="preserve">美光涨幅最大，存储产业链具备隔夜正向映射。</w:t>
      </w:r>
    </w:p>
    <w:p>
      <w:pPr>
        <w:pStyle w:val="Compact"/>
        <w:numPr>
          <w:ilvl w:val="0"/>
          <w:numId w:val="1002"/>
        </w:numPr>
      </w:pPr>
      <w:r>
        <w:t xml:space="preserve">🔴 </w:t>
      </w:r>
      <w:r>
        <w:rPr>
          <w:rFonts w:hint="eastAsia"/>
        </w:rPr>
        <w:t xml:space="preserve">台积电、博通、AMD同步走强，说明半导体上游制造、算力芯片及连接环节均有资金响应。</w:t>
      </w:r>
    </w:p>
    <w:p>
      <w:pPr>
        <w:pStyle w:val="Compact"/>
        <w:numPr>
          <w:ilvl w:val="0"/>
          <w:numId w:val="1002"/>
        </w:numPr>
      </w:pPr>
      <w:r>
        <w:t xml:space="preserve">⚠️ </w:t>
      </w:r>
      <w:r>
        <w:rPr>
          <w:rFonts w:hint="eastAsia"/>
        </w:rPr>
        <w:t xml:space="preserve">A股上一交易日半导体行业主力净流入6.69亿元，但长鑫科技下跌7.77%，且多个科技核心股同时出现在流入榜和流出榜，显示高成交、高换手与多空分歧并存。</w:t>
      </w:r>
    </w:p>
    <w:bookmarkEnd w:id="10"/>
    <w:bookmarkStart w:id="11" w:name="大宗商品与避险资产"/>
    <w:p>
      <w:pPr>
        <w:pStyle w:val="Heading3"/>
      </w:pPr>
      <w:r>
        <w:t xml:space="preserve">🌐 </w:t>
      </w:r>
      <w:r>
        <w:rPr>
          <w:rFonts w:hint="eastAsia"/>
        </w:rPr>
        <w:t xml:space="preserve">大宗商品与避险资产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资产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COMEX黄金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4152.51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-0.18%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WTI原油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98.499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-0.04%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伦铜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14335.10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-0.03%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大宗商品整体小幅回落，暂未形成明确的通胀再交易或避险加速信号。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21" w:name="新闻联播政策面先进制造科技兴商与重大基建构成主要政策线索"/>
    <w:p>
      <w:pPr>
        <w:pStyle w:val="Heading2"/>
      </w:pPr>
      <w:r>
        <w:t xml:space="preserve">📰 </w:t>
      </w:r>
      <w:r>
        <w:rPr>
          <w:rFonts w:hint="eastAsia"/>
        </w:rPr>
        <w:t xml:space="preserve">新闻联播政策面：先进制造、科技兴商与重大基建构成主要政策线索</w:t>
      </w:r>
    </w:p>
    <w:bookmarkStart w:id="13" w:name="经济结构继续向先进制造倾斜"/>
    <w:p>
      <w:pPr>
        <w:pStyle w:val="Heading3"/>
      </w:pPr>
      <w:r>
        <w:t xml:space="preserve">🏭 </w:t>
      </w:r>
      <w:r>
        <w:rPr>
          <w:rFonts w:hint="eastAsia"/>
        </w:rPr>
        <w:t xml:space="preserve">经济结构继续向先进制造倾斜</w:t>
      </w:r>
    </w:p>
    <w:p>
      <w:pPr>
        <w:pStyle w:val="FirstParagraph"/>
      </w:pPr>
      <w:r>
        <w:rPr>
          <w:rFonts w:hint="eastAsia"/>
        </w:rPr>
        <w:t xml:space="preserve">10月19日《新闻联播》披露：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前三季度国内生产总值1071071亿元，同比增长4.6%。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前三季度经济增量达到5.7万亿元，为过去五年同期最大规模。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三季度规模以上工业增加值同比增长5.1%，比二季度加快0.4个百分点。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制造业增加值占GDP比重为25.7%，同比提高0.6个百分点。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装备制造业、高技术制造业增加值增速分别快于全部规模以上工业增加值4.9和9.0个百分点。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高端制造、数智经济、现代服务等新动能对经济增长的贡献率继续保持在40%以上。</w:t>
      </w:r>
    </w:p>
    <w:bookmarkEnd w:id="13"/>
    <w:bookmarkStart w:id="14" w:name="a股映射"/>
    <w:p>
      <w:pPr>
        <w:pStyle w:val="Heading3"/>
      </w:pPr>
      <w:r>
        <w:t xml:space="preserve">💡 </w:t>
      </w:r>
      <w:r>
        <w:rPr>
          <w:rFonts w:hint="eastAsia"/>
        </w:rPr>
        <w:t xml:space="preserve">A股映射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高端装备与工业自动化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政策证据：制造业占比提升，装备制造业增速领先。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资金证据：自动化设备上一交易日主力净流入6.83亿元。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映射方向：工业机器人、自动化设备、数控机床、工业软件。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交易约束：只观察能够放量站稳关键均线的中军，不追单日脉冲。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半导体、算力与通信设备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政策证据：高技术制造业和数智经济仍是增长动能。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资金证据：通信设备净流入26.99亿元、半导体净流入6.69亿元、消费电子净流入6.12亿元。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外盘证据：五只美股核心半导体全部上涨。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反向证据：中际旭创、新易盛、寒武纪、兆易创新等重点股技术评级均为D，右侧趋势尚未恢复。</w:t>
      </w:r>
    </w:p>
    <w:bookmarkEnd w:id="14"/>
    <w:bookmarkStart w:id="15" w:name="科技兴商推动ai与商业场景融合"/>
    <w:p>
      <w:pPr>
        <w:pStyle w:val="Heading3"/>
      </w:pPr>
      <w:r>
        <w:t xml:space="preserve">🤖 </w:t>
      </w:r>
      <w:r>
        <w:rPr>
          <w:rFonts w:hint="eastAsia"/>
        </w:rPr>
        <w:t xml:space="preserve">“科技兴商”推动AI与商业场景融合</w:t>
      </w:r>
    </w:p>
    <w:p>
      <w:pPr>
        <w:pStyle w:val="FirstParagraph"/>
      </w:pPr>
      <w:r>
        <w:rPr>
          <w:rFonts w:hint="eastAsia"/>
        </w:rPr>
        <w:t xml:space="preserve">《关于加快推进科技兴商的意见》提出18条举措，重点包括：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发展柔性制造、个性化定制；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以科技推动服务消费扩容；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打造智能化、绿色化、融合化商业场景；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实施“人工智能+制造”专项行动；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培育人工智能应用服务商；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推进人工智能与文化创作、旅游服务融合。</w:t>
      </w:r>
    </w:p>
    <w:bookmarkEnd w:id="15"/>
    <w:bookmarkStart w:id="16" w:name="a股映射-1"/>
    <w:p>
      <w:pPr>
        <w:pStyle w:val="Heading3"/>
      </w:pPr>
      <w:r>
        <w:t xml:space="preserve">💡 </w:t>
      </w:r>
      <w:r>
        <w:rPr>
          <w:rFonts w:hint="eastAsia"/>
        </w:rPr>
        <w:t xml:space="preserve">A股映射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可跟踪AI终端、工业软件、智能制造、商贸数字化及文旅科技。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上一交易日软件开发类板块涨幅0.66%，IT服务Ⅱ主力净流入3.58亿元，已有初步资金响应。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但当前全市场成交额缩量7.67%，题材扩散的持续性仍需成交额回升验证。</w:t>
      </w:r>
    </w:p>
    <w:bookmarkEnd w:id="16"/>
    <w:bookmarkStart w:id="17" w:name="黄金大外环释放中长期基建需求"/>
    <w:p>
      <w:pPr>
        <w:pStyle w:val="Heading3"/>
      </w:pPr>
      <w:r>
        <w:t xml:space="preserve">🛣️ </w:t>
      </w:r>
      <w:r>
        <w:rPr>
          <w:rFonts w:hint="eastAsia"/>
        </w:rPr>
        <w:t xml:space="preserve">“黄金大外环”释放中长期基建需求</w:t>
      </w:r>
    </w:p>
    <w:p>
      <w:pPr>
        <w:pStyle w:val="FirstParagraph"/>
      </w:pPr>
      <w:r>
        <w:rPr>
          <w:rFonts w:hint="eastAsia"/>
        </w:rPr>
        <w:t xml:space="preserve">“十五五”时期计划全面贯通国道219、331和228：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建设改造总里程约7400公里；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总投资约3700亿元；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覆盖沿海与沿边地区；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涉及公路、桥梁、港口连接及沥青铺装等建设环节。</w:t>
      </w:r>
    </w:p>
    <w:bookmarkEnd w:id="17"/>
    <w:bookmarkStart w:id="18" w:name="a股映射-2"/>
    <w:p>
      <w:pPr>
        <w:pStyle w:val="Heading3"/>
      </w:pPr>
      <w:r>
        <w:t xml:space="preserve">💡 </w:t>
      </w:r>
      <w:r>
        <w:rPr>
          <w:rFonts w:hint="eastAsia"/>
        </w:rPr>
        <w:t xml:space="preserve">A股映射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关注工程机械、道路施工、沥青材料、桥梁构件、交通信息化。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这是中长期订单线索，不宜把规划总投资直接等同于上市公司短期利润。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参与条件应是后续项目批复、订单落地与板块资金同步改善。</w:t>
      </w:r>
    </w:p>
    <w:bookmarkEnd w:id="18"/>
    <w:bookmarkStart w:id="19" w:name="新型储能产业链继续扩容"/>
    <w:p>
      <w:pPr>
        <w:pStyle w:val="Heading3"/>
      </w:pPr>
      <w:r>
        <w:t xml:space="preserve">🔋 </w:t>
      </w:r>
      <w:r>
        <w:rPr>
          <w:rFonts w:hint="eastAsia"/>
        </w:rPr>
        <w:t xml:space="preserve">新型储能产业链继续扩容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截至2026年6月底，我国新型储能累计装机超过1.53亿千瓦。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相较“十四五”初期增长50倍。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已形成涵盖原料冶炼、电池制造和系统集成的完整产业链。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政策方向积极，但上一交易日电池行业主力净流出19.76亿元，且宁德时代下跌3.60%、技术评级为D。储能方向暂时属于“政策强、交易结构弱”，不能仅凭政策追涨。</w:t>
      </w:r>
    </w:p>
    <w:bookmarkEnd w:id="19"/>
    <w:bookmarkStart w:id="20" w:name="共建一带一路与中亚合作"/>
    <w:p>
      <w:pPr>
        <w:pStyle w:val="Heading3"/>
      </w:pPr>
      <w:r>
        <w:t xml:space="preserve">🌏 </w:t>
      </w:r>
      <w:r>
        <w:rPr>
          <w:rFonts w:hint="eastAsia"/>
        </w:rPr>
        <w:t xml:space="preserve">共建“一带一路”与中亚合作</w:t>
      </w:r>
    </w:p>
    <w:p>
      <w:pPr>
        <w:pStyle w:val="FirstParagraph"/>
      </w:pPr>
      <w:r>
        <w:rPr>
          <w:rFonts w:hint="eastAsia"/>
        </w:rPr>
        <w:t xml:space="preserve">中塔双方提出深化贸易投资、绿色矿产、互联互通、清洁能源、人工智能和基础设施建设合作，并签署基础设施建设等领域文件。</w:t>
      </w:r>
    </w:p>
    <w:p>
      <w:pPr>
        <w:pStyle w:val="BodyText"/>
      </w:pPr>
      <w:r>
        <w:rPr>
          <w:rFonts w:hint="eastAsia"/>
        </w:rPr>
        <w:t xml:space="preserve">可关注国际工程、矿产资源、清洁能源设备及跨境物流，但本轮采集没有对应上市公司订单公告，暂不形成个股买入结论。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2" w:name="今日公告与公司事件公告主源失败采用妙想只读新闻有限增强"/>
    <w:p>
      <w:pPr>
        <w:pStyle w:val="Heading2"/>
      </w:pPr>
      <w:r>
        <w:t xml:space="preserve">📢 </w:t>
      </w:r>
      <w:r>
        <w:rPr>
          <w:rFonts w:hint="eastAsia"/>
        </w:rPr>
        <w:t xml:space="preserve">今日公告与公司事件：公告主源失败，采用妙想只读新闻有限增强</w:t>
      </w:r>
    </w:p>
    <w:p>
      <w:pPr>
        <w:pStyle w:val="BlockText"/>
      </w:pPr>
      <w:r>
        <w:t xml:space="preserve">⚠️ </w:t>
      </w:r>
      <w:r>
        <w:rPr>
          <w:rFonts w:hint="eastAsia"/>
        </w:rPr>
        <w:t xml:space="preserve">公告主源异常；筛选窗口：2026-10-19</w:t>
      </w:r>
      <w:r>
        <w:t xml:space="preserve"> 15:00:00 +0800 → 2026-10-20 08:30:56 </w:t>
      </w:r>
      <w:r>
        <w:rPr>
          <w:rFonts w:hint="eastAsia"/>
        </w:rPr>
        <w:t xml:space="preserve">+0800。以下仅为妙想只读新闻增强，未经交易所公告主源复核。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日赚近5亿元，股价却跌逾7%！长鑫科技为何业绩炸裂、股价反跌？</w:t>
      </w:r>
      <w:r>
        <w:rPr>
          <w:rFonts w:hint="eastAsia"/>
        </w:rPr>
        <w:t xml:space="preserve">｜2026-10-19</w:t>
      </w:r>
      <w:r>
        <w:t xml:space="preserve"> 18:36:15 </w:t>
      </w:r>
      <w:r>
        <w:rPr>
          <w:rFonts w:hint="eastAsia"/>
        </w:rPr>
        <w:t xml:space="preserve">+0800｜来源：金融投资报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事件线索：受产品“价升量增”影响，国产存储龙头长鑫科技（688825）再次交出“炸裂”成绩单，前三季度公司净利润有望超过1300亿元。长鑫科技日K线图</w:t>
      </w:r>
      <w:r>
        <w:t xml:space="preserve"> </w:t>
      </w:r>
      <w:r>
        <w:rPr>
          <w:rFonts w:hint="eastAsia"/>
        </w:rPr>
        <w:t xml:space="preserve">10月16日晚间，长鑫科技发布了2026年前三季度业绩预告，公司预计营业收入约为人民币2650亿元至2700亿元，与上年同期相比，将增加2329.16亿元至2379.16亿元；预计归属于上市公司股东的净利润约为人民币1310亿元至1325亿元，与上年同期相比，将增加1362.8亿元至1377.8亿元。按预估净利润上限来看，前三季度长鑫科技日均赚4.85亿元。</w:t>
      </w:r>
      <w:r>
        <w:t xml:space="preserve"> </w:t>
      </w:r>
      <w:r>
        <w:rPr>
          <w:rFonts w:hint="eastAsia"/>
        </w:rPr>
        <w:t xml:space="preserve">对于前三季度业绩增长原因，长鑫科技表示，2025年下半年以来AI算力需求快速增长，全球DRAM行业景气度提升，产品供不应求，价格大幅上涨。公司稳步推进产能建设、产品研发和工艺技术提升，进一步提高单位晶圆产出和产能利用率，公司规模效应持续显现。同时，公司持续优化运营管理，积极拓展市场，持续深化产业链上下游协同合作，推动业务规模持续扩张。报告期内，公司精准把握行业发展机遇，依托持续的研发投入与工艺迭代升级，推动产品结构持续优化，产能利用率保持高位运行，整体业绩实现显著提升。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核验状态：未经交易所公告主源复核。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长鑫科技重磅发声：前三季度归母净利超1310亿元，对DRAM行业保持长期信心</w:t>
      </w:r>
      <w:r>
        <w:rPr>
          <w:rFonts w:hint="eastAsia"/>
        </w:rPr>
        <w:t xml:space="preserve">｜2026-10-19</w:t>
      </w:r>
      <w:r>
        <w:t xml:space="preserve"> 21:13:00 </w:t>
      </w:r>
      <w:r>
        <w:rPr>
          <w:rFonts w:hint="eastAsia"/>
        </w:rPr>
        <w:t xml:space="preserve">+0800｜来源：中国基金报</w:t>
      </w:r>
    </w:p>
    <w:p>
      <w:pPr>
        <w:pStyle w:val="Compact"/>
        <w:numPr>
          <w:ilvl w:val="1"/>
          <w:numId w:val="1014"/>
        </w:numPr>
      </w:pPr>
      <w:r>
        <w:rPr>
          <w:rFonts w:hint="eastAsia"/>
        </w:rPr>
        <w:t xml:space="preserve">事件线索：长鑫科技于10月19日召开2026年第二次临时股东会，会议释放强烈的积极信号。在会上，长鑫科技介绍了前三季度业绩预告：预计2026年前三季度实现营业收入2650亿至2700亿元，同比增长超7倍；归母净利润高达1310亿至1325亿元，实现同比扭亏为盈。长鑫科技表示，亮眼的财务表现源于行业景气度上行、产能利用率保持高位以及产品结构持续优化。针对与会股东关心的产能落地与市场供需走势等问题，长鑫科技在交流中回应称，</w:t>
      </w:r>
      <w:r>
        <w:t xml:space="preserve"> </w:t>
      </w:r>
      <w:r>
        <w:rPr>
          <w:rFonts w:hint="eastAsia"/>
        </w:rPr>
        <w:t xml:space="preserve">公司目前在合肥、北京两地的晶圆厂持续保持高产能利用率运转，订单饱满，有能力通过多元化的产品矩阵和持续优化的成本结构，从容应对市场变化。结合当前的宏观与产业环境，长鑫进一步指出，</w:t>
      </w:r>
      <w:r>
        <w:t xml:space="preserve"> </w:t>
      </w:r>
      <w:r>
        <w:rPr>
          <w:rFonts w:hint="eastAsia"/>
        </w:rPr>
        <w:t xml:space="preserve">公司对DRAM行业长期发展保持充足信心。AI算力需求爆发正驱动全球DRAM市场持续扩容，预计2025至2030年行业年均复合增长率高达38.39%。</w:t>
      </w:r>
    </w:p>
    <w:p>
      <w:pPr>
        <w:pStyle w:val="Compact"/>
        <w:numPr>
          <w:ilvl w:val="1"/>
          <w:numId w:val="1014"/>
        </w:numPr>
      </w:pPr>
      <w:r>
        <w:rPr>
          <w:rFonts w:hint="eastAsia"/>
        </w:rPr>
        <w:t xml:space="preserve">核验状态：未经交易所公告主源复核。</w:t>
      </w:r>
    </w:p>
    <w:bookmarkEnd w:id="22"/>
    <w:bookmarkStart w:id="26" w:name="经济数据与重要事件"/>
    <w:p>
      <w:pPr>
        <w:pStyle w:val="Heading2"/>
      </w:pPr>
      <w:r>
        <w:t xml:space="preserve">📅 </w:t>
      </w:r>
      <w:r>
        <w:rPr>
          <w:rFonts w:hint="eastAsia"/>
        </w:rPr>
        <w:t xml:space="preserve">经济数据与重要事件</w:t>
      </w:r>
    </w:p>
    <w:bookmarkStart w:id="23" w:name="国内经济"/>
    <w:p>
      <w:pPr>
        <w:pStyle w:val="Heading3"/>
      </w:pPr>
      <w:r>
        <w:t xml:space="preserve">🇨🇳 </w:t>
      </w:r>
      <w:r>
        <w:rPr>
          <w:rFonts w:hint="eastAsia"/>
        </w:rPr>
        <w:t xml:space="preserve">国内经济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前三季度GDP同比增长4.6%。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内需对经济增长贡献率超过七成。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最终消费支出贡献率接近五成。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9月服务业、消费和进出口指标表现优于8月。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知识产权产品投资占总投资比重同比提高2.4个百分点。</w:t>
      </w:r>
    </w:p>
    <w:bookmarkEnd w:id="23"/>
    <w:bookmarkStart w:id="24" w:name="市场含义"/>
    <w:p>
      <w:pPr>
        <w:pStyle w:val="Heading3"/>
      </w:pPr>
      <w:r>
        <w:t xml:space="preserve">💡 </w:t>
      </w:r>
      <w:r>
        <w:rPr>
          <w:rFonts w:hint="eastAsia"/>
        </w:rPr>
        <w:t xml:space="preserve">市场含义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宏观总量保持平稳，但政策和产业资源继续向先进制造、数字经济与消费场景升级集中。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市场更可能呈现结构性机会，而非所有行业同步扩张。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银行、保险等权重方向可承担指数稳定作用；科技方向则需要成交额与趋势修复共同确认。</w:t>
      </w:r>
    </w:p>
    <w:bookmarkEnd w:id="24"/>
    <w:bookmarkStart w:id="25" w:name="已核验事件"/>
    <w:p>
      <w:pPr>
        <w:pStyle w:val="Heading3"/>
      </w:pPr>
      <w:r>
        <w:t xml:space="preserve">🗓️ </w:t>
      </w:r>
      <w:r>
        <w:rPr>
          <w:rFonts w:hint="eastAsia"/>
        </w:rPr>
        <w:t xml:space="preserve">已核验事件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2026金融街论坛年会于10月19日至22日举行，期间国家金融管理部门集中发布金融改革发展政策。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第140届广交会第二期线下展将于10月23日至27日举行，主题为“品质家居”。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10月19日至21日，中东部地区将出现4—6℃降温，局部地区降温超过8℃。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0" w:name="全球事件地缘冲突风险仍高于市场价格波动"/>
    <w:p>
      <w:pPr>
        <w:pStyle w:val="Heading2"/>
      </w:pPr>
      <w:r>
        <w:t xml:space="preserve">🌐 </w:t>
      </w:r>
      <w:r>
        <w:rPr>
          <w:rFonts w:hint="eastAsia"/>
        </w:rPr>
        <w:t xml:space="preserve">全球事件：地缘冲突风险仍高于市场价格波动</w:t>
      </w:r>
    </w:p>
    <w:bookmarkStart w:id="27" w:name="俄乌冲突"/>
    <w:p>
      <w:pPr>
        <w:pStyle w:val="Heading3"/>
      </w:pPr>
      <w:r>
        <w:t xml:space="preserve">⚔️ </w:t>
      </w:r>
      <w:r>
        <w:rPr>
          <w:rFonts w:hint="eastAsia"/>
        </w:rPr>
        <w:t xml:space="preserve">俄乌冲突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俄罗斯称继续对乌克兰军工企业、无人机储存设施、数据处理中心和物流中心实施打击。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乌克兰称袭击俄罗斯数据中心及石油设施。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泽连斯基表示，若俄罗斯同意至少停火60天且不附加额外谈判条件，愿考虑在战争结束前举行选举。</w:t>
      </w:r>
    </w:p>
    <w:bookmarkEnd w:id="27"/>
    <w:bookmarkStart w:id="28" w:name="中东局势"/>
    <w:p>
      <w:pPr>
        <w:pStyle w:val="Heading3"/>
      </w:pPr>
      <w:r>
        <w:t xml:space="preserve">🛢️ </w:t>
      </w:r>
      <w:r>
        <w:rPr>
          <w:rFonts w:hint="eastAsia"/>
        </w:rPr>
        <w:t xml:space="preserve">中东局势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胡塞武装称也门多地遭到沙特上百次空袭。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沙特称胡塞武装投射物落入奈季兰居民区并造成人员受伤。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伊朗表示已准备应对美国和以色列可能采取的行动。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以色列公布新版安全原则，强调预防、进攻和先发制人。</w:t>
      </w:r>
    </w:p>
    <w:bookmarkEnd w:id="28"/>
    <w:bookmarkStart w:id="29" w:name="市场影响"/>
    <w:p>
      <w:pPr>
        <w:pStyle w:val="Heading3"/>
      </w:pPr>
      <w:r>
        <w:t xml:space="preserve">⚠️ </w:t>
      </w:r>
      <w:r>
        <w:rPr>
          <w:rFonts w:hint="eastAsia"/>
        </w:rPr>
        <w:t xml:space="preserve">市场影响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当前WTI原油仅下跌0.04%，油价尚未反映明显的冲突升级溢价。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若中东局势继续升级，应重点监控原油、航运、军工及黄金的联动，而不能以单条新闻直接追高。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俄乌冲突涉及数据中心和能源设施，可能提高全球能源与数字基础设施风险溢价。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4" w:name="昨日复盘权重相对稳定科技成长承压个股跌多涨少"/>
    <w:p>
      <w:pPr>
        <w:pStyle w:val="Heading2"/>
      </w:pPr>
      <w:r>
        <w:t xml:space="preserve">📊 </w:t>
      </w:r>
      <w:r>
        <w:rPr>
          <w:rFonts w:hint="eastAsia"/>
        </w:rPr>
        <w:t xml:space="preserve">昨日复盘：权重相对稳定，科技成长承压，个股跌多涨少</w:t>
      </w:r>
    </w:p>
    <w:bookmarkStart w:id="31" w:name="主要指数"/>
    <w:p>
      <w:pPr>
        <w:pStyle w:val="Heading3"/>
      </w:pPr>
      <w:r>
        <w:t xml:space="preserve">📈🔴🟢 </w:t>
      </w:r>
      <w:r>
        <w:rPr>
          <w:rFonts w:hint="eastAsia"/>
        </w:rPr>
        <w:t xml:space="preserve">主要指数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3730.9200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+0.3938%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11817.4230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+0.1268%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2746.2910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-0.9412%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1329.1900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-2.1681%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4174.5349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+0.0940%</w:t>
            </w:r>
          </w:p>
        </w:tc>
      </w:tr>
    </w:tbl>
    <w:bookmarkEnd w:id="31"/>
    <w:bookmarkStart w:id="32" w:name="市场广度"/>
    <w:p>
      <w:pPr>
        <w:pStyle w:val="Heading3"/>
      </w:pPr>
      <w:r>
        <w:t xml:space="preserve">📉 </w:t>
      </w:r>
      <w:r>
        <w:rPr>
          <w:rFonts w:hint="eastAsia"/>
        </w:rPr>
        <w:t xml:space="preserve">市场广度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上涨2275家，下跌3129家，平盘160家，停牌11家。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全市场统计总数5575家，涨跌比为0.727。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上证指数上涨而下跌家数明显更多，说明指数稳定主要由权重贡献，个股体感弱于指数。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盘前不将上一交易日涨跌停数量用于今日情绪周期判断。</w:t>
      </w:r>
    </w:p>
    <w:bookmarkEnd w:id="32"/>
    <w:bookmarkStart w:id="33" w:name="风格结论"/>
    <w:p>
      <w:pPr>
        <w:pStyle w:val="Heading3"/>
      </w:pPr>
      <w:r>
        <w:t xml:space="preserve">🎨 </w:t>
      </w:r>
      <w:r>
        <w:rPr>
          <w:rFonts w:hint="eastAsia"/>
        </w:rPr>
        <w:t xml:space="preserve">风格结论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大小盘：偏权重。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成长与价值：偏价值、偏权重。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主题与机构：成交额核心股主导。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防守与进攻：震荡均衡，但科技成长内部波动较大。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44" w:name="上一交易日资金四榜"/>
    <w:p>
      <w:pPr>
        <w:pStyle w:val="Heading2"/>
      </w:pPr>
      <w:r>
        <w:t xml:space="preserve">💰 </w:t>
      </w:r>
      <w:r>
        <w:rPr>
          <w:rFonts w:hint="eastAsia"/>
        </w:rPr>
        <w:t xml:space="preserve">上一交易日资金四榜</w:t>
      </w:r>
    </w:p>
    <w:p>
      <w:pPr>
        <w:pStyle w:val="FirstParagraph"/>
      </w:pPr>
      <w:r>
        <w:rPr>
          <w:rFonts w:hint="eastAsia"/>
          <w:b/>
          <w:bCs/>
        </w:rPr>
        <w:t xml:space="preserve">口径：2026-10-19，15:00，previous_close，申万二级行业；来源：华泰skill。</w:t>
      </w:r>
    </w:p>
    <w:bookmarkStart w:id="35" w:name="流出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-19.76亿元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出版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-18.83亿元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-16.93亿元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-8.00亿元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-7.16亿元</w:t>
            </w:r>
          </w:p>
        </w:tc>
      </w:tr>
    </w:tbl>
    <w:bookmarkEnd w:id="35"/>
    <w:bookmarkStart w:id="36" w:name="流出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-7.01亿元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生物制品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-6.67亿元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电子化学品Ⅱ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-6.64亿元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-6.26亿元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玻璃玻纤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-5.85亿元</w:t>
            </w:r>
          </w:p>
        </w:tc>
      </w:tr>
    </w:tbl>
    <w:bookmarkEnd w:id="36"/>
    <w:bookmarkStart w:id="37" w:name="流出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-109.72亿元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-70.97亿元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-46.89亿元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-46.68亿元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-44.61亿元</w:t>
            </w:r>
          </w:p>
        </w:tc>
      </w:tr>
    </w:tbl>
    <w:bookmarkEnd w:id="37"/>
    <w:bookmarkStart w:id="38" w:name="流出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-30.89亿元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拓荆科技</w:t>
            </w:r>
          </w:p>
        </w:tc>
        <w:tc>
          <w:tcPr/>
          <w:p>
            <w:pPr>
              <w:pStyle w:val="Compact"/>
            </w:pPr>
            <w:r>
              <w:t xml:space="preserve">688072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-30.30亿元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</w:t>
            </w:r>
          </w:p>
        </w:tc>
        <w:tc>
          <w:tcPr/>
          <w:p>
            <w:pPr>
              <w:pStyle w:val="Compact"/>
            </w:pPr>
            <w:r>
              <w:t xml:space="preserve">600487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-29.93亿元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</w:t>
            </w:r>
          </w:p>
        </w:tc>
        <w:tc>
          <w:tcPr/>
          <w:p>
            <w:pPr>
              <w:pStyle w:val="Compact"/>
            </w:pPr>
            <w:r>
              <w:t xml:space="preserve">688498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-29.68亿元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</w:t>
            </w:r>
          </w:p>
        </w:tc>
        <w:tc>
          <w:tcPr/>
          <w:p>
            <w:pPr>
              <w:pStyle w:val="Compact"/>
            </w:pPr>
            <w:r>
              <w:t xml:space="preserve">300394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-27.18亿元</w:t>
            </w:r>
          </w:p>
        </w:tc>
      </w:tr>
    </w:tbl>
    <w:bookmarkEnd w:id="38"/>
    <w:bookmarkStart w:id="39" w:name="流入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+26.99亿元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+6.83亿元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+6.69亿元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+6.12亿元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+6.09亿元</w:t>
            </w:r>
          </w:p>
        </w:tc>
      </w:tr>
    </w:tbl>
    <w:bookmarkEnd w:id="39"/>
    <w:bookmarkStart w:id="40" w:name="流入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+5.05亿元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个护用品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+4.11亿元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航空装备Ⅱ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+3.86亿元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+3.58亿元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+3.52亿元</w:t>
            </w:r>
          </w:p>
        </w:tc>
      </w:tr>
    </w:tbl>
    <w:bookmarkEnd w:id="40"/>
    <w:bookmarkStart w:id="41" w:name="流入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+96.67亿元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+73.41亿元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+54.82亿元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+54.62亿元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亨通光电</w:t>
            </w:r>
          </w:p>
        </w:tc>
        <w:tc>
          <w:tcPr/>
          <w:p>
            <w:pPr>
              <w:pStyle w:val="Compact"/>
            </w:pPr>
            <w:r>
              <w:t xml:space="preserve">600487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+50.29亿元</w:t>
            </w:r>
          </w:p>
        </w:tc>
      </w:tr>
    </w:tbl>
    <w:bookmarkEnd w:id="41"/>
    <w:bookmarkStart w:id="42" w:name="流入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+39.99亿元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+34.59亿元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拓荆科技</w:t>
            </w:r>
          </w:p>
        </w:tc>
        <w:tc>
          <w:tcPr/>
          <w:p>
            <w:pPr>
              <w:pStyle w:val="Compact"/>
            </w:pPr>
            <w:r>
              <w:t xml:space="preserve">688072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+29.55亿元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</w:t>
            </w:r>
          </w:p>
        </w:tc>
        <w:tc>
          <w:tcPr/>
          <w:p>
            <w:pPr>
              <w:pStyle w:val="Compact"/>
            </w:pPr>
            <w:r>
              <w:t xml:space="preserve">688498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+28.31亿元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生益科技</w:t>
            </w:r>
          </w:p>
        </w:tc>
        <w:tc>
          <w:tcPr/>
          <w:p>
            <w:pPr>
              <w:pStyle w:val="Compact"/>
            </w:pPr>
            <w:r>
              <w:t xml:space="preserve">600183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+24.28亿元</w:t>
            </w:r>
          </w:p>
        </w:tc>
      </w:tr>
    </w:tbl>
    <w:bookmarkEnd w:id="42"/>
    <w:bookmarkStart w:id="43" w:name="资金结构解读"/>
    <w:p>
      <w:pPr>
        <w:pStyle w:val="Heading3"/>
      </w:pPr>
      <w:r>
        <w:t xml:space="preserve">⚠️ </w:t>
      </w:r>
      <w:r>
        <w:rPr>
          <w:rFonts w:hint="eastAsia"/>
        </w:rPr>
        <w:t xml:space="preserve">资金结构解读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多只科技核心股同时出现在流入与流出榜，表明大额双向成交和高分歧，而非单边一致性建仓。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通信设备行业净流入26.99亿元，显著领先其他行业，但中际旭创、新易盛、天孚通信的技术评级均为D。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电池行业净流出19.76亿元，宁德时代同时出现大额流入与流出，说明资金博弈激烈，不能把单侧榜单直接当作买点。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个股资金榜与行业净流入必须结合趋势确认；当前重点股样本没有A或B级右侧标的。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50" w:name="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两融·宽基ETF·成交额·恐慌联合信号</w:t>
      </w:r>
    </w:p>
    <w:bookmarkStart w:id="45" w:name="两融余额"/>
    <w:p>
      <w:pPr>
        <w:pStyle w:val="Heading3"/>
      </w:pPr>
      <w:r>
        <w:t xml:space="preserve">🧾 </w:t>
      </w:r>
      <w:r>
        <w:rPr>
          <w:rFonts w:hint="eastAsia"/>
        </w:rPr>
        <w:t xml:space="preserve">两融余额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2026-10-16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2026-10-15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变化方向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24888.5702亿元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25031.9172亿元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减少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融资余额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24597.0560亿元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24741.9559亿元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减少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融券余额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291.5142亿元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289.9613亿元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增加</w:t>
            </w:r>
          </w:p>
        </w:tc>
      </w:tr>
    </w:tbl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两融余额减少143.3470亿元，降幅0.5727%。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本轮两融下降主要由融资余额收缩驱动，融券余额反而小幅增加。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这意味着杠杆资金风险偏好继续回落，尚未形成融资资金重新扩张的确认信号。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T+1滞后，报告日当日两融尚未发布</w:t>
      </w:r>
      <w:r>
        <w:t xml:space="preserve">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最新实际结算日期为2026-10-16，早于报告日，不得表述为“今日两融减少”。</w:t>
      </w:r>
    </w:p>
    <w:bookmarkEnd w:id="45"/>
    <w:bookmarkStart w:id="46" w:name="宽基etf"/>
    <w:p>
      <w:pPr>
        <w:pStyle w:val="Heading3"/>
      </w:pPr>
      <w:r>
        <w:t xml:space="preserve">💹 </w:t>
      </w:r>
      <w:r>
        <w:rPr>
          <w:rFonts w:hint="eastAsia"/>
        </w:rPr>
        <w:t xml:space="preserve">宽基ETF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宽基ETF份额变化与估算净申购主源超时。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沪深300ETF、科创50ETF等仅获得上一交易日价格和成交额，未获得可核验的最新份额变化。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科创50等宽基ETF是否连续流入：</w:t>
      </w:r>
      <w:r>
        <w:rPr>
          <w:rFonts w:hint="eastAsia"/>
          <w:b/>
          <w:bCs/>
        </w:rPr>
        <w:t xml:space="preserve">不可判定</w:t>
      </w:r>
      <w:r>
        <w:t xml:space="preserve">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华泰ETF查询仅返回科创新材料ETF南方单只示例，不能替代宽基ETF连续申购数据。</w:t>
      </w:r>
    </w:p>
    <w:bookmarkEnd w:id="46"/>
    <w:bookmarkStart w:id="47" w:name="成交额质量"/>
    <w:p>
      <w:pPr>
        <w:pStyle w:val="Heading3"/>
      </w:pPr>
      <w:r>
        <w:t xml:space="preserve">💧 </w:t>
      </w:r>
      <w:r>
        <w:rPr>
          <w:rFonts w:hint="eastAsia"/>
        </w:rPr>
        <w:t xml:space="preserve">成交额质量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上一交易日全市场成交额：14487.86亿元。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前一交易日成交额：15690.58亿元。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成交额减少1202.73亿元，变化率为-7.67%。</w:t>
      </w:r>
    </w:p>
    <w:p>
      <w:pPr>
        <w:pStyle w:val="Compact"/>
        <w:numPr>
          <w:ilvl w:val="0"/>
          <w:numId w:val="1026"/>
        </w:numPr>
      </w:pPr>
      <w:r>
        <w:rPr>
          <w:rStyle w:val="VerbatimChar"/>
        </w:rPr>
        <w:t xml:space="preserve">derived.market_turnover_quality</w:t>
      </w:r>
      <w:r>
        <w:rPr>
          <w:rFonts w:hint="eastAsia"/>
        </w:rPr>
        <w:t xml:space="preserve">状态为“温和缩量”。</w:t>
      </w:r>
    </w:p>
    <w:p>
      <w:pPr>
        <w:pStyle w:val="FirstParagraph"/>
      </w:pPr>
      <w:r>
        <w:rPr>
          <w:rFonts w:hint="eastAsia"/>
        </w:rPr>
        <w:t xml:space="preserve">缩量环境下，指数修复的可靠性下降，题材分化容易加剧。仓位模型因此扣减4个百分点，不支持主动扩大风险敞口。</w:t>
      </w:r>
    </w:p>
    <w:bookmarkEnd w:id="47"/>
    <w:bookmarkStart w:id="48" w:name="etf-qvix"/>
    <w:p>
      <w:pPr>
        <w:pStyle w:val="Heading3"/>
      </w:pPr>
      <w:r>
        <w:t xml:space="preserve">😨 300ETF QVIX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数值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最新结算值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18.71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前收盘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18.61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当日变化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20日峰值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22.10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较峰值回落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15.3394%</w:t>
            </w:r>
          </w:p>
        </w:tc>
      </w:tr>
    </w:tbl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QVIX虽然较20日峰值回落超过10%，但最新结算值高于前收盘。</w:t>
      </w:r>
    </w:p>
    <w:p>
      <w:pPr>
        <w:pStyle w:val="Compact"/>
        <w:numPr>
          <w:ilvl w:val="0"/>
          <w:numId w:val="1027"/>
        </w:numPr>
      </w:pPr>
      <w:r>
        <w:rPr>
          <w:rStyle w:val="VerbatimChar"/>
        </w:rPr>
        <w:t xml:space="preserve">cooling_from_recent_peak=false</w:t>
      </w:r>
      <w:r>
        <w:rPr>
          <w:rFonts w:hint="eastAsia"/>
        </w:rPr>
        <w:t xml:space="preserve">，不满足“较峰值回落且较前收盘下降”的高位降温条件。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宽基ETF连续流入数据同时缺失。</w:t>
      </w:r>
    </w:p>
    <w:bookmarkEnd w:id="48"/>
    <w:bookmarkStart w:id="49" w:name="联合信号结论"/>
    <w:p>
      <w:pPr>
        <w:pStyle w:val="Heading3"/>
      </w:pPr>
      <w:r>
        <w:t xml:space="preserve">⚠️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derived.liquidity_panic_signal.status=insufficient_data</w:t>
      </w:r>
      <w:r>
        <w:rPr>
          <w:rFonts w:hint="eastAsia"/>
        </w:rPr>
        <w:t xml:space="preserve">，因此结论是：</w:t>
      </w:r>
    </w:p>
    <w:p>
      <w:pPr>
        <w:pStyle w:val="BodyText"/>
      </w:pPr>
      <w:r>
        <w:rPr>
          <w:rFonts w:hint="eastAsia"/>
          <w:b/>
          <w:bCs/>
        </w:rPr>
        <w:t xml:space="preserve">恐慌降温与宽基ETF持续流入联合信号不可判定。</w:t>
      </w:r>
    </w:p>
    <w:p>
      <w:pPr>
        <w:pStyle w:val="BodyText"/>
      </w:pPr>
      <w:r>
        <w:rPr>
          <w:rFonts w:hint="eastAsia"/>
        </w:rPr>
        <w:t xml:space="preserve">不得表述为“恐慌高位降温且宽基ETF持续流入已确认”。</w:t>
      </w:r>
    </w:p>
    <w:p>
      <w:r>
        <w:pict>
          <v:rect style="width:0;height:1.5pt" o:hralign="center" o:hrstd="t" o:hr="t"/>
        </w:pict>
      </w:r>
    </w:p>
    <w:bookmarkEnd w:id="49"/>
    <w:bookmarkEnd w:id="50"/>
    <w:bookmarkStart w:id="51" w:name="市场行为金融信号"/>
    <w:p>
      <w:pPr>
        <w:pStyle w:val="Heading2"/>
      </w:pPr>
      <w:r>
        <w:t xml:space="preserve">🧠 </w:t>
      </w:r>
      <w:r>
        <w:rPr>
          <w:rFonts w:hint="eastAsia"/>
        </w:rPr>
        <w:t xml:space="preserve">市场行为金融信号</w:t>
      </w:r>
    </w:p>
    <w:p>
      <w:pPr>
        <w:pStyle w:val="FirstParagraph"/>
      </w:pP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给出的风险分为1，立场为按原仓位模型执行，避免无依据扩大仓位。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FOMO追涨：未触发系统阈值，但亨通光电单日涨停后仍存在主观追涨风险。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亏损厌恶扩散：未触发系统阈值，但上涨2275家、下跌3129家，个股承压面仍较大。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高位分歧：科技核心股大额双向资金并存，需要防止把高成交误判为单边吸筹。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估值拥挤：系统未触发高PE或高换手拥挤阈值，但长鑫科技PB</w:t>
      </w:r>
      <w:r>
        <w:t xml:space="preserve"> </w:t>
      </w:r>
      <w:r>
        <w:rPr>
          <w:rFonts w:hint="eastAsia"/>
        </w:rPr>
        <w:t xml:space="preserve">20.92倍、换手率9.599%，仍需个股层面单独约束。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锚定偏差：不得因前期高点、业绩预告或隔夜美股上涨，就默认A股核心科技股已经见底。</w:t>
      </w:r>
    </w:p>
    <w:p>
      <w:r>
        <w:pict>
          <v:rect style="width:0;height:1.5pt" o:hralign="center" o:hrstd="t" o:hr="t"/>
        </w:pict>
      </w:r>
    </w:p>
    <w:bookmarkEnd w:id="51"/>
    <w:bookmarkStart w:id="58" w:name="投资方向分层"/>
    <w:p>
      <w:pPr>
        <w:pStyle w:val="Heading2"/>
      </w:pPr>
      <w:r>
        <w:t xml:space="preserve">🎯 </w:t>
      </w:r>
      <w:r>
        <w:rPr>
          <w:rFonts w:hint="eastAsia"/>
        </w:rPr>
        <w:t xml:space="preserve">投资方向分层</w:t>
      </w:r>
    </w:p>
    <w:bookmarkStart w:id="52" w:name="可参与暂无达到右侧确认标准的重点股"/>
    <w:p>
      <w:pPr>
        <w:pStyle w:val="Heading3"/>
      </w:pPr>
      <w:r>
        <w:t xml:space="preserve">✅ </w:t>
      </w:r>
      <w:r>
        <w:rPr>
          <w:rFonts w:hint="eastAsia"/>
        </w:rPr>
        <w:t xml:space="preserve">可参与：暂无达到右侧确认标准的重点股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TickFlow重点股样本中A类0只、B类0只、C类0只、D类9只。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长鑫科技因MA60缺失，评级因技术数据不足暂不评级，不做趋势判断。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因此盘前没有可直接执行的右侧买入标的。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若盘中出现政策方向与资金共振，也只允许等待站稳确认，不允许竞价或开盘脉冲追涨。</w:t>
      </w:r>
    </w:p>
    <w:bookmarkEnd w:id="52"/>
    <w:bookmarkStart w:id="53" w:name="只观察一通信设备cpo与光通信"/>
    <w:p>
      <w:pPr>
        <w:pStyle w:val="Heading3"/>
      </w:pPr>
      <w:r>
        <w:t xml:space="preserve">👀 </w:t>
      </w:r>
      <w:r>
        <w:rPr>
          <w:rFonts w:hint="eastAsia"/>
        </w:rPr>
        <w:t xml:space="preserve">只观察一：通信设备、CPO与光通信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通信设备行业主力净流入26.99亿元，四张榜中行业流入排名第一。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美股博通上涨1.78%，科技风险偏好偏正。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亨通光电10月19日涨停，成交额98.31亿元；2026年中报营收同比增长31.13%，净利润同比增长88.75%，PE</w:t>
      </w:r>
      <w:r>
        <w:t xml:space="preserve"> </w:t>
      </w:r>
      <w:r>
        <w:rPr>
          <w:rFonts w:hint="eastAsia"/>
        </w:rPr>
        <w:t xml:space="preserve">29.60倍、PB</w:t>
      </w:r>
      <w:r>
        <w:t xml:space="preserve"> </w:t>
      </w:r>
      <w:r>
        <w:rPr>
          <w:rFonts w:hint="eastAsia"/>
        </w:rPr>
        <w:t xml:space="preserve">3.677倍。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反向证据是中际旭创、新易盛、亨通光电、天孚通信技术评级全部为D。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核心标的与条件：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中际旭创：MA20为827.7185元，MA60为893.7298元；只有重新站回MA20、MA60并确认后复评。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新易盛：MA20为394.2900元，MA60为417.6110元；当前趋势破位，未收复均线前回避。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亨通光电：MA20为59.6810元，MA60为59.6095元；10月19日收盘50.25元仍低于两条均线。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天孚通信：MA20为253.9535元，MA60为242.6378元；未站回均线前不参与。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板块高开低走、通信设备资金由流入转为流出；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核心股继续低于MA20、MA60；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全市场成交额不能扭转-7.67%的缩量状态。</w:t>
      </w:r>
    </w:p>
    <w:bookmarkEnd w:id="53"/>
    <w:bookmarkStart w:id="54" w:name="只观察二半导体与存储"/>
    <w:p>
      <w:pPr>
        <w:pStyle w:val="Heading3"/>
      </w:pPr>
      <w:r>
        <w:t xml:space="preserve">👀 </w:t>
      </w:r>
      <w:r>
        <w:rPr>
          <w:rFonts w:hint="eastAsia"/>
        </w:rPr>
        <w:t xml:space="preserve">只观察二：半导体与存储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半导体行业主力净流入6.69亿元。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英伟达、AMD、台积电、博通、美光隔夜全部上涨。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长鑫科技业绩叙事强，但10月19日下跌7.77%，主力流入与流出同时居首，显示剧烈分歧。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兆易创新2026年中报营收同比增长178.7%、净利润同比增长1071.0%，PE</w:t>
      </w:r>
      <w:r>
        <w:t xml:space="preserve"> </w:t>
      </w:r>
      <w:r>
        <w:rPr>
          <w:rFonts w:hint="eastAsia"/>
        </w:rPr>
        <w:t xml:space="preserve">25.08倍、PB</w:t>
      </w:r>
      <w:r>
        <w:t xml:space="preserve"> </w:t>
      </w:r>
      <w:r>
        <w:rPr>
          <w:rFonts w:hint="eastAsia"/>
        </w:rPr>
        <w:t xml:space="preserve">5.333倍，但技术评级为D。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核心标的与条件：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长鑫科技：技术数据不足，不做右侧判断；等待MA60补齐并出现缩量止跌、再放量突破。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兆易创新：MA20为350.4675元、MA60为386.2325元，10月16日技术收盘281.86元；只有收复两条均线后复评。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寒武纪：MA20为1033.54元、MA60为1087.6472元；重新站回均线前回避。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半导体行业资金由净流入转为明显净流出；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长鑫科技放量跌破10月19日收盘价41.52元；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海外半导体上涨未能带动A股核心股站回关键均线。</w:t>
      </w:r>
    </w:p>
    <w:bookmarkEnd w:id="54"/>
    <w:bookmarkStart w:id="55" w:name="只观察三工业自动化与高端装备"/>
    <w:p>
      <w:pPr>
        <w:pStyle w:val="Heading3"/>
      </w:pPr>
      <w:r>
        <w:t xml:space="preserve">👀 </w:t>
      </w:r>
      <w:r>
        <w:rPr>
          <w:rFonts w:hint="eastAsia"/>
        </w:rPr>
        <w:t xml:space="preserve">只观察三：工业自动化与高端装备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自动化设备净流入6.83亿元。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新闻联播明确强调装备制造、高技术制造、人工智能+制造和柔性制造。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船舶制造上一交易日板块涨幅2.32%，电机涨幅1.56%，航天航空涨幅0.81%。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自动化设备继续保持行业资金净流入；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板块中军站稳MA20并出现量比不低于1.2的有效突破；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成交额同步回升，而不是缩量轮动。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行业资金转为净流出；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指数上涨但板块中多数个股下跌；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冲高后成交量快速衰减。</w:t>
      </w:r>
    </w:p>
    <w:bookmarkEnd w:id="55"/>
    <w:bookmarkStart w:id="56" w:name="只观察四基建公路与工程链"/>
    <w:p>
      <w:pPr>
        <w:pStyle w:val="Heading3"/>
      </w:pPr>
      <w:r>
        <w:t xml:space="preserve">👀 </w:t>
      </w:r>
      <w:r>
        <w:rPr>
          <w:rFonts w:hint="eastAsia"/>
        </w:rPr>
        <w:t xml:space="preserve">只观察四：基建、公路与工程链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“黄金大外环”建设改造总里程约7400公里，总投资约3700亿元。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覆盖国道219、331和228，涉及道路、桥梁、港口衔接和沥青铺装。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出现正式项目批复、订单或开工信息；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工程机械、建筑材料与交通基础设施资金同步流入；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龙头完成右侧突破后缩量回踩不破。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仅有规划叙事而没有订单兑现；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板块脉冲后资金快速流出；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原材料成本上涨侵蚀项目利润。</w:t>
      </w:r>
    </w:p>
    <w:bookmarkEnd w:id="56"/>
    <w:bookmarkStart w:id="57" w:name="应回避重点股d级破位组"/>
    <w:p>
      <w:pPr>
        <w:pStyle w:val="Heading3"/>
      </w:pPr>
      <w:r>
        <w:t xml:space="preserve">🚫 </w:t>
      </w:r>
      <w:r>
        <w:rPr>
          <w:rFonts w:hint="eastAsia"/>
        </w:rPr>
        <w:t xml:space="preserve">应回避：重点股D级破位组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中际旭创、新易盛、亨通光电、兆易创新、宁德时代、寒武纪、药明康德、生益科技、天孚通信均为D级。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上述标的共同特征是位于MA20或MA60下方，趋势状态为“趋势破位”。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资金流入、业绩增长或单日上涨均不能替代右侧趋势确认。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仅在重新站回MA20和MA60并确认后复评。</w:t>
      </w:r>
    </w:p>
    <w:p>
      <w:r>
        <w:pict>
          <v:rect style="width:0;height:1.5pt" o:hralign="center" o:hrstd="t" o:hr="t"/>
        </w:pict>
      </w:r>
    </w:p>
    <w:bookmarkEnd w:id="57"/>
    <w:bookmarkEnd w:id="58"/>
    <w:bookmarkStart w:id="62" w:name="今日操作策略三档仓位先确认后加仓"/>
    <w:p>
      <w:pPr>
        <w:pStyle w:val="Heading2"/>
      </w:pPr>
      <w:r>
        <w:t xml:space="preserve">💡 </w:t>
      </w:r>
      <w:r>
        <w:rPr>
          <w:rFonts w:hint="eastAsia"/>
        </w:rPr>
        <w:t xml:space="preserve">今日操作策略：三档仓位，先确认后加仓</w:t>
      </w:r>
    </w:p>
    <w:bookmarkStart w:id="59" w:name="保守档21"/>
    <w:p>
      <w:pPr>
        <w:pStyle w:val="Heading3"/>
      </w:pPr>
      <w:r>
        <w:t xml:space="preserve">🛡️ </w:t>
      </w:r>
      <w:r>
        <w:rPr>
          <w:rFonts w:hint="eastAsia"/>
        </w:rPr>
        <w:t xml:space="preserve">保守档：21%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开盘后涨跌比继续低于1；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全市场成交额维持缩量；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科技核心股高开低走；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通信设备、半导体行业资金不能延续流入。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以现金和低波动底仓为主。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不接科技核心股首次反抽。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对D级破位股不补仓、不摊低成本。</w:t>
      </w:r>
    </w:p>
    <w:bookmarkEnd w:id="59"/>
    <w:bookmarkStart w:id="60" w:name="均衡档36"/>
    <w:p>
      <w:pPr>
        <w:pStyle w:val="Heading3"/>
      </w:pPr>
      <w:r>
        <w:t xml:space="preserve">⚖️ </w:t>
      </w:r>
      <w:r>
        <w:rPr>
          <w:rFonts w:hint="eastAsia"/>
        </w:rPr>
        <w:t xml:space="preserve">均衡档：36%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指数平稳，涨跌比回到1以上；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通信设备、半导体或自动化设备至少一个方向保持资金净流入；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核心股不再创新低，并出现缩量企稳。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单一方向试仓不超过总仓位的10%。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只参与站回短期关键位置后的确认，不参与开盘急拉。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</w:rPr>
        <w:t xml:space="preserve">保留充足机动仓，应对午后分歧。</w:t>
      </w:r>
    </w:p>
    <w:bookmarkEnd w:id="60"/>
    <w:bookmarkStart w:id="61" w:name="积极档46"/>
    <w:p>
      <w:pPr>
        <w:pStyle w:val="Heading3"/>
      </w:pPr>
      <w:r>
        <w:t xml:space="preserve">🚀 </w:t>
      </w:r>
      <w:r>
        <w:rPr>
          <w:rFonts w:hint="eastAsia"/>
        </w:rPr>
        <w:t xml:space="preserve">积极档：46%</w:t>
      </w:r>
    </w:p>
    <w:p>
      <w:pPr>
        <w:pStyle w:val="FirstParagraph"/>
      </w:pPr>
      <w:r>
        <w:rPr>
          <w:rFonts w:hint="eastAsia"/>
        </w:rPr>
        <w:t xml:space="preserve">只有同时满足以下条件才可启用：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全市场成交额明确转为放量；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涨跌比持续高于1；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主线行业与核心股资金同向；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至少一只重点股重新站回MA20，并获得量价确认；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宽基ETF出现可核验净申购证据。</w:t>
      </w:r>
    </w:p>
    <w:p>
      <w:pPr>
        <w:pStyle w:val="FirstParagraph"/>
      </w:pPr>
      <w:r>
        <w:rPr>
          <w:rFonts w:hint="eastAsia"/>
        </w:rPr>
        <w:t xml:space="preserve">当前宽基ETF连续流入不可判定、重点股A/B级数量为0，因此盘前不预设积极档。</w:t>
      </w:r>
    </w:p>
    <w:p>
      <w:r>
        <w:pict>
          <v:rect style="width:0;height:1.5pt" o:hralign="center" o:hrstd="t" o:hr="t"/>
        </w:pict>
      </w:r>
    </w:p>
    <w:bookmarkEnd w:id="61"/>
    <w:bookmarkEnd w:id="62"/>
    <w:bookmarkStart w:id="64" w:name="仓位模型量化推导"/>
    <w:p>
      <w:pPr>
        <w:pStyle w:val="Heading2"/>
      </w:pPr>
      <w:r>
        <w:t xml:space="preserve">🧮 </w:t>
      </w:r>
      <w:r>
        <w:rPr>
          <w:rFonts w:hint="eastAsia"/>
        </w:rPr>
        <w:t xml:space="preserve">仓位模型量化推导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已核验信号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仓位影响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市场广度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涨跌比0.727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不加分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下行压力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个股跌多涨少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不加分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14487.86亿元，下降7.67%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-4个百分点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技术趋势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重点股A/B级为0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限制进攻仓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两融余额减少143.3470亿元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限制杠杆偏好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海外科技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纳指+1.11%，半导体全线上涨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仅作观察加分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模型输出：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最大仓位：50%；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积极档：46%；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均衡档：36%；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保守档：21%。</w:t>
      </w:r>
    </w:p>
    <w:bookmarkStart w:id="63" w:name="最终执行"/>
    <w:p>
      <w:pPr>
        <w:pStyle w:val="Heading3"/>
      </w:pPr>
      <w:r>
        <w:t xml:space="preserve">💡 </w:t>
      </w:r>
      <w:r>
        <w:rPr>
          <w:rFonts w:hint="eastAsia"/>
        </w:rPr>
        <w:t xml:space="preserve">最终执行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盘前基准采用</w:t>
      </w:r>
      <w:r>
        <w:rPr>
          <w:rFonts w:hint="eastAsia"/>
          <w:b/>
          <w:bCs/>
        </w:rPr>
        <w:t xml:space="preserve">均衡偏保守，21%—36%</w:t>
      </w:r>
      <w:r>
        <w:t xml:space="preserve">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若成交额不能放大且重点股仍在MA20下方，仓位维持21%。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只有趋势、资金和成交额同步确认，才允许向36%提升。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46%仅作为强确认场景上限，不在开盘阶段直接启用。</w:t>
      </w:r>
    </w:p>
    <w:p>
      <w:r>
        <w:pict>
          <v:rect style="width:0;height:1.5pt" o:hralign="center" o:hrstd="t" o:hr="t"/>
        </w:pict>
      </w:r>
    </w:p>
    <w:bookmarkEnd w:id="63"/>
    <w:bookmarkEnd w:id="64"/>
    <w:bookmarkStart w:id="68" w:name="市场风格预判"/>
    <w:p>
      <w:pPr>
        <w:pStyle w:val="Heading2"/>
      </w:pPr>
      <w:r>
        <w:t xml:space="preserve">🎨 </w:t>
      </w:r>
      <w:r>
        <w:rPr>
          <w:rFonts w:hint="eastAsia"/>
        </w:rPr>
        <w:t xml:space="preserve">市场风格预判</w:t>
      </w:r>
    </w:p>
    <w:bookmarkStart w:id="65" w:name="可能占优"/>
    <w:p>
      <w:pPr>
        <w:pStyle w:val="Heading3"/>
      </w:pPr>
      <w:r>
        <w:t xml:space="preserve">📈 </w:t>
      </w:r>
      <w:r>
        <w:rPr>
          <w:rFonts w:hint="eastAsia"/>
        </w:rPr>
        <w:t xml:space="preserve">可能占优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银行、保险等权重稳定方向；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通信设备、半导体的超跌修复；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自动化设备、工业软件等政策驱动方向；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电力、红利等防守资产。</w:t>
      </w:r>
    </w:p>
    <w:bookmarkEnd w:id="65"/>
    <w:bookmarkStart w:id="66" w:name="可能承压"/>
    <w:p>
      <w:pPr>
        <w:pStyle w:val="Heading3"/>
      </w:pPr>
      <w:r>
        <w:t xml:space="preserve">📉 </w:t>
      </w:r>
      <w:r>
        <w:rPr>
          <w:rFonts w:hint="eastAsia"/>
        </w:rPr>
        <w:t xml:space="preserve">可能承压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缺乏成交额支撑的高估值科技反抽；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电池、元件等上一交易日资金明显流出的方向；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仅凭海外映射高开的半导体个股；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单日涨停后脱离技术支撑的高波动标的。</w:t>
      </w:r>
    </w:p>
    <w:bookmarkEnd w:id="66"/>
    <w:bookmarkStart w:id="67" w:name="核心矛盾"/>
    <w:p>
      <w:pPr>
        <w:pStyle w:val="Heading3"/>
      </w:pPr>
      <w:r>
        <w:t xml:space="preserve">⚠️ </w:t>
      </w:r>
      <w:r>
        <w:rPr>
          <w:rFonts w:hint="eastAsia"/>
        </w:rPr>
        <w:t xml:space="preserve">核心矛盾</w:t>
      </w:r>
    </w:p>
    <w:p>
      <w:pPr>
        <w:pStyle w:val="FirstParagraph"/>
      </w:pPr>
      <w:r>
        <w:rPr>
          <w:rFonts w:hint="eastAsia"/>
        </w:rPr>
        <w:t xml:space="preserve">外部科技偏强与内部趋势破位并存。今日不是判断“题材有没有利好”，而是验证利好能否转化为：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行业持续净流入；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核心股站回关键均线；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全市场成交额放大；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上涨家数超过下跌家数。</w:t>
      </w:r>
    </w:p>
    <w:p>
      <w:r>
        <w:pict>
          <v:rect style="width:0;height:1.5pt" o:hralign="center" o:hrstd="t" o:hr="t"/>
        </w:pict>
      </w:r>
    </w:p>
    <w:bookmarkEnd w:id="67"/>
    <w:bookmarkEnd w:id="68"/>
    <w:bookmarkStart w:id="69" w:name="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回避清单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  <w:b/>
          <w:bCs/>
        </w:rPr>
        <w:t xml:space="preserve">D级趋势破位股</w:t>
      </w:r>
    </w:p>
    <w:p>
      <w:pPr>
        <w:pStyle w:val="Compact"/>
        <w:numPr>
          <w:ilvl w:val="1"/>
          <w:numId w:val="1054"/>
        </w:numPr>
      </w:pPr>
      <w:r>
        <w:rPr>
          <w:rFonts w:hint="eastAsia"/>
        </w:rPr>
        <w:t xml:space="preserve">中际旭创、新易盛、亨通光电、兆易创新、宁德时代、寒武纪、药明康德、生益科技、天孚通信。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  <w:b/>
          <w:bCs/>
        </w:rPr>
        <w:t xml:space="preserve">电池板块无确认反抽</w:t>
      </w:r>
    </w:p>
    <w:p>
      <w:pPr>
        <w:pStyle w:val="Compact"/>
        <w:numPr>
          <w:ilvl w:val="1"/>
          <w:numId w:val="1055"/>
        </w:numPr>
      </w:pPr>
      <w:r>
        <w:rPr>
          <w:rFonts w:hint="eastAsia"/>
        </w:rPr>
        <w:t xml:space="preserve">行业净流出19.76亿元，宁德时代技术评级D。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  <w:b/>
          <w:bCs/>
        </w:rPr>
        <w:t xml:space="preserve">元件板块弱势接飞刀</w:t>
      </w:r>
    </w:p>
    <w:p>
      <w:pPr>
        <w:pStyle w:val="Compact"/>
        <w:numPr>
          <w:ilvl w:val="1"/>
          <w:numId w:val="1056"/>
        </w:numPr>
      </w:pPr>
      <w:r>
        <w:rPr>
          <w:rFonts w:hint="eastAsia"/>
        </w:rPr>
        <w:t xml:space="preserve">行业净流出16.93亿元，资金承接尚未确认。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  <w:b/>
          <w:bCs/>
        </w:rPr>
        <w:t xml:space="preserve">高开兑现型半导体</w:t>
      </w:r>
    </w:p>
    <w:p>
      <w:pPr>
        <w:pStyle w:val="Compact"/>
        <w:numPr>
          <w:ilvl w:val="1"/>
          <w:numId w:val="1057"/>
        </w:numPr>
      </w:pPr>
      <w:r>
        <w:rPr>
          <w:rFonts w:hint="eastAsia"/>
        </w:rPr>
        <w:t xml:space="preserve">隔夜美股上涨可能形成高开，但A股技术结构偏弱；高开后不能放量站稳则不追。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  <w:b/>
          <w:bCs/>
        </w:rPr>
        <w:t xml:space="preserve">仅靠新闻叙事的基建概念</w:t>
      </w:r>
    </w:p>
    <w:p>
      <w:pPr>
        <w:pStyle w:val="Compact"/>
        <w:numPr>
          <w:ilvl w:val="1"/>
          <w:numId w:val="1058"/>
        </w:numPr>
      </w:pPr>
      <w:r>
        <w:rPr>
          <w:rFonts w:hint="eastAsia"/>
        </w:rPr>
        <w:t xml:space="preserve">3700亿元是规划总投资，不是单家上市公司收入。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  <w:b/>
          <w:bCs/>
        </w:rPr>
        <w:t xml:space="preserve">公告主源未经核验的事件交易</w:t>
      </w:r>
    </w:p>
    <w:p>
      <w:pPr>
        <w:pStyle w:val="Compact"/>
        <w:numPr>
          <w:ilvl w:val="1"/>
          <w:numId w:val="1059"/>
        </w:numPr>
      </w:pPr>
      <w:r>
        <w:rPr>
          <w:rFonts w:hint="eastAsia"/>
        </w:rPr>
        <w:t xml:space="preserve">长鑫科技两条信息来自妙想只读新闻有限增强，未经交易所公告主源复核。</w:t>
      </w:r>
    </w:p>
    <w:p>
      <w:r>
        <w:pict>
          <v:rect style="width:0;height:1.5pt" o:hralign="center" o:hrstd="t" o:hr="t"/>
        </w:pict>
      </w:r>
    </w:p>
    <w:bookmarkEnd w:id="69"/>
    <w:bookmarkStart w:id="70" w:name="风险日历"/>
    <w:p>
      <w:pPr>
        <w:pStyle w:val="Heading2"/>
      </w:pPr>
      <w:r>
        <w:t xml:space="preserve">⚠️ </w:t>
      </w:r>
      <w:r>
        <w:rPr>
          <w:rFonts w:hint="eastAsia"/>
        </w:rPr>
        <w:t xml:space="preserve">风险日历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风险关注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10月19—22日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2026金融街论坛年会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金融政策预期差、券商板块波动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10月19—21日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中东部降温及大风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交通、农业、能源需求扰动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10月23—27日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第140届广交会第二期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家居出口与外需订单验证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其他风险：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俄乌冲突继续涉及能源、物流及数据中心设施。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中东局势存在向原油和航运风险溢价传导的可能。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宽基ETF份额数据缺失，增量资金方向不可判定。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两融数据最新结算日为10月16日，存在T+1及节奏滞后。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TickFlow全市场快照因数据不完整不可用，不能据此推断全市场均线宽度。</w:t>
      </w:r>
    </w:p>
    <w:p>
      <w:r>
        <w:pict>
          <v:rect style="width:0;height:1.5pt" o:hralign="center" o:hrstd="t" o:hr="t"/>
        </w:pict>
      </w:r>
    </w:p>
    <w:bookmarkEnd w:id="70"/>
    <w:bookmarkStart w:id="72" w:name="外资与离岸风险偏好"/>
    <w:p>
      <w:pPr>
        <w:pStyle w:val="Heading2"/>
      </w:pPr>
      <w:r>
        <w:t xml:space="preserve">🌏 </w:t>
      </w:r>
      <w:r>
        <w:rPr>
          <w:rFonts w:hint="eastAsia"/>
        </w:rPr>
        <w:t xml:space="preserve">外资与离岸风险偏好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最新值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恒生指数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24062.721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+0.52%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富时中国A50期指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13331.76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-0.09%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美元兑离岸人民币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6.6811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-0.01%</w:t>
            </w:r>
          </w:p>
        </w:tc>
      </w:tr>
    </w:tbl>
    <w:bookmarkStart w:id="71" w:name="解读"/>
    <w:p>
      <w:pPr>
        <w:pStyle w:val="Heading3"/>
      </w:pPr>
      <w:r>
        <w:t xml:space="preserve">🔍 </w:t>
      </w:r>
      <w:r>
        <w:rPr>
          <w:rFonts w:hint="eastAsia"/>
        </w:rPr>
        <w:t xml:space="preserve">解读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恒生指数上涨0.52%，港股风险偏好偏正。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A50期指下跌0.09%，对A股开盘指引接近中性略弱。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美元兑离岸人民币下跌0.01%，人民币小幅走强，汇率端未出现明显外流压力。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本轮采集没有可核验的北向资金实时净流入数据，因此不以汇率或A50替代外资流向。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综合判断：离岸风险偏好中性偏稳，但尚不足以抵消A股内部缩量和重点股趋势破位。</w:t>
      </w:r>
    </w:p>
    <w:p>
      <w:r>
        <w:pict>
          <v:rect style="width:0;height:1.5pt" o:hralign="center" o:hrstd="t" o:hr="t"/>
        </w:pict>
      </w:r>
    </w:p>
    <w:bookmarkEnd w:id="71"/>
    <w:bookmarkEnd w:id="72"/>
    <w:bookmarkStart w:id="73" w:name="盘前结论"/>
    <w:p>
      <w:pPr>
        <w:pStyle w:val="Heading2"/>
      </w:pPr>
      <w:r>
        <w:t xml:space="preserve">💡 </w:t>
      </w:r>
      <w:r>
        <w:rPr>
          <w:rFonts w:hint="eastAsia"/>
        </w:rPr>
        <w:t xml:space="preserve">盘前结论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指数层面可能继续由权重维持稳定，但个股层面仍需防范跌多涨少。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通信设备、半导体和自动化设备具备政策、外盘或资金线索，但重点科技股右侧评级没有A/B级。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今日核心不是追逐隔夜半导体上涨，而是确认通信设备26.99亿元净流入能否延续、科技核心股能否站回关键均线。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基准仓位控制在21%—36%，成交额、市场广度和右侧趋势没有同步改善前，不启用46%积极仓位。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严格执行“高开不追、破位不补、确认再加仓”。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生成时间：2026-10-20</w:t>
      </w:r>
      <w:r>
        <w:t xml:space="preserve"> 08:30:56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73"/>
    <w:bookmarkEnd w:id="7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2026-10-20T05:32:38Z</dcterms:created>
  <dcterms:modified xsi:type="dcterms:W3CDTF">2026-10-20T05:32:38Z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