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6" w:name="奇迹早知道2026年10月15日盘前简报"/>
    <w:p>
      <w:pPr>
        <w:pStyle w:val="Heading1"/>
      </w:pPr>
      <w:r>
        <w:t xml:space="preserve">🦞 </w:t>
      </w:r>
      <w:r>
        <w:rPr>
          <w:rFonts w:hint="eastAsia"/>
        </w:rPr>
        <w:t xml:space="preserve">奇迹早知道｜2026年10月15日盘前简报</w:t>
      </w:r>
    </w:p>
    <w:bookmarkStart w:id="12" w:name="隔夜全球市场科技股重挫避险资产升温"/>
    <w:p>
      <w:pPr>
        <w:pStyle w:val="Heading2"/>
      </w:pPr>
      <w:r>
        <w:t xml:space="preserve">🌍 </w:t>
      </w:r>
      <w:r>
        <w:rPr>
          <w:rFonts w:hint="eastAsia"/>
        </w:rPr>
        <w:t xml:space="preserve">隔夜全球市场：科技股重挫，避险资产升温</w:t>
      </w:r>
    </w:p>
    <w:bookmarkStart w:id="9" w:name="美股三大指数"/>
    <w:p>
      <w:pPr>
        <w:pStyle w:val="Heading3"/>
      </w:pPr>
      <w:r>
        <w:t xml:space="preserve">📉🟢 </w:t>
      </w:r>
      <w:r>
        <w:rPr>
          <w:rFonts w:hint="eastAsia"/>
        </w:rPr>
        <w:t xml:space="preserve">美股三大指数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道琼斯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51,621.4805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-0.09%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标普500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7,718.9399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-1.11%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纳斯达克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26,692.8684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-1.88%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纳指单日下跌511.5118点，明显弱于道指，隔夜风险主要集中在科技成长资产。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标普500同步回落，表明抛压并非局限于少数芯片股，但传统权重相对抗跌。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对A股映射：半导体、光模块、消费电子今日仍面临外盘估值压缩压力，低开不等于右侧买点。</w:t>
      </w:r>
    </w:p>
    <w:bookmarkEnd w:id="9"/>
    <w:bookmarkStart w:id="10" w:name="五只核心半导体股"/>
    <w:p>
      <w:pPr>
        <w:pStyle w:val="Heading3"/>
      </w:pPr>
      <w:r>
        <w:t xml:space="preserve">📉🟢 </w:t>
      </w:r>
      <w:r>
        <w:rPr>
          <w:rFonts w:hint="eastAsia"/>
        </w:rPr>
        <w:t xml:space="preserve">五只核心半导体股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公司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英伟达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221.30美元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-3.16%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AMD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570.82美元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-5.73%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台积电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430.00美元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-3.40%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博通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346.25美元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-3.10%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914.13美元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-4.08%</w:t>
            </w:r>
          </w:p>
        </w:tc>
      </w:tr>
    </w:tbl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五只核心股全部收跌，AMD跌幅最大，半导体风险并非单点事件。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昨日A股半导体、通信设备已分别净流出73.34亿元、62.38亿元，隔夜海外芯片股继续下跌，形成内外双重压制。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今日若科技股仅因低开出现快速反抽，但成交额、主力资金和MA20均未修复，应按超跌反弹而非趋势反转处理。</w:t>
      </w:r>
    </w:p>
    <w:bookmarkEnd w:id="10"/>
    <w:bookmarkStart w:id="11" w:name="大宗商品与避险资产"/>
    <w:p>
      <w:pPr>
        <w:pStyle w:val="Heading3"/>
      </w:pPr>
      <w:r>
        <w:t xml:space="preserve">🛢️🟡 </w:t>
      </w:r>
      <w:r>
        <w:rPr>
          <w:rFonts w:hint="eastAsia"/>
        </w:rPr>
        <w:t xml:space="preserve">大宗商品与避险资产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COMEX黄金报4,161.142美元，📈🔴上涨1.30%，避险需求明显升温。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WTI原油报94.628美元，📉🟢下跌0.49%。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伦铜报14,417.79美元，📉🟢下跌0.50%。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欧洲天然气期货突破86欧元/兆瓦时，升至2022年12月以来最高水平，欧洲库存为73.75%，能源供应风险正在上升。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18" w:name="新闻联播政策面开放健康中国与先进制造形成三条政策主线"/>
    <w:p>
      <w:pPr>
        <w:pStyle w:val="Heading2"/>
      </w:pPr>
      <w:r>
        <w:t xml:space="preserve">📰 </w:t>
      </w:r>
      <w:r>
        <w:rPr>
          <w:rFonts w:hint="eastAsia"/>
        </w:rPr>
        <w:t xml:space="preserve">新闻联播政策面：开放、健康中国与先进制造形成三条政策主线</w:t>
      </w:r>
    </w:p>
    <w:bookmarkStart w:id="13" w:name="高水平开放与外贸产业链"/>
    <w:p>
      <w:pPr>
        <w:pStyle w:val="Heading3"/>
      </w:pPr>
      <w:r>
        <w:t xml:space="preserve">🌐 </w:t>
      </w:r>
      <w:r>
        <w:rPr>
          <w:rFonts w:hint="eastAsia"/>
        </w:rPr>
        <w:t xml:space="preserve">高水平开放与外贸产业链</w:t>
      </w:r>
    </w:p>
    <w:p>
      <w:pPr>
        <w:pStyle w:val="FirstParagraph"/>
      </w:pPr>
      <w:r>
        <w:rPr>
          <w:rFonts w:hint="eastAsia"/>
        </w:rPr>
        <w:t xml:space="preserve">10月14日新闻联播重点报道第140届广交会开幕。政策信号包括：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中国将继续扩大高水平开放，维护多边贸易体制和全球产业链供应链稳定。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广交会将向“智慧广交会、绿色广交会、人文广交会”升级。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前三季度货物贸易进出口39.94万亿元，同比增长18.8%；出口23.2万亿元，同比增长16.4%；进口16.74万亿元，同比增长22.3%。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9月进出口5.16万亿元，同比增长27.5%，月度规模首次突破5万亿元。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装备制造业贡献近九成出口增量，中间品占出口总值比重超过一半。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出口装备与中间品</w:t>
      </w:r>
      <w:r>
        <w:rPr>
          <w:rFonts w:hint="eastAsia"/>
        </w:rPr>
        <w:t xml:space="preserve">：工业自动化、电力设备、工程机械、电子元件及跨境供应链具备政策支撑。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跨境贸易服务</w:t>
      </w:r>
      <w:r>
        <w:rPr>
          <w:rFonts w:hint="eastAsia"/>
        </w:rPr>
        <w:t xml:space="preserve">：港口航运、跨境电商、支付清算和会展经济可能获得事件性关注。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广东本地与广交会链条</w:t>
      </w:r>
      <w:r>
        <w:rPr>
          <w:rFonts w:hint="eastAsia"/>
        </w:rPr>
        <w:t xml:space="preserve">：展会、酒店、交通、物流可能受益，但短线题材持续性必须由成交额和资金确认。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风险约束</w:t>
      </w:r>
      <w:r>
        <w:rPr>
          <w:rFonts w:hint="eastAsia"/>
        </w:rPr>
        <w:t xml:space="preserve">：贸易数据强不等于所有出口股普涨，应优先选择订单、利润和现金流能够同步验证的公司。</w:t>
      </w:r>
    </w:p>
    <w:bookmarkEnd w:id="13"/>
    <w:bookmarkStart w:id="14" w:name="健康中国进入十五五关键期"/>
    <w:p>
      <w:pPr>
        <w:pStyle w:val="Heading3"/>
      </w:pPr>
      <w:r>
        <w:t xml:space="preserve">🏥 </w:t>
      </w:r>
      <w:r>
        <w:rPr>
          <w:rFonts w:hint="eastAsia"/>
        </w:rPr>
        <w:t xml:space="preserve">健康中国进入“十五五”关键期</w:t>
      </w:r>
    </w:p>
    <w:p>
      <w:pPr>
        <w:pStyle w:val="FirstParagraph"/>
      </w:pPr>
      <w:r>
        <w:rPr>
          <w:rFonts w:hint="eastAsia"/>
        </w:rPr>
        <w:t xml:space="preserve">全国卫生与健康大会提出：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坚定实施健康优先发展战略。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强化健康管理、疾病防控、医疗服务、医保支撑、医药创新和人才培养。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推进医疗卫生强基工程、分级诊疗和基层医疗能力建设。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强调预防为主和全生命周期健康管理。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中期受益方向包括基层医疗设备、医学检验、医疗信息化、创新药、疫苗、康复养老及医药流通。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医疗ETF上一交易日下跌0.8955%，目前尚无资金和趋势共振证据。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医药方向可进入政策观察池，但不能仅凭新闻联播信号追涨；需等待板块放量、ETF份额改善和核心股站回MA20。</w:t>
      </w:r>
    </w:p>
    <w:bookmarkEnd w:id="14"/>
    <w:bookmarkStart w:id="15" w:name="人工智能与先进制造"/>
    <w:p>
      <w:pPr>
        <w:pStyle w:val="Heading3"/>
      </w:pPr>
      <w:r>
        <w:t xml:space="preserve">🤖 </w:t>
      </w:r>
      <w:r>
        <w:rPr>
          <w:rFonts w:hint="eastAsia"/>
        </w:rPr>
        <w:t xml:space="preserve">人工智能与先进制造</w:t>
      </w:r>
    </w:p>
    <w:p>
      <w:pPr>
        <w:pStyle w:val="FirstParagraph"/>
      </w:pPr>
      <w:r>
        <w:rPr>
          <w:rFonts w:hint="eastAsia"/>
        </w:rPr>
        <w:t xml:space="preserve">新闻联播明确人工智能是新一轮技术革命和产业变革的关键力量，并提到人工智能、算电协同推动电气机械和计算机等下游制造业价格改善。</w:t>
      </w:r>
    </w:p>
    <w:p>
      <w:pPr>
        <w:pStyle w:val="BodyText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中期产业逻辑仍覆盖算力基础设施、AI应用、数据中心配套、PCB和先进制造。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但昨日硬科技方向发生大额净流出，重点科技股样本右侧评级无A、B级。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政策长期利好与短期交易结构恶化必须分开：今日不以“产业逻辑未变”为理由承接破位筹码。</w:t>
      </w:r>
    </w:p>
    <w:bookmarkEnd w:id="15"/>
    <w:bookmarkStart w:id="16" w:name="绿色能源与区域产业"/>
    <w:p>
      <w:pPr>
        <w:pStyle w:val="Heading3"/>
      </w:pPr>
      <w:r>
        <w:t xml:space="preserve">⚡ </w:t>
      </w:r>
      <w:r>
        <w:rPr>
          <w:rFonts w:hint="eastAsia"/>
        </w:rPr>
        <w:t xml:space="preserve">绿色能源与区域产业</w:t>
      </w:r>
    </w:p>
    <w:p>
      <w:pPr>
        <w:pStyle w:val="FirstParagraph"/>
      </w:pPr>
      <w:r>
        <w:rPr>
          <w:rFonts w:hint="eastAsia"/>
        </w:rPr>
        <w:t xml:space="preserve">云南“十五五”方向包括绿色能源、绿色磷化工、生物医药、新材料和算力出海；乌东德、白鹤滩、溪洛渡组成总装机超过7,000万千瓦的清洁能源走廊。</w:t>
      </w:r>
    </w:p>
    <w:p>
      <w:pPr>
        <w:pStyle w:val="BodyText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水电、区域电网、磷化工、新材料和算力出海具备中期政策线索。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昨日电力行业主力净流入6.96亿元，政策与资金出现初步同向。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但电网设备净流出9.93亿元，电力运营与电网设备不能混为同一交易结论。</w:t>
      </w:r>
    </w:p>
    <w:bookmarkEnd w:id="16"/>
    <w:bookmarkStart w:id="17" w:name="金融开放与支付服务"/>
    <w:p>
      <w:pPr>
        <w:pStyle w:val="Heading3"/>
      </w:pPr>
      <w:r>
        <w:t xml:space="preserve">💳 </w:t>
      </w:r>
      <w:r>
        <w:rPr>
          <w:rFonts w:hint="eastAsia"/>
        </w:rPr>
        <w:t xml:space="preserve">金融开放与支付服务</w:t>
      </w:r>
    </w:p>
    <w:p>
      <w:pPr>
        <w:pStyle w:val="FirstParagraph"/>
      </w:pPr>
      <w:r>
        <w:rPr>
          <w:rFonts w:hint="eastAsia"/>
        </w:rPr>
        <w:t xml:space="preserve">中国人民银行已批准Visa在境内筹备设立银行卡清算机构。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利好跨境支付服务、银行卡清算生态和外籍人员支付便利化。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对银行股直接利润贡献尚暂缺确认，不宜扩大解读。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支付概念若出现高开，应观察实际合作关系和成交额，不追逐仅有名称关联的公司。</w:t>
      </w:r>
    </w:p>
    <w:p>
      <w:r>
        <w:pict>
          <v:rect style="width:0;height:1.5pt" o:hralign="center" o:hrstd="t" o:hr="t"/>
        </w:pict>
      </w:r>
    </w:p>
    <w:bookmarkEnd w:id="17"/>
    <w:bookmarkEnd w:id="18"/>
    <w:bookmarkStart w:id="23" w:name="今日公告业绩预告密集回购增持与减持风险并存"/>
    <w:p>
      <w:pPr>
        <w:pStyle w:val="Heading2"/>
      </w:pPr>
      <w:r>
        <w:t xml:space="preserve">📣 </w:t>
      </w:r>
      <w:r>
        <w:rPr>
          <w:rFonts w:hint="eastAsia"/>
        </w:rPr>
        <w:t xml:space="preserve">今日公告：业绩预告密集，回购增持与减持风险并存</w:t>
      </w:r>
    </w:p>
    <w:p>
      <w:pPr>
        <w:pStyle w:val="FirstParagraph"/>
      </w:pPr>
      <w:r>
        <w:rPr>
          <w:rFonts w:hint="eastAsia"/>
        </w:rPr>
        <w:t xml:space="preserve">公告数据来自巨潮资讯官方历史公告接口，覆盖沪深两市841条公告；原实时主接口返回HTTP</w:t>
      </w:r>
      <w:r>
        <w:t xml:space="preserve"> </w:t>
      </w:r>
      <w:r>
        <w:rPr>
          <w:rFonts w:hint="eastAsia"/>
        </w:rPr>
        <w:t xml:space="preserve">567后，历史公告官方接口完成全量兜底。</w:t>
      </w:r>
    </w:p>
    <w:bookmarkStart w:id="19" w:name="值得跟踪的正向事项"/>
    <w:p>
      <w:pPr>
        <w:pStyle w:val="Heading3"/>
      </w:pPr>
      <w:r>
        <w:t xml:space="preserve">📈🔴 </w:t>
      </w:r>
      <w:r>
        <w:rPr>
          <w:rFonts w:hint="eastAsia"/>
        </w:rPr>
        <w:t xml:space="preserve">值得跟踪的正向事项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普冉股份（688766）</w:t>
      </w:r>
      <w:r>
        <w:rPr>
          <w:rFonts w:hint="eastAsia"/>
        </w:rPr>
        <w:t xml:space="preserve">：发行股份、可转换公司债券及支付现金购买资产并募集配套资金事项，获得上交所并购重组审核委员会审核通过。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杰华特（688141）</w:t>
      </w:r>
      <w:r>
        <w:rPr>
          <w:rFonts w:hint="eastAsia"/>
        </w:rPr>
        <w:t xml:space="preserve">：控股股东一致行动人拟使用专项贷款及自有资金增持公司股份。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奥比中光（688322）</w:t>
      </w:r>
      <w:r>
        <w:rPr>
          <w:rFonts w:hint="eastAsia"/>
        </w:rPr>
        <w:t xml:space="preserve">：披露集中竞价回购股份报告书。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东阳光（600673）</w:t>
      </w:r>
      <w:r>
        <w:rPr>
          <w:rFonts w:hint="eastAsia"/>
        </w:rPr>
        <w:t xml:space="preserve">：披露集中竞价回购股份进展。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万通发展（600246）</w:t>
      </w:r>
      <w:r>
        <w:rPr>
          <w:rFonts w:hint="eastAsia"/>
        </w:rPr>
        <w:t xml:space="preserve">：集中披露2026年股票期权激励计划草案、考核办法及首次授予对象名单。</w:t>
      </w:r>
    </w:p>
    <w:bookmarkEnd w:id="19"/>
    <w:bookmarkStart w:id="20" w:name="负向或不确定事项"/>
    <w:p>
      <w:pPr>
        <w:pStyle w:val="Heading3"/>
      </w:pPr>
      <w:r>
        <w:t xml:space="preserve">📉🟢 </w:t>
      </w:r>
      <w:r>
        <w:rPr>
          <w:rFonts w:hint="eastAsia"/>
        </w:rPr>
        <w:t xml:space="preserve">负向或不确定事项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东百集团（600693）</w:t>
      </w:r>
      <w:r>
        <w:rPr>
          <w:rFonts w:hint="eastAsia"/>
        </w:rPr>
        <w:t xml:space="preserve">：终止收购杭州快灵光电科技有限公司部分股权。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浙文互联（600986）</w:t>
      </w:r>
      <w:r>
        <w:rPr>
          <w:rFonts w:hint="eastAsia"/>
        </w:rPr>
        <w:t xml:space="preserve">：高级管理人员披露减持股份计划。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永新光学（603297）</w:t>
      </w:r>
      <w:r>
        <w:rPr>
          <w:rFonts w:hint="eastAsia"/>
        </w:rPr>
        <w:t xml:space="preserve">：股东披露减持股份计划。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奋达科技（002681）</w:t>
      </w:r>
      <w:r>
        <w:rPr>
          <w:rFonts w:hint="eastAsia"/>
        </w:rPr>
        <w:t xml:space="preserve">：控股股东及其一致行动人披露减持预案。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新亚制程（002388）</w:t>
      </w:r>
      <w:r>
        <w:rPr>
          <w:rFonts w:hint="eastAsia"/>
        </w:rPr>
        <w:t xml:space="preserve">：筹划发行股份及支付现金购买资产并募集配套资金，继续停牌。</w:t>
      </w:r>
    </w:p>
    <w:bookmarkEnd w:id="20"/>
    <w:bookmarkStart w:id="21" w:name="监管处罚与减值"/>
    <w:p>
      <w:pPr>
        <w:pStyle w:val="Heading3"/>
      </w:pPr>
      <w:r>
        <w:t xml:space="preserve">⚠️ </w:t>
      </w:r>
      <w:r>
        <w:rPr>
          <w:rFonts w:hint="eastAsia"/>
        </w:rPr>
        <w:t xml:space="preserve">监管、处罚与减值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*ST清越（688496）</w:t>
      </w:r>
      <w:r>
        <w:rPr>
          <w:rFonts w:hint="eastAsia"/>
        </w:rPr>
        <w:t xml:space="preserve">：收到中国证监会《行政处罚决定书》。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包钢股份（600010）</w:t>
      </w:r>
      <w:r>
        <w:rPr>
          <w:rFonts w:hint="eastAsia"/>
        </w:rPr>
        <w:t xml:space="preserve">：因安全事故收到《行政处罚决定书》。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林州重机（002535）</w:t>
      </w:r>
      <w:r>
        <w:rPr>
          <w:rFonts w:hint="eastAsia"/>
        </w:rPr>
        <w:t xml:space="preserve">：公司及相关当事人收到《行政处罚事先告知书》。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一鸣食品（605179）</w:t>
      </w:r>
      <w:r>
        <w:rPr>
          <w:rFonts w:hint="eastAsia"/>
        </w:rPr>
        <w:t xml:space="preserve">：披露计提资产减值准备公告。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今日公告分类中包含15项减持、27项业绩预告、11项问询、4项处罚、2项减值和1项停牌事项，个股风险必须先于题材逻辑核查。</w:t>
      </w:r>
    </w:p>
    <w:bookmarkEnd w:id="21"/>
    <w:bookmarkStart w:id="22" w:name="公告主源失败采用妙想只读新闻有限增强"/>
    <w:p>
      <w:pPr>
        <w:pStyle w:val="Heading3"/>
      </w:pPr>
      <w:r>
        <w:t xml:space="preserve">🔎 </w:t>
      </w:r>
      <w:r>
        <w:rPr>
          <w:rFonts w:hint="eastAsia"/>
        </w:rPr>
        <w:t xml:space="preserve">公告主源失败，采用妙想只读新闻有限增强</w:t>
      </w:r>
    </w:p>
    <w:p>
      <w:pPr>
        <w:pStyle w:val="FirstParagraph"/>
      </w:pPr>
      <w:r>
        <w:rPr>
          <w:rFonts w:hint="eastAsia"/>
        </w:rPr>
        <w:t xml:space="preserve">以下仅保留</w:t>
      </w:r>
      <w:r>
        <w:rPr>
          <w:rStyle w:val="VerbatimChar"/>
        </w:rPr>
        <w:t xml:space="preserve">announcement_fallback.status=usable</w:t>
      </w:r>
      <w:r>
        <w:rPr>
          <w:rFonts w:hint="eastAsia"/>
        </w:rPr>
        <w:t xml:space="preserve">中的3条合格项目，均</w:t>
      </w:r>
      <w:r>
        <w:rPr>
          <w:rFonts w:hint="eastAsia"/>
          <w:b/>
          <w:bCs/>
        </w:rPr>
        <w:t xml:space="preserve">未经交易所公告主源复核</w:t>
      </w:r>
      <w:r>
        <w:rPr>
          <w:rFonts w:hint="eastAsia"/>
        </w:rPr>
        <w:t xml:space="preserve">：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2026-10-14 </w:t>
      </w:r>
      <w:r>
        <w:rPr>
          <w:rFonts w:hint="eastAsia"/>
          <w:b/>
          <w:bCs/>
        </w:rPr>
        <w:t xml:space="preserve">22:31:47｜韭研公社</w:t>
      </w:r>
      <w:r>
        <w:br/>
      </w:r>
      <w:r>
        <w:rPr>
          <w:rFonts w:hint="eastAsia"/>
        </w:rPr>
        <w:t xml:space="preserve">报道华凯易佰、沪电股份、东方锆业、嘉元科技、荣盛石化、卫星化学、德福科技前三季度业绩预增信息。</w:t>
      </w:r>
      <w:r>
        <w:rPr>
          <w:rFonts w:hint="eastAsia"/>
          <w:b/>
          <w:bCs/>
        </w:rPr>
        <w:t xml:space="preserve">未经交易所公告主源复核</w:t>
      </w:r>
      <w:r>
        <w:t xml:space="preserve">。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2026-10-15 </w:t>
      </w:r>
      <w:r>
        <w:rPr>
          <w:rFonts w:hint="eastAsia"/>
          <w:b/>
          <w:bCs/>
        </w:rPr>
        <w:t xml:space="preserve">07:13:13｜中国证券报</w:t>
      </w:r>
      <w:r>
        <w:br/>
      </w:r>
      <w:r>
        <w:rPr>
          <w:rFonts w:hint="eastAsia"/>
        </w:rPr>
        <w:t xml:space="preserve">报道中国太保2026年中期每10股派4.20元，股权登记日为10月22日；同时提及雷电微力股东减持。</w:t>
      </w:r>
      <w:r>
        <w:rPr>
          <w:rFonts w:hint="eastAsia"/>
          <w:b/>
          <w:bCs/>
        </w:rPr>
        <w:t xml:space="preserve">未经交易所公告主源复核</w:t>
      </w:r>
      <w:r>
        <w:t xml:space="preserve">。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2026-10-15 </w:t>
      </w:r>
      <w:r>
        <w:rPr>
          <w:rFonts w:hint="eastAsia"/>
          <w:b/>
          <w:bCs/>
        </w:rPr>
        <w:t xml:space="preserve">07:58:18｜东方财富研究中心</w:t>
      </w:r>
      <w:r>
        <w:br/>
      </w:r>
      <w:r>
        <w:rPr>
          <w:rFonts w:hint="eastAsia"/>
        </w:rPr>
        <w:t xml:space="preserve">报道央行今日开展7,000亿元、期限182天的买断式逆回购，并提及AI硬件产业链三季报预喜。</w:t>
      </w:r>
      <w:r>
        <w:rPr>
          <w:rFonts w:hint="eastAsia"/>
          <w:b/>
          <w:bCs/>
        </w:rPr>
        <w:t xml:space="preserve">未经交易所公告主源复核</w:t>
      </w:r>
      <w:r>
        <w:t xml:space="preserve">。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5" w:name="今日经济数据与重要事件"/>
    <w:p>
      <w:pPr>
        <w:pStyle w:val="Heading2"/>
      </w:pPr>
      <w:r>
        <w:t xml:space="preserve">🗓️ </w:t>
      </w:r>
      <w:r>
        <w:rPr>
          <w:rFonts w:hint="eastAsia"/>
        </w:rPr>
        <w:t xml:space="preserve">今日经济数据与重要事件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央行流动性操作</w:t>
      </w:r>
      <w:r>
        <w:rPr>
          <w:rFonts w:hint="eastAsia"/>
        </w:rPr>
        <w:t xml:space="preserve">：中国人民银行今日将开展7,000亿元买断式逆回购，期限6个月、182天，到期日为2027年4月15日。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成品油调价</w:t>
      </w:r>
      <w:r>
        <w:rPr>
          <w:rFonts w:hint="eastAsia"/>
        </w:rPr>
        <w:t xml:space="preserve">：国内成品油价格将于今日24时开启新一轮调价窗口。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广交会</w:t>
      </w:r>
      <w:r>
        <w:rPr>
          <w:rFonts w:hint="eastAsia"/>
        </w:rPr>
        <w:t xml:space="preserve">：第140届广交会于10月15日至11月4日在广州举行。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产业活动</w:t>
      </w:r>
      <w:r>
        <w:rPr>
          <w:rFonts w:hint="eastAsia"/>
        </w:rPr>
        <w:t xml:space="preserve">：英伟达中国开发者日于10月15日至16日在苏州举行。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模型事件</w:t>
      </w:r>
      <w:r>
        <w:rPr>
          <w:rFonts w:hint="eastAsia"/>
        </w:rPr>
        <w:t xml:space="preserve">：阶跃星辰计划于今日开源旗舰基座模型Step</w:t>
      </w:r>
      <w:r>
        <w:t xml:space="preserve"> 5 Preview。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新股上市</w:t>
      </w:r>
      <w:r>
        <w:rPr>
          <w:rFonts w:hint="eastAsia"/>
        </w:rPr>
        <w:t xml:space="preserve">：创业板联亚药业（301569）、北交所莫森泰克（920162）今日上市。</w:t>
      </w:r>
    </w:p>
    <w:bookmarkStart w:id="24" w:name="宏观数据线索"/>
    <w:p>
      <w:pPr>
        <w:pStyle w:val="Heading3"/>
      </w:pPr>
      <w:r>
        <w:t xml:space="preserve">📊 </w:t>
      </w:r>
      <w:r>
        <w:rPr>
          <w:rFonts w:hint="eastAsia"/>
        </w:rPr>
        <w:t xml:space="preserve">宏观数据线索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9月CPI同比上涨0.9%、环比上涨0.2%，核心CPI同比上涨1.0%。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9月PPI同比上涨5.0%，前三季度PPI同比上涨2.3%，上游价格改善与下游利润承压需要同步观察。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9月末M2余额359.63万亿元，同比增长7.2%。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社会融资规模存量468.17万亿元，同比增长7.1%。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前三季度人民币贷款增加11.52万亿元，资金重点流向科技创新、绿色发展和中小微企业。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全球事件与外部风险"/>
    <w:p>
      <w:pPr>
        <w:pStyle w:val="Heading2"/>
      </w:pPr>
      <w:r>
        <w:t xml:space="preserve">🌐 </w:t>
      </w:r>
      <w:r>
        <w:rPr>
          <w:rFonts w:hint="eastAsia"/>
        </w:rPr>
        <w:t xml:space="preserve">全球事件与外部风险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沙特主导的联军与也门胡塞武装相互打击能源设施，沙特阿美总部、炼油厂及机场被列为打击目标，能源运输风险升高。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俄乌冲突继续影响基辅及哈尔科夫能源、通信设施，黑海船只遇袭事件增加航运保险和供应链成本。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欧洲天然气价格升至近四年高位，欧洲冬季能源供应压力明显增加。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俄日间谍事件可能进一步恶化双边关系，但对A股的直接产业影响暂暂缺确认。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黄金上涨而美股科技股、原油、伦铜同步下跌，当前跨市场信号偏向避险，不支持高波动成长股激进扩仓。</w:t>
      </w:r>
    </w:p>
    <w:p>
      <w:r>
        <w:pict>
          <v:rect style="width:0;height:1.5pt" o:hralign="center" o:hrstd="t" o:hr="t"/>
        </w:pict>
      </w:r>
    </w:p>
    <w:bookmarkEnd w:id="26"/>
    <w:bookmarkStart w:id="30" w:name="昨日a股复盘缩量普跌防御与传媒逆势"/>
    <w:p>
      <w:pPr>
        <w:pStyle w:val="Heading2"/>
      </w:pPr>
      <w:r>
        <w:t xml:space="preserve">📉🟢 </w:t>
      </w:r>
      <w:r>
        <w:rPr>
          <w:rFonts w:hint="eastAsia"/>
        </w:rPr>
        <w:t xml:space="preserve">昨日A股复盘：缩量普跌，防御与传媒逆势</w:t>
      </w:r>
    </w:p>
    <w:bookmarkStart w:id="27" w:name="主要指数"/>
    <w:p>
      <w:pPr>
        <w:pStyle w:val="Heading3"/>
      </w:pPr>
      <w:r>
        <w:t xml:space="preserve">📊 </w:t>
      </w:r>
      <w:r>
        <w:rPr>
          <w:rFonts w:hint="eastAsia"/>
        </w:rPr>
        <w:t xml:space="preserve">主要指数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3,767.2271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-0.8850%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12,110.5910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-1.9679%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2,866.7630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-3.0957%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1,380.2577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-3.2876%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4,217.6801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-1.3565%</w:t>
            </w:r>
          </w:p>
        </w:tc>
      </w:tr>
    </w:tbl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上涨979家、下跌4,496家、平盘88家，涨跌比0.218，亏损扩散明显。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沪深两市成交额14,263.89亿元，较前一交易日16,889.00亿元减少2,625.11亿元，降幅15.54%，属于明显缩量。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缩量下跌意味着承接不足，而不是充分换手后的快速出清。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风格表现为价值、权重和防守相对占优，成长与高弹性科技明显承压。</w:t>
      </w:r>
    </w:p>
    <w:bookmarkEnd w:id="27"/>
    <w:bookmarkStart w:id="28" w:name="逆势方向"/>
    <w:p>
      <w:pPr>
        <w:pStyle w:val="Heading3"/>
      </w:pPr>
      <w:r>
        <w:t xml:space="preserve">📈🔴 </w:t>
      </w:r>
      <w:r>
        <w:rPr>
          <w:rFonts w:hint="eastAsia"/>
        </w:rPr>
        <w:t xml:space="preserve">逆势方向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游戏上涨2.66%，文化传媒上涨1.35%。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采掘行业上涨1.99%，煤炭上涨1.17%，燃气上涨1.03%。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红利ETF上涨0.7486%，明显强于创业板ETF和科创50ETF。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防御方向强于进攻方向，但传媒内部已出现资金拥挤和高波动风险，不宜追高接力。</w:t>
      </w:r>
    </w:p>
    <w:bookmarkEnd w:id="28"/>
    <w:bookmarkStart w:id="29" w:name="行为金融观察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行为金融观察</w:t>
      </w:r>
    </w:p>
    <w:p>
      <w:pPr>
        <w:pStyle w:val="FirstParagraph"/>
      </w:pPr>
      <w:r>
        <w:rPr>
          <w:rStyle w:val="VerbatimChar"/>
        </w:rPr>
        <w:t xml:space="preserve">derived.behavioral_finance_signals</w:t>
      </w:r>
      <w:r>
        <w:rPr>
          <w:rFonts w:hint="eastAsia"/>
        </w:rPr>
        <w:t xml:space="preserve">风险评分为1，未触发模型设定的FOMO、估值拥挤或高换手拥挤阈值。</w:t>
      </w:r>
    </w:p>
    <w:p>
      <w:pPr>
        <w:pStyle w:val="BodyText"/>
      </w:pPr>
      <w:r>
        <w:rPr>
          <w:rFonts w:hint="eastAsia"/>
        </w:rPr>
        <w:t xml:space="preserve">但盘面仍存在两项现实约束：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涨跌比仅0.218，亏损厌恶可能促使持仓者在反弹中减仓。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成交额缩量15.54%，弱势反抽容易因增量资金不足而回落。</w:t>
      </w:r>
    </w:p>
    <w:p>
      <w:pPr>
        <w:pStyle w:val="FirstParagraph"/>
      </w:pPr>
      <w:r>
        <w:rPr>
          <w:rFonts w:hint="eastAsia"/>
        </w:rPr>
        <w:t xml:space="preserve">因此不能因“模型未触发拥挤”而扩大仓位，应继续按低仓位和右侧确认原则执行。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6" w:name="上一交易日资金四榜"/>
    <w:p>
      <w:pPr>
        <w:pStyle w:val="Heading2"/>
      </w:pPr>
      <w:r>
        <w:t xml:space="preserve">💰 </w:t>
      </w:r>
      <w:r>
        <w:rPr>
          <w:rFonts w:hint="eastAsia"/>
        </w:rPr>
        <w:t xml:space="preserve">上一交易日资金四榜</w:t>
      </w:r>
    </w:p>
    <w:p>
      <w:pPr>
        <w:pStyle w:val="FirstParagraph"/>
      </w:pPr>
      <w:r>
        <w:rPr>
          <w:rFonts w:hint="eastAsia"/>
          <w:b/>
          <w:bCs/>
        </w:rPr>
        <w:t xml:space="preserve">口径：交易日2026-10-14，15:00，previous_close，申万二级行业；来源：华泰skill。仅展示上一交易日主力净流入/净流出金额。</w:t>
      </w:r>
    </w:p>
    <w:bookmarkStart w:id="31" w:name="流出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半导体：主力净流出73.34亿元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通信设备：主力净流出62.38亿元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电池：主力净流出35.58亿元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消费电子：主力净流出19.08亿元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玻璃玻纤：主力净流出16.80亿元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光学光电子：主力净流出14.85亿元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小金属：主力净流出11.98亿元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化学制品：主力净流出10.54亿元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风电设备：主力净流出10.20亿元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电网设备：主力净流出9.93亿元</w:t>
      </w:r>
    </w:p>
    <w:bookmarkEnd w:id="31"/>
    <w:bookmarkStart w:id="32" w:name="流出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中际旭创（300308）：主力净流出101.43亿元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新易盛（300502）：主力净流出55.55亿元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宁德时代（300750）：主力净流出51.95亿元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长鑫科技（688825）：主力净流出48.86亿元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寒武纪（688256）：主力净流出47.75亿元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源杰科技（688498）：主力净流出36.10亿元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天孚通信（300394）：主力净流出34.39亿元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澜起科技（688008）：主力净流出27.53亿元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兆易创新（603986）：主力净流出27.30亿元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东山精密（002384）：主力净流出26.37亿元</w:t>
      </w:r>
    </w:p>
    <w:bookmarkEnd w:id="32"/>
    <w:bookmarkStart w:id="33" w:name="流入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元件：主力净流入12.77亿元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煤炭开采：主力净流入7.30亿元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数字媒体：主力净流入7.17亿元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电力：主力净流入6.96亿元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炼化及贸易：主力净流入6.18亿元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游戏Ⅱ：主力净流入6.07亿元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出版：主力净流入3.48亿元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塑料：主力净流入3.45亿元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广告营销：主力净流入3.04亿元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个护用品：主力净流入2.76亿元</w:t>
      </w:r>
    </w:p>
    <w:bookmarkEnd w:id="33"/>
    <w:bookmarkStart w:id="34" w:name="流入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郑州煤电（600121）：主力净流入5.70亿元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韶能股份（000601）：主力净流入3.73亿元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引力传媒（603598）：主力净流入3.68亿元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沪电股份（002463）：主力净流入3.41亿元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中国石油（601857）：主力净流入3.07亿元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掌阅科技（603533）：主力净流入2.86亿元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兴森科技（002436）：主力净流入2.84亿元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富春股份（300299）：主力净流入2.82亿元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长川科技（300604）：主力净流入2.75亿元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双星新材（002585）：主力净流入2.51亿元</w:t>
      </w:r>
    </w:p>
    <w:bookmarkEnd w:id="34"/>
    <w:bookmarkStart w:id="35" w:name="资金结构结论"/>
    <w:p>
      <w:pPr>
        <w:pStyle w:val="Heading3"/>
      </w:pPr>
      <w:r>
        <w:t xml:space="preserve">🔍 </w:t>
      </w:r>
      <w:r>
        <w:rPr>
          <w:rFonts w:hint="eastAsia"/>
        </w:rPr>
        <w:t xml:space="preserve">资金结构结论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板块资金从半导体、通信、电池等高弹性成长方向撤出，转向煤炭、电力、炼化和传媒应用。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元件虽位列流入第一，但科技内部并非一致回流：PCB相关个股获得资金，光模块、半导体和消费电子仍遭大额抛售。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兴森科技同时进入成交额核心榜和资金流入榜，但TickFlow技术评级仍为D，不能将资金流入直接等同于右侧买点。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42" w:name="两融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两融·宽基ETF·成交额·恐慌联合信号</w:t>
      </w:r>
    </w:p>
    <w:bookmarkStart w:id="37" w:name="两融余额"/>
    <w:p>
      <w:pPr>
        <w:pStyle w:val="Heading3"/>
      </w:pPr>
      <w:r>
        <w:t xml:space="preserve">💳 </w:t>
      </w:r>
      <w:r>
        <w:rPr>
          <w:rFonts w:hint="eastAsia"/>
        </w:rPr>
        <w:t xml:space="preserve">两融余额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2026-10-13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2026-10-12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变化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两融余额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25,458.4506亿元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25,550.1535亿元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-91.7029亿元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融资余额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25,162.7840亿元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25,252.9572亿元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-90.1732亿元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融券余额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295.6666亿元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297.1963亿元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-1.5297亿元</w:t>
            </w:r>
          </w:p>
        </w:tc>
      </w:tr>
    </w:tbl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实际最新结算日期为2026年10月13日。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T+1滞后，报告日当日两融尚未发布</w:t>
      </w:r>
      <w:r>
        <w:t xml:space="preserve">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本轮两融余额下降主要由融资余额减少驱动，融资降幅占绝大部分，反映杠杆资金风险偏好继续收缩。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不得将该变化表述为“今日两融减少”，其对应的是10月12日至10月13日结算变化。</w:t>
      </w:r>
    </w:p>
    <w:bookmarkEnd w:id="37"/>
    <w:bookmarkStart w:id="38" w:name="宽基etf份额变化"/>
    <w:p>
      <w:pPr>
        <w:pStyle w:val="Heading3"/>
      </w:pPr>
      <w:r>
        <w:t xml:space="preserve">💰 </w:t>
      </w:r>
      <w:r>
        <w:rPr>
          <w:rFonts w:hint="eastAsia"/>
        </w:rPr>
        <w:t xml:space="preserve">宽基ETF份额变化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科创50ETF（588000）：10月14日份额增加9.96亿份，估算净申购14.52168亿元，连续3个区间流入，属于连续大额净申购。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创业板ETF（159915）：份额增加5.38亿份，估算净申购15.55358亿元，连续3个区间流入，属于连续大额净申购。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科创板50ETF（588080）：份额增加1.35亿份，估算净申购1.9089亿元，连续3个区间流入。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沪深300ETF（510300）：份额减少2.07亿份，估算净赎回8.88858亿元，连续流入已中断。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中证500ETF（510500）：份额减少1.344亿份，估算净赎回9.4416亿元。</w:t>
      </w:r>
    </w:p>
    <w:p>
      <w:pPr>
        <w:pStyle w:val="FirstParagraph"/>
      </w:pPr>
      <w:r>
        <w:rPr>
          <w:rFonts w:hint="eastAsia"/>
        </w:rPr>
        <w:t xml:space="preserve">宽基ETF呈现明显分化：资金逆势申购科创、创业板宽基，但沪深300与中证500出现净赎回，尚未形成全市场一致性增量。</w:t>
      </w:r>
    </w:p>
    <w:bookmarkEnd w:id="38"/>
    <w:bookmarkStart w:id="39" w:name="成交额质量"/>
    <w:p>
      <w:pPr>
        <w:pStyle w:val="Heading3"/>
      </w:pPr>
      <w:r>
        <w:t xml:space="preserve">📉🟢 </w:t>
      </w:r>
      <w:r>
        <w:rPr>
          <w:rFonts w:hint="eastAsia"/>
        </w:rPr>
        <w:t xml:space="preserve">成交额质量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上一交易日实际成交额14,263.89亿元。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较前一交易日减少2,625.11亿元，变化率-15.54%。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</w:rPr>
        <w:t xml:space="preserve">derived.market_turnover_quality.state</w:t>
      </w:r>
      <w:r>
        <w:rPr>
          <w:rFonts w:hint="eastAsia"/>
        </w:rPr>
        <w:t xml:space="preserve">为“明显缩量”。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缩量普跌削弱反弹持续性，仓位模型因此扣减8个百分点。</w:t>
      </w:r>
    </w:p>
    <w:bookmarkEnd w:id="39"/>
    <w:bookmarkStart w:id="40" w:name="etf-qvix"/>
    <w:p>
      <w:pPr>
        <w:pStyle w:val="Heading3"/>
      </w:pPr>
      <w:r>
        <w:t xml:space="preserve">⚠️ 300ETF QVIX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最新结算值：18.40。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前收盘：17.68。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单日上升0.72，涨幅4.0724%。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20日近期峰值：2026年10月12日的21.04。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较峰值回落12.5475%，但最新值反而较前收盘上升，因此不满足“高位持续降温”条件。</w:t>
      </w:r>
    </w:p>
    <w:bookmarkEnd w:id="40"/>
    <w:bookmarkStart w:id="41" w:name="联合信号结论"/>
    <w:p>
      <w:pPr>
        <w:pStyle w:val="Heading3"/>
      </w:pPr>
      <w:r>
        <w:t xml:space="preserve">⚠️ </w:t>
      </w:r>
      <w:r>
        <w:rPr>
          <w:rFonts w:hint="eastAsia"/>
        </w:rPr>
        <w:t xml:space="preserve">联合信号结论</w:t>
      </w:r>
    </w:p>
    <w:p>
      <w:pPr>
        <w:pStyle w:val="FirstParagraph"/>
      </w:pPr>
      <w:r>
        <w:rPr>
          <w:rStyle w:val="VerbatimChar"/>
        </w:rPr>
        <w:t xml:space="preserve">derived.liquidity_panic_signal.status = not_confirmed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恐慌高位降温且宽基ETF持续流入未确认。</w:t>
      </w:r>
    </w:p>
    <w:p>
      <w:pPr>
        <w:pStyle w:val="BodyText"/>
      </w:pPr>
      <w:r>
        <w:rPr>
          <w:rFonts w:hint="eastAsia"/>
        </w:rPr>
        <w:t xml:space="preserve">原因是宽基ETF连续流入条件已经满足，但QVIX未较前收盘下降，恐慌降温条件不成立；同时融资余额下降、市场成交额明显缩量，不能把ETF逆势申购单独解读为全面见底。</w:t>
      </w:r>
    </w:p>
    <w:p>
      <w:r>
        <w:pict>
          <v:rect style="width:0;height:1.5pt" o:hralign="center" o:hrstd="t" o:hr="t"/>
        </w:pict>
      </w:r>
    </w:p>
    <w:bookmarkEnd w:id="41"/>
    <w:bookmarkEnd w:id="42"/>
    <w:bookmarkStart w:id="46" w:name="市场风格预判"/>
    <w:p>
      <w:pPr>
        <w:pStyle w:val="Heading2"/>
      </w:pPr>
      <w:r>
        <w:t xml:space="preserve">🎯 </w:t>
      </w:r>
      <w:r>
        <w:rPr>
          <w:rFonts w:hint="eastAsia"/>
        </w:rPr>
        <w:t xml:space="preserve">市场风格预判</w:t>
      </w:r>
    </w:p>
    <w:bookmarkStart w:id="43" w:name="防守仍占优"/>
    <w:p>
      <w:pPr>
        <w:pStyle w:val="Heading3"/>
      </w:pPr>
      <w:r>
        <w:t xml:space="preserve">🛡️ </w:t>
      </w:r>
      <w:r>
        <w:rPr>
          <w:rFonts w:hint="eastAsia"/>
        </w:rPr>
        <w:t xml:space="preserve">防守仍占优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隔夜纳指与核心半导体股集体下跌。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昨日A股成长指数显著弱于上证指数，科技主线出现大额资金流出。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煤炭、电力、炼化、红利和黄金相关方向具备相对收益条件。</w:t>
      </w:r>
    </w:p>
    <w:bookmarkEnd w:id="43"/>
    <w:bookmarkStart w:id="44" w:name="传媒应用存在分化机会"/>
    <w:p>
      <w:pPr>
        <w:pStyle w:val="Heading3"/>
      </w:pPr>
      <w:r>
        <w:t xml:space="preserve">🎭 </w:t>
      </w:r>
      <w:r>
        <w:rPr>
          <w:rFonts w:hint="eastAsia"/>
        </w:rPr>
        <w:t xml:space="preserve">传媒应用存在分化机会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数字媒体、游戏、出版、广告营销进入板块资金流入前十。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引力传媒、掌阅科技、富春股份进入个股流入前十。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该方向强度来源于科技硬件向应用端切换，但持续性必须观察板块资金能否继续为正，避免高开后加速拥挤。</w:t>
      </w:r>
    </w:p>
    <w:bookmarkEnd w:id="44"/>
    <w:bookmarkStart w:id="45" w:name="科技硬件只看修复不预判反转"/>
    <w:p>
      <w:pPr>
        <w:pStyle w:val="Heading3"/>
      </w:pPr>
      <w:r>
        <w:t xml:space="preserve">🧩 </w:t>
      </w:r>
      <w:r>
        <w:rPr>
          <w:rFonts w:hint="eastAsia"/>
        </w:rPr>
        <w:t xml:space="preserve">科技硬件只看修复，不预判反转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半导体和通信设备合计净流出规模大，核心成交股多数同步大跌。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重点股技术样本中A、B级均为0，D级9只；长鑫科技因MA60缺失不评级。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科技股即使早盘反抽，也必须先完成资金回流、站回MA20和量价修复，才能重新进入右侧候选。</w:t>
      </w:r>
    </w:p>
    <w:p>
      <w:r>
        <w:pict>
          <v:rect style="width:0;height:1.5pt" o:hralign="center" o:hrstd="t" o:hr="t"/>
        </w:pict>
      </w:r>
    </w:p>
    <w:bookmarkEnd w:id="45"/>
    <w:bookmarkEnd w:id="46"/>
    <w:bookmarkStart w:id="51" w:name="投资方向分层"/>
    <w:p>
      <w:pPr>
        <w:pStyle w:val="Heading2"/>
      </w:pPr>
      <w:r>
        <w:t xml:space="preserve">🧭 </w:t>
      </w:r>
      <w:r>
        <w:rPr>
          <w:rFonts w:hint="eastAsia"/>
        </w:rPr>
        <w:t xml:space="preserve">投资方向分层</w:t>
      </w:r>
    </w:p>
    <w:bookmarkStart w:id="47" w:name="可参与防御资源与稳定现金流方向仅限分歧低吸"/>
    <w:p>
      <w:pPr>
        <w:pStyle w:val="Heading3"/>
      </w:pPr>
      <w:r>
        <w:t xml:space="preserve">📈🔴 </w:t>
      </w:r>
      <w:r>
        <w:rPr>
          <w:rFonts w:hint="eastAsia"/>
        </w:rPr>
        <w:t xml:space="preserve">可参与：防御资源与稳定现金流方向，仅限分歧低吸</w:t>
      </w:r>
    </w:p>
    <w:p>
      <w:pPr>
        <w:pStyle w:val="FirstParagraph"/>
      </w:pPr>
      <w:r>
        <w:rPr>
          <w:rFonts w:hint="eastAsia"/>
          <w:b/>
          <w:bCs/>
        </w:rPr>
        <w:t xml:space="preserve">方向：煤炭开采、电力、炼化及红利资产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证据链</w:t>
      </w:r>
      <w:r>
        <w:rPr>
          <w:rFonts w:hint="eastAsia"/>
        </w:rPr>
        <w:t xml:space="preserve">：煤炭开采净流入7.30亿元、电力净流入6.96亿元、炼化及贸易净流入6.18亿元；郑州煤电净流入5.70亿元，中国石油净流入3.07亿元；红利ETF逆势上涨0.7486%。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核心标的</w:t>
      </w:r>
      <w:r>
        <w:rPr>
          <w:rFonts w:hint="eastAsia"/>
        </w:rPr>
        <w:t xml:space="preserve">：郑州煤电、中国石油；个股右侧技术评级未纳入本轮TickFlow重点股样本，价格触发位暂缺确认。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触发条件</w:t>
      </w:r>
      <w:r>
        <w:rPr>
          <w:rFonts w:hint="eastAsia"/>
        </w:rPr>
        <w:t xml:space="preserve">：板块低开后不继续放量下杀；开盘后主力净流入保持为正；核心股回踩不破昨日低点并重新放量走强。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失效条件</w:t>
      </w:r>
      <w:r>
        <w:rPr>
          <w:rFonts w:hint="eastAsia"/>
        </w:rPr>
        <w:t xml:space="preserve">：煤炭、电力、炼化同步转为主力净流出；资源股高开低走且红利ETF跌破昨日低点。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行动</w:t>
      </w:r>
      <w:r>
        <w:rPr>
          <w:rFonts w:hint="eastAsia"/>
        </w:rPr>
        <w:t xml:space="preserve">：只在分歧承接中小仓试错，不追一致性高开。</w:t>
      </w:r>
    </w:p>
    <w:bookmarkEnd w:id="47"/>
    <w:bookmarkStart w:id="48" w:name="只观察传媒游戏与ai应用"/>
    <w:p>
      <w:pPr>
        <w:pStyle w:val="Heading3"/>
      </w:pPr>
      <w:r>
        <w:t xml:space="preserve">👀 </w:t>
      </w:r>
      <w:r>
        <w:rPr>
          <w:rFonts w:hint="eastAsia"/>
        </w:rPr>
        <w:t xml:space="preserve">只观察：传媒、游戏与AI应用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证据链</w:t>
      </w:r>
      <w:r>
        <w:rPr>
          <w:rFonts w:hint="eastAsia"/>
        </w:rPr>
        <w:t xml:space="preserve">：数字媒体净流入7.17亿元、游戏Ⅱ净流入6.07亿元、出版净流入3.48亿元、广告营销净流入3.04亿元；引力传媒、掌阅科技、富春股份进入资金流入前十。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核心标的</w:t>
      </w:r>
      <w:r>
        <w:rPr>
          <w:rFonts w:hint="eastAsia"/>
        </w:rPr>
        <w:t xml:space="preserve">：引力传媒、掌阅科技、富春股份；本轮无TickFlow</w:t>
      </w:r>
      <w:r>
        <w:t xml:space="preserve"> </w:t>
      </w:r>
      <w:r>
        <w:rPr>
          <w:rFonts w:hint="eastAsia"/>
        </w:rPr>
        <w:t xml:space="preserve">A/B级右侧确认。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触发条件</w:t>
      </w:r>
      <w:r>
        <w:rPr>
          <w:rFonts w:hint="eastAsia"/>
        </w:rPr>
        <w:t xml:space="preserve">：板块早盘分歧后重新放量，核心股不出现高开低走，资金继续从硬件向应用扩散。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失效条件</w:t>
      </w:r>
      <w:r>
        <w:rPr>
          <w:rFonts w:hint="eastAsia"/>
        </w:rPr>
        <w:t xml:space="preserve">：资金流由正转负、核心股冲高回落、板块仅剩少数高位股维持。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行动</w:t>
      </w:r>
      <w:r>
        <w:rPr>
          <w:rFonts w:hint="eastAsia"/>
        </w:rPr>
        <w:t xml:space="preserve">：今日先观察，不进行无技术确认的追涨。</w:t>
      </w:r>
    </w:p>
    <w:bookmarkEnd w:id="48"/>
    <w:bookmarkStart w:id="49" w:name="只观察元件与pcb结构性修复"/>
    <w:p>
      <w:pPr>
        <w:pStyle w:val="Heading3"/>
      </w:pPr>
      <w:r>
        <w:t xml:space="preserve">👀 </w:t>
      </w:r>
      <w:r>
        <w:rPr>
          <w:rFonts w:hint="eastAsia"/>
        </w:rPr>
        <w:t xml:space="preserve">只观察：元件与PCB结构性修复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证据链</w:t>
      </w:r>
      <w:r>
        <w:rPr>
          <w:rFonts w:hint="eastAsia"/>
        </w:rPr>
        <w:t xml:space="preserve">：元件板块净流入12.77亿元居首；沪电股份净流入3.41亿元，兴森科技净流入2.84亿元。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基本面补充</w:t>
      </w:r>
      <w:r>
        <w:rPr>
          <w:rFonts w:hint="eastAsia"/>
        </w:rPr>
        <w:t xml:space="preserve">：兴森科技昨日成交额60.90亿元、上涨4.28%，是成交额与资金流入双重线索。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技术校验</w:t>
      </w:r>
      <w:r>
        <w:rPr>
          <w:rFonts w:hint="eastAsia"/>
        </w:rPr>
        <w:t xml:space="preserve">：兴森科技TickFlow评级为D；截至2026年10月13日，收盘36.19元，MA20为40.947元、MA60为36.221元，仍处于趋势破位状态。10月14日收盘37.74元，但技术均线基准较实际收盘滞后一个交易日。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触发条件</w:t>
      </w:r>
      <w:r>
        <w:rPr>
          <w:rFonts w:hint="eastAsia"/>
        </w:rPr>
        <w:t xml:space="preserve">：后续收盘重新站稳MA20并完成缩量回踩，随后放量突破前高；实时条件尚暂缺确认。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失效条件</w:t>
      </w:r>
      <w:r>
        <w:rPr>
          <w:rFonts w:hint="eastAsia"/>
        </w:rPr>
        <w:t xml:space="preserve">：再次跌破MA60附近结构，或元件板块转为资金净流出。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  <w:b/>
          <w:bCs/>
        </w:rPr>
        <w:t xml:space="preserve">行动</w:t>
      </w:r>
      <w:r>
        <w:rPr>
          <w:rFonts w:hint="eastAsia"/>
        </w:rPr>
        <w:t xml:space="preserve">：当前只观察，不因昨日资金流入追涨。</w:t>
      </w:r>
    </w:p>
    <w:bookmarkEnd w:id="49"/>
    <w:bookmarkStart w:id="50" w:name="应回避光模块半导体高弹性科技硬件"/>
    <w:p>
      <w:pPr>
        <w:pStyle w:val="Heading3"/>
      </w:pPr>
      <w:r>
        <w:t xml:space="preserve">📉🟢 </w:t>
      </w:r>
      <w:r>
        <w:rPr>
          <w:rFonts w:hint="eastAsia"/>
        </w:rPr>
        <w:t xml:space="preserve">应回避：光模块、半导体、高弹性科技硬件</w:t>
      </w:r>
    </w:p>
    <w:p>
      <w:pPr>
        <w:pStyle w:val="FirstParagraph"/>
      </w:pPr>
      <w:r>
        <w:rPr>
          <w:rFonts w:hint="eastAsia"/>
          <w:b/>
          <w:bCs/>
        </w:rPr>
        <w:t xml:space="preserve">重点回避标的与技术依据：</w:t>
      </w:r>
    </w:p>
    <w:p>
      <w:pPr>
        <w:numPr>
          <w:ilvl w:val="0"/>
          <w:numId w:val="1036"/>
        </w:numPr>
      </w:pPr>
      <w:r>
        <w:rPr>
          <w:rFonts w:hint="eastAsia"/>
          <w:b/>
          <w:bCs/>
        </w:rPr>
        <w:t xml:space="preserve">中际旭创（300308）｜D级</w:t>
      </w:r>
      <w:r>
        <w:br/>
      </w:r>
      <w:r>
        <w:rPr>
          <w:rFonts w:hint="eastAsia"/>
        </w:rPr>
        <w:t xml:space="preserve">MA20为861.795元、MA60为917.8385元，距60日高点-37.92%；昨日主力净流出101.43亿元。仅在重新站回MA20、MA60后复评。</w:t>
      </w:r>
    </w:p>
    <w:p>
      <w:pPr>
        <w:numPr>
          <w:ilvl w:val="0"/>
          <w:numId w:val="1036"/>
        </w:numPr>
      </w:pPr>
      <w:r>
        <w:rPr>
          <w:rFonts w:hint="eastAsia"/>
          <w:b/>
          <w:bCs/>
        </w:rPr>
        <w:t xml:space="preserve">新易盛（300502）｜D级</w:t>
      </w:r>
      <w:r>
        <w:br/>
      </w:r>
      <w:r>
        <w:rPr>
          <w:rFonts w:hint="eastAsia"/>
        </w:rPr>
        <w:t xml:space="preserve">MA20为409.209元、MA60为429.6727元，距60日高点-38.24%；昨日主力净流出55.55亿元。当前不是右侧买点。</w:t>
      </w:r>
    </w:p>
    <w:p>
      <w:pPr>
        <w:numPr>
          <w:ilvl w:val="0"/>
          <w:numId w:val="1036"/>
        </w:numPr>
      </w:pPr>
      <w:r>
        <w:rPr>
          <w:rFonts w:hint="eastAsia"/>
          <w:b/>
          <w:bCs/>
        </w:rPr>
        <w:t xml:space="preserve">寒武纪（688256）｜D级</w:t>
      </w:r>
      <w:r>
        <w:br/>
      </w:r>
      <w:r>
        <w:rPr>
          <w:rFonts w:hint="eastAsia"/>
        </w:rPr>
        <w:t xml:space="preserve">MA20为1,054.371元、MA60为1,115.4223元，距60日高点-30.79%；昨日主力净流出47.75亿元。</w:t>
      </w:r>
    </w:p>
    <w:p>
      <w:pPr>
        <w:numPr>
          <w:ilvl w:val="0"/>
          <w:numId w:val="1036"/>
        </w:numPr>
      </w:pPr>
      <w:r>
        <w:rPr>
          <w:rFonts w:hint="eastAsia"/>
          <w:b/>
          <w:bCs/>
        </w:rPr>
        <w:t xml:space="preserve">天孚通信（300394）｜D级</w:t>
      </w:r>
      <w:r>
        <w:br/>
      </w:r>
      <w:r>
        <w:rPr>
          <w:rFonts w:hint="eastAsia"/>
        </w:rPr>
        <w:t xml:space="preserve">MA20为259.9735元、MA60为244.503元，虽然10月13日仍略高于MA60，但已跌破MA20；昨日主力净流出34.39亿元。</w:t>
      </w:r>
    </w:p>
    <w:p>
      <w:pPr>
        <w:numPr>
          <w:ilvl w:val="0"/>
          <w:numId w:val="1036"/>
        </w:numPr>
      </w:pPr>
      <w:r>
        <w:rPr>
          <w:rFonts w:hint="eastAsia"/>
          <w:b/>
          <w:bCs/>
        </w:rPr>
        <w:t xml:space="preserve">兆易创新（603986）｜D级</w:t>
      </w:r>
      <w:r>
        <w:br/>
      </w:r>
      <w:r>
        <w:rPr>
          <w:rFonts w:hint="eastAsia"/>
        </w:rPr>
        <w:t xml:space="preserve">MA20为365.259元、MA60为402.50元，距60日高点-47.56%；昨日主力净流出27.30亿元。</w:t>
      </w:r>
    </w:p>
    <w:p>
      <w:pPr>
        <w:pStyle w:val="FirstParagraph"/>
      </w:pPr>
      <w:r>
        <w:rPr>
          <w:rFonts w:hint="eastAsia"/>
        </w:rPr>
        <w:t xml:space="preserve">TickFlow技术数据截至2026年10月13日，仅用于重点股日K校验，并非10月15日实时分时。上述标的昨日收盘继续下跌，未形成A/B级右侧确认。</w:t>
      </w:r>
    </w:p>
    <w:p>
      <w:r>
        <w:pict>
          <v:rect style="width:0;height:1.5pt" o:hralign="center" o:hrstd="t" o:hr="t"/>
        </w:pict>
      </w:r>
    </w:p>
    <w:bookmarkEnd w:id="50"/>
    <w:bookmarkEnd w:id="51"/>
    <w:bookmarkStart w:id="52" w:name="重点股估值与业绩质量"/>
    <w:p>
      <w:pPr>
        <w:pStyle w:val="Heading2"/>
      </w:pPr>
      <w:r>
        <w:t xml:space="preserve">📚 </w:t>
      </w:r>
      <w:r>
        <w:rPr>
          <w:rFonts w:hint="eastAsia"/>
        </w:rPr>
        <w:t xml:space="preserve">重点股估值与业绩质量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标的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PE(TTM)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PB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2026中报营收同比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净利润同比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39.90倍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20.48倍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182.50%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247.30%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35.17倍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18.99倍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100.30%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91.93%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15.25倍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3.417倍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54.80%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45.31%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38.17倍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23.18倍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873.60%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2,731.00%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67.14倍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9.878倍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63.95%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293.50%</w:t>
            </w:r>
          </w:p>
        </w:tc>
      </w:tr>
    </w:tbl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光模块和PCB公司业绩增长仍强，但高PB、高波动与趋势破位并存，不能只看利润增速忽略估值压缩。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宁德时代PE为15.25倍、PB为3.417倍，估值低于样本内其他成长股，但TickFlow仍给出D级，基本面估值不能替代趋势确认。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长鑫科技技术分析缺少MA60，评级因技术数据不足暂不评级；不得依据不完整日K作右侧结论。</w:t>
      </w:r>
    </w:p>
    <w:p>
      <w:pPr>
        <w:pStyle w:val="Compact"/>
        <w:numPr>
          <w:ilvl w:val="0"/>
          <w:numId w:val="1037"/>
        </w:numPr>
      </w:pPr>
      <w:r>
        <w:rPr>
          <w:rStyle w:val="VerbatimChar"/>
        </w:rPr>
        <w:t xml:space="preserve">financial_rigor</w:t>
      </w:r>
      <w:r>
        <w:rPr>
          <w:rFonts w:hint="eastAsia"/>
        </w:rPr>
        <w:t xml:space="preserve">未给出可确认的逐股验算通过标记，以上估值与财务数据仅按妙想mx-data原始结果使用。</w:t>
      </w:r>
    </w:p>
    <w:p>
      <w:r>
        <w:pict>
          <v:rect style="width:0;height:1.5pt" o:hralign="center" o:hrstd="t" o:hr="t"/>
        </w:pict>
      </w:r>
    </w:p>
    <w:bookmarkEnd w:id="52"/>
    <w:bookmarkStart w:id="56" w:name="今日操作策略先防守后确认"/>
    <w:p>
      <w:pPr>
        <w:pStyle w:val="Heading2"/>
      </w:pPr>
      <w:r>
        <w:t xml:space="preserve">💡 </w:t>
      </w:r>
      <w:r>
        <w:rPr>
          <w:rFonts w:hint="eastAsia"/>
        </w:rPr>
        <w:t xml:space="preserve">今日操作策略：先防守，后确认</w:t>
      </w:r>
    </w:p>
    <w:bookmarkStart w:id="53" w:name="保守档2仓位"/>
    <w:p>
      <w:pPr>
        <w:pStyle w:val="Heading3"/>
      </w:pPr>
      <w:r>
        <w:t xml:space="preserve">🟢 </w:t>
      </w:r>
      <w:r>
        <w:rPr>
          <w:rFonts w:hint="eastAsia"/>
        </w:rPr>
        <w:t xml:space="preserve">保守档：2%仓位</w:t>
      </w:r>
    </w:p>
    <w:p>
      <w:pPr>
        <w:pStyle w:val="FirstParagraph"/>
      </w:pPr>
      <w:r>
        <w:rPr>
          <w:rFonts w:hint="eastAsia"/>
        </w:rPr>
        <w:t xml:space="preserve">适用条件：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A50期指继续走弱；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科技股低开后没有资金回流；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涨跌比持续低于0.5；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QVIX维持上升状态。</w:t>
      </w:r>
    </w:p>
    <w:p>
      <w:pPr>
        <w:pStyle w:val="FirstParagraph"/>
      </w:pPr>
      <w:r>
        <w:rPr>
          <w:rFonts w:hint="eastAsia"/>
        </w:rPr>
        <w:t xml:space="preserve">行动：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仅保留观察仓，不抄底破位科技股。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资源防御方向也不追高，等待分歧承接。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若持仓跌破既定趋势线或前低，执行减仓，不以长期逻辑拖延止损。</w:t>
      </w:r>
    </w:p>
    <w:bookmarkEnd w:id="53"/>
    <w:bookmarkStart w:id="54" w:name="均衡档17仓位"/>
    <w:p>
      <w:pPr>
        <w:pStyle w:val="Heading3"/>
      </w:pPr>
      <w:r>
        <w:t xml:space="preserve">🟡 </w:t>
      </w:r>
      <w:r>
        <w:rPr>
          <w:rFonts w:hint="eastAsia"/>
        </w:rPr>
        <w:t xml:space="preserve">均衡档：17%仓位</w:t>
      </w:r>
    </w:p>
    <w:p>
      <w:pPr>
        <w:pStyle w:val="FirstParagraph"/>
      </w:pPr>
      <w:r>
        <w:rPr>
          <w:rFonts w:hint="eastAsia"/>
        </w:rPr>
        <w:t xml:space="preserve">触发条件：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上证指数止跌，但成交额仍未恢复；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涨跌比回升至1以上；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资源、红利或传媒至少一个方向维持资金净流入；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科技核心股不再扩大跌幅。</w:t>
      </w:r>
    </w:p>
    <w:p>
      <w:pPr>
        <w:pStyle w:val="FirstParagraph"/>
      </w:pPr>
      <w:r>
        <w:rPr>
          <w:rFonts w:hint="eastAsia"/>
        </w:rPr>
        <w:t xml:space="preserve">行动：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以防御方向为主，单一方向不超过总仓位的一半。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传媒与元件只允许观察仓，不参与高开加速。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保留大部分现金等待次日站稳确认。</w:t>
      </w:r>
    </w:p>
    <w:bookmarkEnd w:id="54"/>
    <w:bookmarkStart w:id="55" w:name="进取档27仓位"/>
    <w:p>
      <w:pPr>
        <w:pStyle w:val="Heading3"/>
      </w:pPr>
      <w:r>
        <w:t xml:space="preserve">🔴 </w:t>
      </w:r>
      <w:r>
        <w:rPr>
          <w:rFonts w:hint="eastAsia"/>
        </w:rPr>
        <w:t xml:space="preserve">进取档：27%仓位</w:t>
      </w:r>
    </w:p>
    <w:p>
      <w:pPr>
        <w:pStyle w:val="FirstParagraph"/>
      </w:pPr>
      <w:r>
        <w:rPr>
          <w:rFonts w:hint="eastAsia"/>
        </w:rPr>
        <w:t xml:space="preserve">必须同时满足：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市场成交额较昨日显著改善；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涨跌比持续高于1；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宽基ETF资金与指数价格形成同向修复；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科技或新主线出现A/B级右侧标的；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QVIX转为较前收盘下降。</w:t>
      </w:r>
    </w:p>
    <w:p>
      <w:pPr>
        <w:pStyle w:val="FirstParagraph"/>
      </w:pPr>
      <w:r>
        <w:rPr>
          <w:rFonts w:hint="eastAsia"/>
        </w:rPr>
        <w:t xml:space="preserve">行动：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第一笔底仓不超过总资金的10%。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主线完成站稳确认后再提高至27%。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今日模型上限不等于必须使用，条件不满足则退回17%或2%。</w:t>
      </w:r>
    </w:p>
    <w:p>
      <w:r>
        <w:pict>
          <v:rect style="width:0;height:1.5pt" o:hralign="center" o:hrstd="t" o:hr="t"/>
        </w:pict>
      </w:r>
    </w:p>
    <w:bookmarkEnd w:id="55"/>
    <w:bookmarkEnd w:id="56"/>
    <w:bookmarkStart w:id="58" w:name="仓位模型缩量与市场宽度共同压制风险预算"/>
    <w:p>
      <w:pPr>
        <w:pStyle w:val="Heading2"/>
      </w:pPr>
      <w:r>
        <w:t xml:space="preserve">🧮 </w:t>
      </w:r>
      <w:r>
        <w:rPr>
          <w:rFonts w:hint="eastAsia"/>
        </w:rPr>
        <w:t xml:space="preserve">仓位模型：缩量与市场宽度共同压制风险预算</w:t>
      </w:r>
    </w:p>
    <w:p>
      <w:pPr>
        <w:pStyle w:val="FirstParagraph"/>
      </w:pPr>
      <w:r>
        <w:rPr>
          <w:rStyle w:val="VerbatimChar"/>
        </w:rPr>
        <w:t xml:space="preserve">derived.position_model</w:t>
      </w:r>
      <w:r>
        <w:rPr>
          <w:rFonts w:hint="eastAsia"/>
        </w:rPr>
        <w:t xml:space="preserve">给出的仓位上限为50%，量化调整如下：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涨跌比0.218：扣减15个百分点。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跌停项：本轮不调整。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成交额由16,889.00亿元降至14,263.89亿元，缩量15.54%：扣减8个百分点。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最终进取档为27%，均衡档17%，保守档2%。</w:t>
      </w:r>
    </w:p>
    <w:bookmarkStart w:id="57" w:name="模型解释"/>
    <w:p>
      <w:pPr>
        <w:pStyle w:val="Heading3"/>
      </w:pPr>
      <w:r>
        <w:t xml:space="preserve">⚠️ </w:t>
      </w:r>
      <w:r>
        <w:rPr>
          <w:rFonts w:hint="eastAsia"/>
        </w:rPr>
        <w:t xml:space="preserve">模型解释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27%只是当前条件下的量化上限，不是开盘即买入27%。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宽基ETF逆势申购提供中期承接线索，但两融下降、成交额缩量和QVIX回升抵消了加仓信号。</w:t>
      </w:r>
    </w:p>
    <w:p>
      <w:pPr>
        <w:pStyle w:val="Compact"/>
        <w:numPr>
          <w:ilvl w:val="0"/>
          <w:numId w:val="1045"/>
        </w:numPr>
      </w:pPr>
      <w:r>
        <w:rPr>
          <w:rStyle w:val="VerbatimChar"/>
        </w:rPr>
        <w:t xml:space="preserve">liquidity_panic_signal</w:t>
      </w:r>
      <w:r>
        <w:rPr>
          <w:rFonts w:hint="eastAsia"/>
        </w:rPr>
        <w:t xml:space="preserve">仍为未确认，因此不启用50%仓位上限。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今日优先目标是控制回撤并观察资金重构，不是猜测科技股最低点。</w:t>
      </w:r>
    </w:p>
    <w:p>
      <w:r>
        <w:pict>
          <v:rect style="width:0;height:1.5pt" o:hralign="center" o:hrstd="t" o:hr="t"/>
        </w:pict>
      </w:r>
    </w:p>
    <w:bookmarkEnd w:id="57"/>
    <w:bookmarkEnd w:id="58"/>
    <w:bookmarkStart w:id="59" w:name="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回避清单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  <w:b/>
          <w:bCs/>
        </w:rPr>
        <w:t xml:space="preserve">D级趋势破位股</w:t>
      </w:r>
      <w:r>
        <w:rPr>
          <w:rFonts w:hint="eastAsia"/>
        </w:rPr>
        <w:t xml:space="preserve">：中际旭创、新易盛、宁德时代、东山精密、寒武纪、天孚通信、兆易创新、兴森科技、生益科技。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  <w:b/>
          <w:bCs/>
        </w:rPr>
        <w:t xml:space="preserve">技术数据不完整股</w:t>
      </w:r>
      <w:r>
        <w:rPr>
          <w:rFonts w:hint="eastAsia"/>
        </w:rPr>
        <w:t xml:space="preserve">：长鑫科技缺少MA60，评级因技术数据不足暂不评级，不做右侧判断。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  <w:b/>
          <w:bCs/>
        </w:rPr>
        <w:t xml:space="preserve">大额资金流出方向</w:t>
      </w:r>
      <w:r>
        <w:rPr>
          <w:rFonts w:hint="eastAsia"/>
        </w:rPr>
        <w:t xml:space="preserve">：半导体、通信设备、电池、消费电子、光学光电子。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  <w:b/>
          <w:bCs/>
        </w:rPr>
        <w:t xml:space="preserve">减持计划股</w:t>
      </w:r>
      <w:r>
        <w:rPr>
          <w:rFonts w:hint="eastAsia"/>
        </w:rPr>
        <w:t xml:space="preserve">：浙文互联、永新光学、百大集团、康恩贝、禾丰股份、奋达科技等。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  <w:b/>
          <w:bCs/>
        </w:rPr>
        <w:t xml:space="preserve">处罚与监管风险股</w:t>
      </w:r>
      <w:r>
        <w:rPr>
          <w:rFonts w:hint="eastAsia"/>
        </w:rPr>
        <w:t xml:space="preserve">：*ST清越、包钢股份、林州重机。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  <w:b/>
          <w:bCs/>
        </w:rPr>
        <w:t xml:space="preserve">资产减值风险股</w:t>
      </w:r>
      <w:r>
        <w:rPr>
          <w:rFonts w:hint="eastAsia"/>
        </w:rPr>
        <w:t xml:space="preserve">：一鸣食品及其他披露减值事项的公司。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  <w:b/>
          <w:bCs/>
        </w:rPr>
        <w:t xml:space="preserve">公告利好高开股</w:t>
      </w:r>
      <w:r>
        <w:rPr>
          <w:rFonts w:hint="eastAsia"/>
        </w:rPr>
        <w:t xml:space="preserve">：回购、增持、重组或业绩预增若大幅高开，不在竞价阶段追入。</w:t>
      </w:r>
    </w:p>
    <w:p>
      <w:pPr>
        <w:pStyle w:val="Compact"/>
        <w:numPr>
          <w:ilvl w:val="0"/>
          <w:numId w:val="1046"/>
        </w:numPr>
      </w:pPr>
      <w:r>
        <w:rPr>
          <w:rFonts w:hint="eastAsia"/>
          <w:b/>
          <w:bCs/>
        </w:rPr>
        <w:t xml:space="preserve">纯题材高位传媒股</w:t>
      </w:r>
      <w:r>
        <w:rPr>
          <w:rFonts w:hint="eastAsia"/>
        </w:rPr>
        <w:t xml:space="preserve">：若板块资金转负或核心股高开低走，立即取消参与计划。</w:t>
      </w:r>
    </w:p>
    <w:p>
      <w:r>
        <w:pict>
          <v:rect style="width:0;height:1.5pt" o:hralign="center" o:hrstd="t" o:hr="t"/>
        </w:pict>
      </w:r>
    </w:p>
    <w:bookmarkEnd w:id="59"/>
    <w:bookmarkStart w:id="63" w:name="风险日历"/>
    <w:p>
      <w:pPr>
        <w:pStyle w:val="Heading2"/>
      </w:pPr>
      <w:r>
        <w:t xml:space="preserve">⚠️ </w:t>
      </w:r>
      <w:r>
        <w:rPr>
          <w:rFonts w:hint="eastAsia"/>
        </w:rPr>
        <w:t xml:space="preserve">风险日历</w:t>
      </w:r>
    </w:p>
    <w:bookmarkStart w:id="60" w:name="月15日"/>
    <w:p>
      <w:pPr>
        <w:pStyle w:val="Heading3"/>
      </w:pPr>
      <w:r>
        <w:rPr>
          <w:rFonts w:hint="eastAsia"/>
        </w:rPr>
        <w:t xml:space="preserve">10月15日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7,000亿元、182天买断式逆回购操作。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国内成品油调价窗口于24时开启。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广交会开幕，相关题材存在高开兑现风险。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英伟达中国开发者日、Step</w:t>
      </w:r>
      <w:r>
        <w:t xml:space="preserve"> 5 </w:t>
      </w:r>
      <w:r>
        <w:rPr>
          <w:rFonts w:hint="eastAsia"/>
        </w:rPr>
        <w:t xml:space="preserve">Preview开源事件，AI题材波动可能放大。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两只新股上市，注意高波动和流动性分流。</w:t>
      </w:r>
    </w:p>
    <w:bookmarkEnd w:id="60"/>
    <w:bookmarkStart w:id="61" w:name="月15日至16日"/>
    <w:p>
      <w:pPr>
        <w:pStyle w:val="Heading3"/>
      </w:pPr>
      <w:r>
        <w:rPr>
          <w:rFonts w:hint="eastAsia"/>
        </w:rPr>
        <w:t xml:space="preserve">10月15日至16日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英伟达中国开发者日持续举行，国产算力、服务器、光模块和PCB可能出现事件交易。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隔夜海外半导体股普跌，国内相关题材若高开，应警惕预期提前透支。</w:t>
      </w:r>
    </w:p>
    <w:bookmarkEnd w:id="61"/>
    <w:bookmarkStart w:id="62" w:name="持续风险"/>
    <w:p>
      <w:pPr>
        <w:pStyle w:val="Heading3"/>
      </w:pPr>
      <w:r>
        <w:rPr>
          <w:rFonts w:hint="eastAsia"/>
        </w:rPr>
        <w:t xml:space="preserve">持续风险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中东能源设施相互袭击可能推动油气风险溢价波动。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欧洲天然气价格处于近四年高位，化工、航运和欧洲出口链成本压力增加。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黑海船只遇袭增加粮运、能源运输和保险费用的不确定性。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三季报预告密集披露期，业绩不及预期、减值、减持和监管事项可能引发个股跳空风险。</w:t>
      </w:r>
    </w:p>
    <w:p>
      <w:r>
        <w:pict>
          <v:rect style="width:0;height:1.5pt" o:hralign="center" o:hrstd="t" o:hr="t"/>
        </w:pict>
      </w:r>
    </w:p>
    <w:bookmarkEnd w:id="62"/>
    <w:bookmarkEnd w:id="63"/>
    <w:bookmarkStart w:id="64" w:name="外资与离岸风险偏好"/>
    <w:p>
      <w:pPr>
        <w:pStyle w:val="Heading2"/>
      </w:pPr>
      <w:r>
        <w:t xml:space="preserve">🌏 </w:t>
      </w:r>
      <w:r>
        <w:rPr>
          <w:rFonts w:hint="eastAsia"/>
        </w:rPr>
        <w:t xml:space="preserve">外资与离岸风险偏好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富时中国A50期指报13,396.28点，📉🟢下跌0.86%，盘前对A股权重方向形成负面指引。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恒生指数最新报24,345.219点，📉🟢下跌0.13%，港股风险偏好偏弱但跌幅有限。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美元兑离岸人民币报6.6922，下降0.06%，离岸人民币小幅走强，对外资风险偏好形成一定缓冲。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黄金上涨1.30%、纳指下跌1.88%、五只核心半导体股全部下跌，全球资金整体仍偏避险。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外资与离岸信号并不一致：人民币稳定偏正面，但A50期指、港股和海外科技股偏弱，今日应以开盘后北向相关代理、权重成交和离岸人民币持续性再确认。</w:t>
      </w:r>
    </w:p>
    <w:p>
      <w:r>
        <w:pict>
          <v:rect style="width:0;height:1.5pt" o:hralign="center" o:hrstd="t" o:hr="t"/>
        </w:pict>
      </w:r>
    </w:p>
    <w:bookmarkEnd w:id="64"/>
    <w:bookmarkStart w:id="65" w:name="盘前结论"/>
    <w:p>
      <w:pPr>
        <w:pStyle w:val="Heading2"/>
      </w:pPr>
      <w:r>
        <w:t xml:space="preserve">💡 </w:t>
      </w:r>
      <w:r>
        <w:rPr>
          <w:rFonts w:hint="eastAsia"/>
        </w:rPr>
        <w:t xml:space="preserve">盘前结论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  <w:b/>
          <w:bCs/>
        </w:rPr>
        <w:t xml:space="preserve">主基调：防守优先，科技不抢反弹。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  <w:b/>
          <w:bCs/>
        </w:rPr>
        <w:t xml:space="preserve">优先观察：煤炭、电力、炼化、红利能否在分歧中保持资金流入。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  <w:b/>
          <w:bCs/>
        </w:rPr>
        <w:t xml:space="preserve">次级观察：传媒、游戏、元件是否完成资金扩散，而不是高位抱团。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  <w:b/>
          <w:bCs/>
        </w:rPr>
        <w:t xml:space="preserve">明确回避：半导体、光模块及其他D级趋势破位核心股的无确认抄底。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  <w:b/>
          <w:bCs/>
        </w:rPr>
        <w:t xml:space="preserve">仓位执行：默认2%—17%，只有成交额、市场宽度、ETF和QVIX共同改善后，才允许提高至27%。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  <w:b/>
          <w:bCs/>
        </w:rPr>
        <w:t xml:space="preserve">关键确认：涨跌比回到1以上、成交额恢复、主线资金连续流入、重点股出现A/B级右侧评级。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生成时间：2026-10-15</w:t>
      </w:r>
      <w:r>
        <w:t xml:space="preserve"> 08:38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2026-10-15T00:48:08Z</dcterms:created>
  <dcterms:modified xsi:type="dcterms:W3CDTF">2026-10-15T00:48:08Z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