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1" w:name="奇迹早知道盘前简报2026年10月13日"/>
    <w:p>
      <w:pPr>
        <w:pStyle w:val="Heading1"/>
      </w:pPr>
      <w:r>
        <w:t xml:space="preserve">🌅 </w:t>
      </w:r>
      <w:r>
        <w:rPr>
          <w:rFonts w:hint="eastAsia"/>
        </w:rPr>
        <w:t xml:space="preserve">奇迹早知道｜盘前简报（2026年10月13日）</w:t>
      </w:r>
    </w:p>
    <w:bookmarkStart w:id="9" w:name="盘前核心结论"/>
    <w:p>
      <w:pPr>
        <w:pStyle w:val="Heading2"/>
      </w:pPr>
      <w:r>
        <w:t xml:space="preserve">🎯 </w:t>
      </w:r>
      <w:r>
        <w:rPr>
          <w:rFonts w:hint="eastAsia"/>
        </w:rPr>
        <w:t xml:space="preserve">盘前核心结论</w:t>
      </w:r>
    </w:p>
    <w:p>
      <w:pPr>
        <w:pStyle w:val="Compact"/>
        <w:numPr>
          <w:ilvl w:val="0"/>
          <w:numId w:val="1001"/>
        </w:numPr>
      </w:pPr>
      <w:r>
        <w:t xml:space="preserve">📉</w:t>
      </w:r>
      <w:r>
        <w:t xml:space="preserve"> </w:t>
      </w:r>
      <w:r>
        <w:rPr>
          <w:rFonts w:hint="eastAsia"/>
          <w:b/>
          <w:bCs/>
        </w:rPr>
        <w:t xml:space="preserve">基准判断：防守优先，等待止跌确认。</w:t>
      </w:r>
      <w:r>
        <w:t xml:space="preserve"> </w:t>
      </w:r>
      <w:r>
        <w:rPr>
          <w:rFonts w:hint="eastAsia"/>
        </w:rPr>
        <w:t xml:space="preserve">10月12日上证指数下跌0.43%，深证成指下跌2.03%，创业板指下跌2.61%，科创50下跌2.10%；全市场上涨1167只、下跌4325只，涨跌比仅0.27。</w:t>
      </w:r>
    </w:p>
    <w:p>
      <w:pPr>
        <w:pStyle w:val="Compact"/>
        <w:numPr>
          <w:ilvl w:val="0"/>
          <w:numId w:val="1001"/>
        </w:numPr>
      </w:pPr>
      <w:r>
        <w:t xml:space="preserve">💧</w:t>
      </w:r>
      <w:r>
        <w:t xml:space="preserve"> </w:t>
      </w:r>
      <w:r>
        <w:rPr>
          <w:rFonts w:hint="eastAsia"/>
          <w:b/>
          <w:bCs/>
        </w:rPr>
        <w:t xml:space="preserve">流动性出现托底，但尚未扭转个股趋势。</w:t>
      </w:r>
      <w:r>
        <w:t xml:space="preserve"> </w:t>
      </w:r>
      <w:r>
        <w:rPr>
          <w:rFonts w:hint="eastAsia"/>
        </w:rPr>
        <w:t xml:space="preserve">上一交易日成交额15507.43亿元，较前一交易日减少3659.34亿元、下降19.09%；与此同时，沪深300ETF、科创50ETF、创业板ETF等份额连续增加。</w:t>
      </w:r>
    </w:p>
    <w:p>
      <w:pPr>
        <w:pStyle w:val="Compact"/>
        <w:numPr>
          <w:ilvl w:val="0"/>
          <w:numId w:val="1001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海外半导体集体下跌。</w:t>
      </w:r>
      <w:r>
        <w:t xml:space="preserve"> </w:t>
      </w:r>
      <w:r>
        <w:rPr>
          <w:rFonts w:hint="eastAsia"/>
        </w:rPr>
        <w:t xml:space="preserve">英伟达下跌1.29%、AMD下跌2.28%、台积电下跌1.98%、博通下跌1.88%、美光下跌3.88%，对A股算力、光模块、存储和半导体早盘情绪构成压制。</w:t>
      </w:r>
    </w:p>
    <w:p>
      <w:pPr>
        <w:pStyle w:val="Compact"/>
        <w:numPr>
          <w:ilvl w:val="0"/>
          <w:numId w:val="1001"/>
        </w:numPr>
      </w:pPr>
      <w:r>
        <w:t xml:space="preserve">💰</w:t>
      </w:r>
      <w:r>
        <w:t xml:space="preserve"> </w:t>
      </w:r>
      <w:r>
        <w:rPr>
          <w:rFonts w:hint="eastAsia"/>
          <w:b/>
          <w:bCs/>
        </w:rPr>
        <w:t xml:space="preserve">主力资金呈现“高成交、双向激烈换手”。</w:t>
      </w:r>
      <w:r>
        <w:t xml:space="preserve"> </w:t>
      </w:r>
      <w:r>
        <w:rPr>
          <w:rFonts w:hint="eastAsia"/>
        </w:rPr>
        <w:t xml:space="preserve">通信设备、元件、半导体位列行业净流出前三；中际旭创、新易盛、长鑫科技等同时进入买入榜与卖出榜，说明分歧剧烈，不能把买入榜机械理解为净流入。</w:t>
      </w:r>
    </w:p>
    <w:p>
      <w:pPr>
        <w:pStyle w:val="Compact"/>
        <w:numPr>
          <w:ilvl w:val="0"/>
          <w:numId w:val="1001"/>
        </w:numPr>
      </w:pPr>
      <w:r>
        <w:t xml:space="preserve">📊</w:t>
      </w:r>
      <w:r>
        <w:t xml:space="preserve"> </w:t>
      </w:r>
      <w:r>
        <w:rPr>
          <w:rFonts w:hint="eastAsia"/>
          <w:b/>
          <w:bCs/>
        </w:rPr>
        <w:t xml:space="preserve">右侧趋势确认度低。</w:t>
      </w:r>
      <w:r>
        <w:t xml:space="preserve"> </w:t>
      </w:r>
      <w:r>
        <w:rPr>
          <w:rFonts w:hint="eastAsia"/>
        </w:rPr>
        <w:t xml:space="preserve">TickFlow重点股样本中A档0只、B档1只、D档8只；唯一B档金健米业10月12日又下跌8.43%，因此也只能等待重新确认，不能追涨或抄底。</w:t>
      </w:r>
    </w:p>
    <w:p>
      <w:pPr>
        <w:pStyle w:val="Compact"/>
        <w:numPr>
          <w:ilvl w:val="0"/>
          <w:numId w:val="1001"/>
        </w:numPr>
      </w:pPr>
      <w:r>
        <w:t xml:space="preserve">💡</w:t>
      </w:r>
      <w:r>
        <w:t xml:space="preserve"> </w:t>
      </w:r>
      <w:r>
        <w:rPr>
          <w:rFonts w:hint="eastAsia"/>
          <w:b/>
          <w:bCs/>
        </w:rPr>
        <w:t xml:space="preserve">今日建议采用平衡档17%仓位。</w:t>
      </w:r>
      <w:r>
        <w:t xml:space="preserve"> </w:t>
      </w:r>
      <w:r>
        <w:rPr>
          <w:rFonts w:hint="eastAsia"/>
        </w:rPr>
        <w:t xml:space="preserve">只有指数止跌、涨跌比明显修复、成交额不再继续萎缩且主线核心股重新站回关键均线，才考虑提高至27%；若科技继续放量下跌，则降至2%。</w:t>
      </w:r>
    </w:p>
    <w:p>
      <w:r>
        <w:pict>
          <v:rect style="width:0;height:1.5pt" o:hralign="center" o:hrstd="t" o:hr="t"/>
        </w:pict>
      </w:r>
    </w:p>
    <w:bookmarkEnd w:id="9"/>
    <w:bookmarkStart w:id="13" w:name="隔夜全球市场"/>
    <w:p>
      <w:pPr>
        <w:pStyle w:val="Heading2"/>
      </w:pPr>
      <w:r>
        <w:t xml:space="preserve">🌎 </w:t>
      </w:r>
      <w:r>
        <w:rPr>
          <w:rFonts w:hint="eastAsia"/>
        </w:rPr>
        <w:t xml:space="preserve">隔夜全球市场</w:t>
      </w:r>
    </w:p>
    <w:bookmarkStart w:id="10" w:name="美股三大指数"/>
    <w:p>
      <w:pPr>
        <w:pStyle w:val="Heading3"/>
      </w:pPr>
      <w:r>
        <w:t xml:space="preserve">📈 </w:t>
      </w:r>
      <w:r>
        <w:rPr>
          <w:rFonts w:hint="eastAsia"/>
        </w:rPr>
        <w:t xml:space="preserve">美股三大指数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最新点位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道琼斯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51850.5508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+0.38%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纳斯达克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27245.9025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-0.44%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标普500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7807.2402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-0.06%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美股指数整体波动不大，但内部结构明显偏弱：道指上涨，纳指与标普回落，科技成长方向承压。</w:t>
      </w:r>
    </w:p>
    <w:bookmarkEnd w:id="10"/>
    <w:bookmarkStart w:id="11" w:name="核心半导体个股"/>
    <w:p>
      <w:pPr>
        <w:pStyle w:val="Heading3"/>
      </w:pPr>
      <w:r>
        <w:t xml:space="preserve">🟢 </w:t>
      </w:r>
      <w:r>
        <w:rPr>
          <w:rFonts w:hint="eastAsia"/>
        </w:rPr>
        <w:t xml:space="preserve">核心半导体个股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公司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最新价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英伟达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226.32美元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-1.29%</w:t>
            </w:r>
          </w:p>
        </w:tc>
      </w:tr>
      <w:tr>
        <w:tc>
          <w:tcPr/>
          <w:p>
            <w:pPr>
              <w:pStyle w:val="Compact"/>
            </w:pPr>
            <w:r>
              <w:t xml:space="preserve">AMD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594.24美元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-2.28%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台积电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444.35美元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-1.98%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博通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354.73美元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-1.88%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美光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989.04美元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-3.88%</w:t>
            </w:r>
          </w:p>
        </w:tc>
      </w:tr>
    </w:tbl>
    <w:p>
      <w:pPr>
        <w:pStyle w:val="Compact"/>
        <w:numPr>
          <w:ilvl w:val="0"/>
          <w:numId w:val="1002"/>
        </w:numPr>
      </w:pPr>
      <w:r>
        <w:t xml:space="preserve">⚠️ </w:t>
      </w:r>
      <w:r>
        <w:rPr>
          <w:rFonts w:hint="eastAsia"/>
        </w:rPr>
        <w:t xml:space="preserve">五只核心半导体股全部收跌，美光跌幅最大，海外映射对存储、光模块、PCB、消费电子和国产算力开盘预期不利。</w:t>
      </w:r>
    </w:p>
    <w:p>
      <w:pPr>
        <w:pStyle w:val="Compact"/>
        <w:numPr>
          <w:ilvl w:val="0"/>
          <w:numId w:val="1002"/>
        </w:numPr>
      </w:pPr>
      <w:r>
        <w:t xml:space="preserve">💡 </w:t>
      </w:r>
      <w:r>
        <w:rPr>
          <w:rFonts w:hint="eastAsia"/>
        </w:rPr>
        <w:t xml:space="preserve">A股相关方向昨日已经出现集中调整，今日即使低开反弹，也应先观察承接与量能，不把低开直接视为买点。</w:t>
      </w:r>
    </w:p>
    <w:bookmarkEnd w:id="11"/>
    <w:bookmarkStart w:id="12" w:name="大宗商品与中国资产"/>
    <w:p>
      <w:pPr>
        <w:pStyle w:val="Heading3"/>
      </w:pPr>
      <w:r>
        <w:t xml:space="preserve">🌐 </w:t>
      </w:r>
      <w:r>
        <w:rPr>
          <w:rFonts w:hint="eastAsia"/>
        </w:rPr>
        <w:t xml:space="preserve">大宗商品与中国资产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资产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最新值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富时中国A50期指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13730.00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-0.15%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美元兑离岸人民币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6.6942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</w:t>
            </w:r>
            <w:r>
              <w:rPr>
                <w:rFonts w:hint="eastAsia"/>
              </w:rPr>
              <w:t xml:space="preserve">人民币升值0.01%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COMEX黄金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4188.916美元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-0.04%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WTI原油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92.95美元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-0.84%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伦铜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14588.335美元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-0.21%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人民币保持稳定，但A50期指、原油和伦铜均小幅回落。外围组合信号偏中性略弱，暂不支持A股成长板块直接高开修复。</w:t>
      </w:r>
    </w:p>
    <w:p>
      <w:r>
        <w:pict>
          <v:rect style="width:0;height:1.5pt" o:hralign="center" o:hrstd="t" o:hr="t"/>
        </w:pict>
      </w:r>
    </w:p>
    <w:bookmarkEnd w:id="12"/>
    <w:bookmarkEnd w:id="13"/>
    <w:bookmarkStart w:id="21" w:name="新闻联播政策面深度解读"/>
    <w:p>
      <w:pPr>
        <w:pStyle w:val="Heading2"/>
      </w:pPr>
      <w:r>
        <w:t xml:space="preserve">📰 </w:t>
      </w:r>
      <w:r>
        <w:rPr>
          <w:rFonts w:hint="eastAsia"/>
        </w:rPr>
        <w:t xml:space="preserve">新闻联播政策面深度解读</w:t>
      </w:r>
    </w:p>
    <w:bookmarkStart w:id="14" w:name="健康中国基层医疗创新药与医疗设备形成中长期政策链"/>
    <w:p>
      <w:pPr>
        <w:pStyle w:val="Heading3"/>
      </w:pPr>
      <w:r>
        <w:t xml:space="preserve">🏥 </w:t>
      </w:r>
      <w:r>
        <w:rPr>
          <w:rFonts w:hint="eastAsia"/>
        </w:rPr>
        <w:t xml:space="preserve">健康中国：基层医疗、创新药与医疗设备形成中长期政策链</w:t>
      </w:r>
    </w:p>
    <w:p>
      <w:pPr>
        <w:pStyle w:val="FirstParagraph"/>
      </w:pPr>
      <w:r>
        <w:rPr>
          <w:rFonts w:hint="eastAsia"/>
        </w:rPr>
        <w:t xml:space="preserve">10月12日《新闻联播》以较大篇幅强调健康中国建设：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全国拥有110万余个医疗卫生机构、1600多万名医疗卫生人员。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全国2199个县域开展紧密型县域医共体建设，基本实现全覆盖。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2025年创新药获批76个，创历史新高。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光子能谱CT、人工心脏、手术机器人以及人工智能诊疗进入临床应用。</w:t>
      </w:r>
    </w:p>
    <w:p>
      <w:pPr>
        <w:pStyle w:val="FirstParagraph"/>
      </w:pPr>
      <w:r>
        <w:t xml:space="preserve">📌</w:t>
      </w:r>
      <w:r>
        <w:t xml:space="preserve"> </w:t>
      </w:r>
      <w:r>
        <w:rPr>
          <w:rFonts w:hint="eastAsia"/>
          <w:b/>
          <w:bCs/>
        </w:rPr>
        <w:t xml:space="preserve">A股映射：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基层医疗信息化</w:t>
      </w:r>
      <w:r>
        <w:rPr>
          <w:rFonts w:hint="eastAsia"/>
        </w:rPr>
        <w:t xml:space="preserve">：县域医共体、远程影像、病例会诊和医保协同将持续带来医疗IT建设需求。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高端医疗设备</w:t>
      </w:r>
      <w:r>
        <w:rPr>
          <w:rFonts w:hint="eastAsia"/>
        </w:rPr>
        <w:t xml:space="preserve">：影像设备、手术机器人、人工心脏等国产替代具备政策持续性。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创新药与中药</w:t>
      </w:r>
      <w:r>
        <w:rPr>
          <w:rFonts w:hint="eastAsia"/>
        </w:rPr>
        <w:t xml:space="preserve">：政策强调释放医药科技创新动能，但必须结合临床进展、商业化能力与现金流筛选。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医疗服务</w:t>
      </w:r>
      <w:r>
        <w:rPr>
          <w:rFonts w:hint="eastAsia"/>
        </w:rPr>
        <w:t xml:space="preserve">：基层资源下沉扩大服务覆盖，但公立医院公益属性意味着不能简单外推为高利润增长。</w:t>
      </w:r>
    </w:p>
    <w:p>
      <w:pPr>
        <w:pStyle w:val="FirstParagraph"/>
      </w:pPr>
      <w:r>
        <w:t xml:space="preserve">💡</w:t>
      </w:r>
      <w:r>
        <w:t xml:space="preserve"> </w:t>
      </w:r>
      <w:r>
        <w:rPr>
          <w:rFonts w:hint="eastAsia"/>
          <w:b/>
          <w:bCs/>
        </w:rPr>
        <w:t xml:space="preserve">操作判断：</w:t>
      </w:r>
      <w:r>
        <w:t xml:space="preserve"> </w:t>
      </w:r>
      <w:r>
        <w:rPr>
          <w:rFonts w:hint="eastAsia"/>
        </w:rPr>
        <w:t xml:space="preserve">医药医疗属于政策确定性较强、交易拥挤度相对科技硬件更低的观察方向，但采集数据未提供相关重点股右侧评级，今日只观察放量突破，不凭政策标题追涨。</w:t>
      </w:r>
    </w:p>
    <w:bookmarkEnd w:id="14"/>
    <w:bookmarkStart w:id="15" w:name="新能源汽车高渗透率下转向技术升级与产业治理"/>
    <w:p>
      <w:pPr>
        <w:pStyle w:val="Heading3"/>
      </w:pPr>
      <w:r>
        <w:t xml:space="preserve">🚗 </w:t>
      </w:r>
      <w:r>
        <w:rPr>
          <w:rFonts w:hint="eastAsia"/>
        </w:rPr>
        <w:t xml:space="preserve">新能源汽车：高渗透率下转向技术升级与产业治理</w:t>
      </w:r>
    </w:p>
    <w:p>
      <w:pPr>
        <w:pStyle w:val="FirstParagraph"/>
      </w:pPr>
      <w:r>
        <w:rPr>
          <w:rFonts w:hint="eastAsia"/>
        </w:rPr>
        <w:t xml:space="preserve">今年1—9月，我国新能源汽车产量1248.3万辆、销量1247.2万辆，同比分别增长11%和11.1%；新能源新车销量占国内汽车新车总销量53.6%。</w:t>
      </w:r>
    </w:p>
    <w:p>
      <w:pPr>
        <w:pStyle w:val="BodyText"/>
      </w:pPr>
      <w:r>
        <w:rPr>
          <w:rFonts w:hint="eastAsia"/>
        </w:rPr>
        <w:t xml:space="preserve">《智能网联新能源汽车产业发展“十五五”规划》聚焦：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关键核心技术攻关；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车路云跨界融合；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产业结构优化；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行业治理完善。</w:t>
      </w:r>
    </w:p>
    <w:p>
      <w:pPr>
        <w:pStyle w:val="FirstParagraph"/>
      </w:pPr>
      <w:r>
        <w:t xml:space="preserve">📌</w:t>
      </w:r>
      <w:r>
        <w:t xml:space="preserve"> </w:t>
      </w:r>
      <w:r>
        <w:rPr>
          <w:rFonts w:hint="eastAsia"/>
          <w:b/>
          <w:bCs/>
        </w:rPr>
        <w:t xml:space="preserve">A股映射：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利好智能驾驶、车载计算、汽车电子、连接器、充电基础设施及整车智能化。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产业政策由单纯扩大产量转向技术、效率与治理，高估值但缺乏利润兑现的概念股将被进一步分化。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宁德时代10月12日上涨0.21%，2026年中报营收同比增长54.8%、净利润同比增长45.31%，PE为16.24倍；但TickFlow截至10月9日仍给出D级趋势破位评级，基本面较强不等于右侧买点已经形成。</w:t>
      </w:r>
    </w:p>
    <w:bookmarkEnd w:id="15"/>
    <w:bookmarkStart w:id="16" w:name="服务业数智化低成本工具与ai应用进入规模落地阶段"/>
    <w:p>
      <w:pPr>
        <w:pStyle w:val="Heading3"/>
      </w:pPr>
      <w:r>
        <w:t xml:space="preserve">☁️ </w:t>
      </w:r>
      <w:r>
        <w:rPr>
          <w:rFonts w:hint="eastAsia"/>
        </w:rPr>
        <w:t xml:space="preserve">服务业数智化：低成本工具与AI应用进入规模落地阶段</w:t>
      </w:r>
    </w:p>
    <w:p>
      <w:pPr>
        <w:pStyle w:val="FirstParagraph"/>
      </w:pPr>
      <w:r>
        <w:rPr>
          <w:rFonts w:hint="eastAsia"/>
        </w:rPr>
        <w:t xml:space="preserve">《新闻联播》披露：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六成以上规模以上服务业企业已应用云计算等数智技术。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20.2%的规模以上服务业企业已落地人工智能相关应用。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今年前8个月，信息传输、软件和信息技术服务业生产指数同比增长10.4%。</w:t>
      </w:r>
    </w:p>
    <w:p>
      <w:pPr>
        <w:pStyle w:val="FirstParagraph"/>
      </w:pPr>
      <w:r>
        <w:t xml:space="preserve">📌</w:t>
      </w:r>
      <w:r>
        <w:t xml:space="preserve"> </w:t>
      </w:r>
      <w:r>
        <w:rPr>
          <w:rFonts w:hint="eastAsia"/>
          <w:b/>
          <w:bCs/>
        </w:rPr>
        <w:t xml:space="preserve">A股映射：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企业级软件、云计算、支付开票、智慧物流、供应链管理、医疗信息化是直接受益方向。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政策强调“小快轻准、低成本易落地”，更利好已有产品、客户和现金回款能力的软件服务商，而不是只有大模型概念、缺少订单验证的公司。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今日观察软件与数字经济能否在科技硬件调整时形成独立强度；未出现成交额与趋势共振前，不提前押注。</w:t>
      </w:r>
    </w:p>
    <w:bookmarkEnd w:id="16"/>
    <w:bookmarkStart w:id="17" w:name="内蒙古绿色算力与新能源能源算力协同继续强化"/>
    <w:p>
      <w:pPr>
        <w:pStyle w:val="Heading3"/>
      </w:pPr>
      <w:r>
        <w:t xml:space="preserve">⚡ </w:t>
      </w:r>
      <w:r>
        <w:rPr>
          <w:rFonts w:hint="eastAsia"/>
        </w:rPr>
        <w:t xml:space="preserve">内蒙古绿色算力与新能源：能源—算力协同继续强化</w:t>
      </w:r>
    </w:p>
    <w:p>
      <w:pPr>
        <w:pStyle w:val="FirstParagraph"/>
      </w:pPr>
      <w:r>
        <w:rPr>
          <w:rFonts w:hint="eastAsia"/>
        </w:rPr>
        <w:t xml:space="preserve">内蒙古新能源新增装机、总装机和发电量均居全国前列，算力总规模和智算规模也位居全国前列。</w:t>
      </w:r>
    </w:p>
    <w:p>
      <w:pPr>
        <w:pStyle w:val="BodyText"/>
      </w:pPr>
      <w:r>
        <w:t xml:space="preserve">📌</w:t>
      </w:r>
      <w:r>
        <w:t xml:space="preserve"> </w:t>
      </w:r>
      <w:r>
        <w:rPr>
          <w:rFonts w:hint="eastAsia"/>
          <w:b/>
          <w:bCs/>
        </w:rPr>
        <w:t xml:space="preserve">A股映射：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绿色电力、特高压、电网设备、数据中心、液冷与算力基础设施具备产业协同逻辑。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10月12日风电设备主力净流入6.66亿元、电网设备净流入3.42亿元，政策与资金形成一定共振。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但电力行业同期净流出19.75亿元，说明资金更偏向设备端和增量建设，不能将所有电力股一概视为受益标的。</w:t>
      </w:r>
    </w:p>
    <w:bookmarkEnd w:id="17"/>
    <w:bookmarkStart w:id="18" w:name="中越中新及太平洋岛国合作基建清洁能源与贸易增量"/>
    <w:p>
      <w:pPr>
        <w:pStyle w:val="Heading3"/>
      </w:pPr>
      <w:r>
        <w:t xml:space="preserve">🌏 </w:t>
      </w:r>
      <w:r>
        <w:rPr>
          <w:rFonts w:hint="eastAsia"/>
        </w:rPr>
        <w:t xml:space="preserve">中越、中新及太平洋岛国合作：基建、清洁能源与贸易增量</w:t>
      </w:r>
    </w:p>
    <w:p>
      <w:pPr>
        <w:pStyle w:val="FirstParagraph"/>
      </w:pPr>
      <w:r>
        <w:rPr>
          <w:rFonts w:hint="eastAsia"/>
        </w:rPr>
        <w:t xml:space="preserve">政策信号集中于：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中越基础设施互联互通、人工智能、清洁能源；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中新贸易、新能源汽车与亚太经合组织合作；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中国与巴布亚新几内亚高质量共建“一带一路”。</w:t>
      </w:r>
    </w:p>
    <w:p>
      <w:pPr>
        <w:pStyle w:val="FirstParagraph"/>
      </w:pPr>
      <w:r>
        <w:t xml:space="preserve">📌</w:t>
      </w:r>
      <w:r>
        <w:t xml:space="preserve"> </w:t>
      </w:r>
      <w:r>
        <w:rPr>
          <w:rFonts w:hint="eastAsia"/>
          <w:b/>
          <w:bCs/>
        </w:rPr>
        <w:t xml:space="preserve">A股映射：</w:t>
      </w:r>
    </w:p>
    <w:p>
      <w:pPr>
        <w:pStyle w:val="BodyText"/>
      </w:pPr>
      <w:r>
        <w:rPr>
          <w:rFonts w:hint="eastAsia"/>
        </w:rPr>
        <w:t xml:space="preserve">关注具备真实海外订单和回款能力的工程机械、电力设备、新能源汽车、通信设备及跨境物流企业。海外合作是中期订单线索，不能脱离公告和财务数据直接作为短线买入依据。</w:t>
      </w:r>
    </w:p>
    <w:bookmarkEnd w:id="18"/>
    <w:bookmarkStart w:id="19" w:name="品质电商与消费场景升级"/>
    <w:p>
      <w:pPr>
        <w:pStyle w:val="Heading3"/>
      </w:pPr>
      <w:r>
        <w:t xml:space="preserve">🛒 </w:t>
      </w:r>
      <w:r>
        <w:rPr>
          <w:rFonts w:hint="eastAsia"/>
        </w:rPr>
        <w:t xml:space="preserve">品质电商与消费场景升级</w:t>
      </w:r>
    </w:p>
    <w:p>
      <w:pPr>
        <w:pStyle w:val="FirstParagraph"/>
      </w:pPr>
      <w:r>
        <w:rPr>
          <w:rFonts w:hint="eastAsia"/>
        </w:rPr>
        <w:t xml:space="preserve">商务部等七部门部署15项举措，涉及品质电商主体、消费品牌、线上线下融合及电商出海。</w:t>
      </w:r>
    </w:p>
    <w:p>
      <w:pPr>
        <w:pStyle w:val="BodyText"/>
      </w:pPr>
      <w:r>
        <w:t xml:space="preserve">📌</w:t>
      </w:r>
      <w:r>
        <w:t xml:space="preserve"> </w:t>
      </w:r>
      <w:r>
        <w:rPr>
          <w:rFonts w:hint="eastAsia"/>
          <w:b/>
          <w:bCs/>
        </w:rPr>
        <w:t xml:space="preserve">A股映射：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电商SaaS、品牌代运营、跨境物流、数字营销存在政策催化。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传媒板块昨日已经明显走强，出版、影视院线和数字媒体均获得资金流入，今日更应防范一致性过高后的兑现。</w:t>
      </w:r>
    </w:p>
    <w:bookmarkEnd w:id="19"/>
    <w:bookmarkStart w:id="20" w:name="水利改造与食品安全监管"/>
    <w:p>
      <w:pPr>
        <w:pStyle w:val="Heading3"/>
      </w:pPr>
      <w:r>
        <w:t xml:space="preserve">💧 </w:t>
      </w:r>
      <w:r>
        <w:rPr>
          <w:rFonts w:hint="eastAsia"/>
        </w:rPr>
        <w:t xml:space="preserve">水利改造与食品安全监管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我国启动老旧水库改造提升专项行动，强化监测预警、调度管理和应急处置。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中央政法委要求全链条打击食品安全违法犯罪，重点覆盖肉制品、校园食品等领域。</w:t>
      </w:r>
    </w:p>
    <w:p>
      <w:pPr>
        <w:pStyle w:val="FirstParagraph"/>
      </w:pPr>
      <w:r>
        <w:t xml:space="preserve">📌</w:t>
      </w:r>
      <w:r>
        <w:t xml:space="preserve"> </w:t>
      </w:r>
      <w:r>
        <w:rPr>
          <w:rFonts w:hint="eastAsia"/>
          <w:b/>
          <w:bCs/>
        </w:rPr>
        <w:t xml:space="preserve">A股映射：</w:t>
      </w:r>
    </w:p>
    <w:p>
      <w:pPr>
        <w:pStyle w:val="BodyText"/>
      </w:pPr>
      <w:r>
        <w:rPr>
          <w:rFonts w:hint="eastAsia"/>
        </w:rPr>
        <w:t xml:space="preserve">水利信息化、监测传感器、工程建设，以及食品检测、实验室仪器和追溯系统存在需求预期。相关方向暂缺资金与右侧趋势交叉验证，仅列为低位观察线。</w:t>
      </w:r>
    </w:p>
    <w:p>
      <w:r>
        <w:pict>
          <v:rect style="width:0;height:1.5pt" o:hralign="center" o:hrstd="t" o:hr="t"/>
        </w:pict>
      </w:r>
    </w:p>
    <w:bookmarkEnd w:id="20"/>
    <w:bookmarkEnd w:id="21"/>
    <w:bookmarkStart w:id="25" w:name="今日公告"/>
    <w:p>
      <w:pPr>
        <w:pStyle w:val="Heading2"/>
      </w:pPr>
      <w:r>
        <w:t xml:space="preserve">📢 </w:t>
      </w:r>
      <w:r>
        <w:rPr>
          <w:rFonts w:hint="eastAsia"/>
        </w:rPr>
        <w:t xml:space="preserve">今日公告</w:t>
      </w:r>
    </w:p>
    <w:p>
      <w:pPr>
        <w:pStyle w:val="FirstParagraph"/>
      </w:pPr>
      <w:r>
        <w:rPr>
          <w:rFonts w:hint="eastAsia"/>
        </w:rPr>
        <w:t xml:space="preserve">公告主接口出现HTTP</w:t>
      </w:r>
      <w:r>
        <w:t xml:space="preserve"> </w:t>
      </w:r>
      <w:r>
        <w:rPr>
          <w:rFonts w:hint="eastAsia"/>
        </w:rPr>
        <w:t xml:space="preserve">567异常，本轮已通过巨潮资讯历史公告接口完成沪深两市采集，共取得1089条公告，来源仍为</w:t>
      </w:r>
      <w:r>
        <w:rPr>
          <w:rStyle w:val="VerbatimChar"/>
        </w:rPr>
        <w:t xml:space="preserve">cninfo_official</w:t>
      </w:r>
      <w:r>
        <w:t xml:space="preserve">。</w:t>
      </w:r>
    </w:p>
    <w:bookmarkStart w:id="22" w:name="重点正面或产业催化公告"/>
    <w:p>
      <w:pPr>
        <w:pStyle w:val="Heading3"/>
      </w:pPr>
      <w:r>
        <w:t xml:space="preserve">🔴 </w:t>
      </w:r>
      <w:r>
        <w:rPr>
          <w:rFonts w:hint="eastAsia"/>
        </w:rPr>
        <w:t xml:space="preserve">重点正面或产业催化公告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华勤技术（603296）</w:t>
      </w:r>
      <w:r>
        <w:rPr>
          <w:rFonts w:hint="eastAsia"/>
        </w:rPr>
        <w:t xml:space="preserve">：发布2026年第二期A股股份回购实施结果暨股份变动公告。回购有助于稳定预期，但仍需结合最终回购价格、注销或用途判断实际增厚程度。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赛力斯（601127）</w:t>
      </w:r>
      <w:r>
        <w:rPr>
          <w:rFonts w:hint="eastAsia"/>
        </w:rPr>
        <w:t xml:space="preserve">：公告集中竞价回购股份比例达到总股本1%暨回购进展，属于真金白银的信心信号。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颀中科技（688352）</w:t>
      </w:r>
      <w:r>
        <w:rPr>
          <w:rFonts w:hint="eastAsia"/>
        </w:rPr>
        <w:t xml:space="preserve">：发布首次回购股份公告；同时存在首次公开发行部分限售股上市流通事项，回购与解禁影响需要合并评估。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杭州柯林（688611）</w:t>
      </w:r>
      <w:r>
        <w:rPr>
          <w:rFonts w:hint="eastAsia"/>
        </w:rPr>
        <w:t xml:space="preserve">：实际控制人之一致行动人首次增持并披露增持计划进展。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万泰生物（603392）</w:t>
      </w:r>
      <w:r>
        <w:rPr>
          <w:rFonts w:hint="eastAsia"/>
        </w:rPr>
        <w:t xml:space="preserve">：冻干重组呼吸道合胞病毒疫苗获得药物临床试验批准通知书，属于研发里程碑，尚不等同于获批上市或形成收入。</w:t>
      </w:r>
    </w:p>
    <w:bookmarkEnd w:id="22"/>
    <w:bookmarkStart w:id="23" w:name="业绩类公告观察"/>
    <w:p>
      <w:pPr>
        <w:pStyle w:val="Heading3"/>
      </w:pPr>
      <w:r>
        <w:t xml:space="preserve">🟢 </w:t>
      </w:r>
      <w:r>
        <w:rPr>
          <w:rFonts w:hint="eastAsia"/>
        </w:rPr>
        <w:t xml:space="preserve">业绩类公告观察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源杰科技、联讯仪器、奥来德、纳微科技、豪鹏科技、粤桂股份、翰宇药业、国机精工、冰轮环境、新宙邦等披露前三季度业绩预告。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深圳燃气、国网信通、金钼股份披露业绩快报。</w:t>
      </w:r>
    </w:p>
    <w:p>
      <w:pPr>
        <w:pStyle w:val="Compact"/>
        <w:numPr>
          <w:ilvl w:val="0"/>
          <w:numId w:val="1014"/>
        </w:numPr>
      </w:pPr>
      <w:r>
        <w:t xml:space="preserve">⚠️ </w:t>
      </w:r>
      <w:r>
        <w:rPr>
          <w:rFonts w:hint="eastAsia"/>
        </w:rPr>
        <w:t xml:space="preserve">采集JSON只提供公告标题，未提供完整业绩区间，禁止据此判断超预期或低于预期；开盘前需以公告正文中的利润区间、扣非利润和基数为准。</w:t>
      </w:r>
    </w:p>
    <w:bookmarkEnd w:id="23"/>
    <w:bookmarkStart w:id="24" w:name="风险类公告"/>
    <w:p>
      <w:pPr>
        <w:pStyle w:val="Heading3"/>
      </w:pPr>
      <w:r>
        <w:t xml:space="preserve">⚠️ </w:t>
      </w:r>
      <w:r>
        <w:rPr>
          <w:rFonts w:hint="eastAsia"/>
        </w:rPr>
        <w:t xml:space="preserve">风险类公告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新华传媒（600825）</w:t>
      </w:r>
      <w:r>
        <w:rPr>
          <w:rFonts w:hint="eastAsia"/>
        </w:rPr>
        <w:t xml:space="preserve">：发布股票交易风险提示暨停牌核查公告。传媒高位情绪存在直接降温风险。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吉视传媒（601929）、龙版传媒（605577）</w:t>
      </w:r>
      <w:r>
        <w:rPr>
          <w:rFonts w:hint="eastAsia"/>
        </w:rPr>
        <w:t xml:space="preserve">：发布股票交易异常波动公告，板块一致性较高，谨防兑现。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曲江文旅（600706）</w:t>
      </w:r>
      <w:r>
        <w:rPr>
          <w:rFonts w:hint="eastAsia"/>
        </w:rPr>
        <w:t xml:space="preserve">：控股股东所持部分股份拍卖进展。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有研新材（600206）</w:t>
      </w:r>
      <w:r>
        <w:rPr>
          <w:rFonts w:hint="eastAsia"/>
        </w:rPr>
        <w:t xml:space="preserve">：第三季度计提资产减值准备。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湖南黄金（002155）</w:t>
      </w:r>
      <w:r>
        <w:rPr>
          <w:rFonts w:hint="eastAsia"/>
        </w:rPr>
        <w:t xml:space="preserve">：收到深交所发行股份购买资产并募集配套资金审核问询函。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风华高科（000636）、奥来德（688378）、重庆燃气（600917）、艾隆科技（688329）、浩辰软件（688657）等</w:t>
      </w:r>
      <w:r>
        <w:rPr>
          <w:rFonts w:hint="eastAsia"/>
        </w:rPr>
        <w:t xml:space="preserve">：涉及股东或董监高减持计划及进展，需回避公告冲击下的无确认接力。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经济数据与重要事件"/>
    <w:p>
      <w:pPr>
        <w:pStyle w:val="Heading2"/>
      </w:pPr>
      <w:r>
        <w:t xml:space="preserve">🗓️ </w:t>
      </w:r>
      <w:r>
        <w:rPr>
          <w:rFonts w:hint="eastAsia"/>
        </w:rPr>
        <w:t xml:space="preserve">经济数据与重要事件</w:t>
      </w:r>
    </w:p>
    <w:p>
      <w:pPr>
        <w:pStyle w:val="Compact"/>
        <w:numPr>
          <w:ilvl w:val="0"/>
          <w:numId w:val="1016"/>
        </w:numPr>
      </w:pPr>
      <w:r>
        <w:t xml:space="preserve">📌 </w:t>
      </w:r>
      <w:r>
        <w:rPr>
          <w:rFonts w:hint="eastAsia"/>
        </w:rPr>
        <w:t xml:space="preserve">今日国内宏观经济数据的具体发布时间与市场一致预期在采集JSON中暂缺确认，不补充未经确认的数值。</w:t>
      </w:r>
    </w:p>
    <w:p>
      <w:pPr>
        <w:pStyle w:val="Compact"/>
        <w:numPr>
          <w:ilvl w:val="0"/>
          <w:numId w:val="1016"/>
        </w:numPr>
      </w:pPr>
      <w:r>
        <w:t xml:space="preserve">📌 </w:t>
      </w:r>
      <w:r>
        <w:rPr>
          <w:rFonts w:hint="eastAsia"/>
        </w:rPr>
        <w:t xml:space="preserve">三季度业绩预告进入密集披露阶段，市场定价将从题材交易进一步转向利润、扣非利润、现金流和订单兑现。</w:t>
      </w:r>
    </w:p>
    <w:p>
      <w:pPr>
        <w:pStyle w:val="Compact"/>
        <w:numPr>
          <w:ilvl w:val="0"/>
          <w:numId w:val="1016"/>
        </w:numPr>
      </w:pPr>
      <w:r>
        <w:t xml:space="preserve">📌 </w:t>
      </w:r>
      <w:r>
        <w:rPr>
          <w:rFonts w:hint="eastAsia"/>
        </w:rPr>
        <w:t xml:space="preserve">10月19日金融街论坛年会将开幕，采集新闻显示证监会主席将出席并作主题演讲；北交所、新三板一体化高质量发展及资本市场改革预期可能升温。</w:t>
      </w:r>
    </w:p>
    <w:p>
      <w:pPr>
        <w:pStyle w:val="Compact"/>
        <w:numPr>
          <w:ilvl w:val="0"/>
          <w:numId w:val="1016"/>
        </w:numPr>
      </w:pPr>
      <w:r>
        <w:t xml:space="preserve">📌 </w:t>
      </w:r>
      <w:r>
        <w:rPr>
          <w:rFonts w:hint="eastAsia"/>
        </w:rPr>
        <w:t xml:space="preserve">第九届中国国际进口博览会将于11月5日至10日在上海举行，首批展品已经通关，进口消费、会展与物流方向可跟踪后续订单催化。</w:t>
      </w:r>
    </w:p>
    <w:p>
      <w:r>
        <w:pict>
          <v:rect style="width:0;height:1.5pt" o:hralign="center" o:hrstd="t" o:hr="t"/>
        </w:pict>
      </w:r>
    </w:p>
    <w:bookmarkEnd w:id="26"/>
    <w:bookmarkStart w:id="27" w:name="全球事件与地缘风险"/>
    <w:p>
      <w:pPr>
        <w:pStyle w:val="Heading2"/>
      </w:pPr>
      <w:r>
        <w:t xml:space="preserve">🌍 </w:t>
      </w:r>
      <w:r>
        <w:rPr>
          <w:rFonts w:hint="eastAsia"/>
        </w:rPr>
        <w:t xml:space="preserve">全球事件与地缘风险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沙特利雅得和达曼机场再次遭袭，胡塞武装称对机场及沙特阿美设施实施多轮打击。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伊朗方面表示愿协助推动沙特与胡塞武装对话，但霍尔木兹海峡又有油轮触雷起火，能源运输风险仍在。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伊朗称美国已接受其提出的部分条件，但其他条件立场仍不明朗。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WTI原油当前下跌0.84%至92.95美元，市场尚未出现油价加速上冲，但地缘风险可能导致盘中能源价格波动扩大。</w:t>
      </w:r>
    </w:p>
    <w:p>
      <w:pPr>
        <w:pStyle w:val="FirstParagraph"/>
      </w:pPr>
      <w:r>
        <w:t xml:space="preserve">💡</w:t>
      </w:r>
      <w:r>
        <w:t xml:space="preserve"> </w:t>
      </w:r>
      <w:r>
        <w:rPr>
          <w:rFonts w:hint="eastAsia"/>
          <w:b/>
          <w:bCs/>
        </w:rPr>
        <w:t xml:space="preserve">A股影响：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油气开采、油运和国防军工存在事件驱动可能，但WTI并未同步走强，暂不支持追高。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航空、化工成本和全球风险偏好可能受到扰动。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若原油由跌转涨并突破隔夜高点93.49美元，才可视为事件风险开始被商品市场重新定价。</w:t>
      </w:r>
    </w:p>
    <w:p>
      <w:r>
        <w:pict>
          <v:rect style="width:0;height:1.5pt" o:hralign="center" o:hrstd="t" o:hr="t"/>
        </w:pict>
      </w:r>
    </w:p>
    <w:bookmarkEnd w:id="27"/>
    <w:bookmarkStart w:id="30" w:name="昨日a股复盘"/>
    <w:p>
      <w:pPr>
        <w:pStyle w:val="Heading2"/>
      </w:pPr>
      <w:r>
        <w:t xml:space="preserve">📉 </w:t>
      </w:r>
      <w:r>
        <w:rPr>
          <w:rFonts w:hint="eastAsia"/>
        </w:rPr>
        <w:t xml:space="preserve">昨日A股复盘</w:t>
      </w:r>
    </w:p>
    <w:bookmarkStart w:id="28" w:name="主要指数"/>
    <w:p>
      <w:pPr>
        <w:pStyle w:val="Heading3"/>
      </w:pPr>
      <w:r>
        <w:t xml:space="preserve">🔴 </w:t>
      </w:r>
      <w:r>
        <w:rPr>
          <w:rFonts w:hint="eastAsia"/>
        </w:rPr>
        <w:t xml:space="preserve">主要指数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上证指数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3797.2424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-0.43%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深证成指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12384.8690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-2.03%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2963.8240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-2.61%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1426.7216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-2.10%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4287.9798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-0.68%</w:t>
            </w:r>
          </w:p>
        </w:tc>
      </w:tr>
    </w:tbl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上证指数和沪深300相对抗跌，创业板、科创50和深证成指跌幅更大，风格明显偏向权重与价值。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全市场上涨1167只、下跌4325只、平盘69只，涨跌比0.27，亏损厌恶正在扩散。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行为金融信号为中等级别“亏损厌恶扩散”：投资者容易因连续回撤而在低位集中止损，也容易因少数逆势热点产生FOMO追涨，两类行为都需要用仓位纪律约束。</w:t>
      </w:r>
    </w:p>
    <w:bookmarkEnd w:id="28"/>
    <w:bookmarkStart w:id="29" w:name="成交额质量"/>
    <w:p>
      <w:pPr>
        <w:pStyle w:val="Heading3"/>
      </w:pPr>
      <w:r>
        <w:t xml:space="preserve">💧 </w:t>
      </w:r>
      <w:r>
        <w:rPr>
          <w:rFonts w:hint="eastAsia"/>
        </w:rPr>
        <w:t xml:space="preserve">成交额质量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10月12日全市场成交额15507.43亿元。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前一交易日成交额19166.77亿元。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成交额减少3659.34亿元，下降19.09%，状态为</w:t>
      </w:r>
      <w:r>
        <w:rPr>
          <w:rFonts w:hint="eastAsia"/>
          <w:b/>
          <w:bCs/>
        </w:rPr>
        <w:t xml:space="preserve">明显缩量</w:t>
      </w:r>
      <w:r>
        <w:t xml:space="preserve">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缩量下跌说明卖压较前期有所减弱，但也说明主动承接不足；在没有放量修复前，不能把缩量下跌直接解释为调整结束。</w:t>
      </w:r>
    </w:p>
    <w:p>
      <w:r>
        <w:pict>
          <v:rect style="width:0;height:1.5pt" o:hralign="center" o:hrstd="t" o:hr="t"/>
        </w:pict>
      </w:r>
    </w:p>
    <w:bookmarkEnd w:id="29"/>
    <w:bookmarkEnd w:id="30"/>
    <w:bookmarkStart w:id="35" w:name="资金流向四张榜"/>
    <w:p>
      <w:pPr>
        <w:pStyle w:val="Heading2"/>
      </w:pPr>
      <w:r>
        <w:t xml:space="preserve">💰 </w:t>
      </w:r>
      <w:r>
        <w:rPr>
          <w:rFonts w:hint="eastAsia"/>
        </w:rPr>
        <w:t xml:space="preserve">资金流向四张榜</w:t>
      </w:r>
    </w:p>
    <w:p>
      <w:pPr>
        <w:pStyle w:val="FirstParagraph"/>
      </w:pPr>
      <w:r>
        <w:rPr>
          <w:rFonts w:hint="eastAsia"/>
        </w:rPr>
        <w:t xml:space="preserve">口径说明：交易日2026-10-12，2026-10-12</w:t>
      </w:r>
      <w:r>
        <w:t xml:space="preserve"> </w:t>
      </w:r>
      <w:r>
        <w:rPr>
          <w:rFonts w:hint="eastAsia"/>
        </w:rPr>
        <w:t xml:space="preserve">15:00，scope=previous_close，申万二级行业；来源：huatai。</w:t>
      </w:r>
    </w:p>
    <w:bookmarkStart w:id="31" w:name="流出top10板块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流出TOP10板块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-62.26亿元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-40.24亿元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-22.92亿元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电力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-19.75亿元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消费电子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-17.63亿元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-14.66亿元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工业金属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-11.54亿元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自动化设备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-11.46亿元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小金属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-11.12亿元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电子化学品Ⅱ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-10.23亿元</w:t>
            </w:r>
          </w:p>
        </w:tc>
      </w:tr>
    </w:tbl>
    <w:bookmarkEnd w:id="31"/>
    <w:bookmarkStart w:id="32" w:name="流出top10个股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中际旭创(300308)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-97.39亿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长鑫科技(688825)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-69.97亿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新易盛(300502)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-67.75亿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宁德时代(300750)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-62.47亿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寒武纪(688256)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-54.28亿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源杰科技(688498)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-53.14亿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东山精密(002384)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-42.75亿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兆易创新(603986)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-36.71亿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天孚通信(300394)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-29.36亿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金健米业(600127)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-23.62亿</w:t>
            </w:r>
          </w:p>
        </w:tc>
      </w:tr>
    </w:tbl>
    <w:bookmarkEnd w:id="32"/>
    <w:bookmarkStart w:id="33" w:name="流入top10板块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流入TOP10板块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银行Ⅱ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+8.68亿元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影视院线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+6.91亿元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风电设备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+6.66亿元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数字媒体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+5.59亿元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出版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+4.00亿元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乘用车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+3.80亿元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电网设备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+3.42亿元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医疗服务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+2.90亿元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白色家电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+2.54亿元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电视广播Ⅱ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+2.53亿元</w:t>
            </w:r>
          </w:p>
        </w:tc>
      </w:tr>
    </w:tbl>
    <w:bookmarkEnd w:id="33"/>
    <w:bookmarkStart w:id="34" w:name="流入top10个股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中际旭创(300308)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+85.50亿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宁德时代(300750)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+70.50亿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寒武纪(688256)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+59.60亿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长鑫科技(688825)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+59.36亿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新易盛(300502)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+57.74亿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源杰科技(688498)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+52.93亿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东山精密(002384)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+34.31亿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天孚通信(300394)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+29.49亿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兆易创新(603986)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+25.59亿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鹏鼎控股(002938)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+23.54亿</w:t>
            </w:r>
          </w:p>
        </w:tc>
      </w:tr>
    </w:tbl>
    <w:bookmarkEnd w:id="34"/>
    <w:bookmarkEnd w:id="35"/>
    <w:bookmarkStart w:id="40" w:name="两融宽基etf成交额恐慌联合信号"/>
    <w:p>
      <w:pPr>
        <w:pStyle w:val="Heading2"/>
      </w:pPr>
      <w:r>
        <w:t xml:space="preserve">💧 </w:t>
      </w:r>
      <w:r>
        <w:rPr>
          <w:rFonts w:hint="eastAsia"/>
        </w:rPr>
        <w:t xml:space="preserve">两融·宽基ETF·成交额·恐慌联合信号</w:t>
      </w:r>
    </w:p>
    <w:bookmarkStart w:id="36" w:name="两融余额"/>
    <w:p>
      <w:pPr>
        <w:pStyle w:val="Heading3"/>
      </w:pPr>
      <w:r>
        <w:t xml:space="preserve">🧾 </w:t>
      </w:r>
      <w:r>
        <w:rPr>
          <w:rFonts w:hint="eastAsia"/>
        </w:rPr>
        <w:t xml:space="preserve">两融余额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2026-10-09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2026-10-08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变化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两融余额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25596.5647亿元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25741.5956亿元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-145.0308亿元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融资余额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25300.5474亿元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25445.9612亿元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-145.4137亿元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融券余额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296.0173亿元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295.6344亿元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+0.3829亿元</w:t>
            </w:r>
          </w:p>
        </w:tc>
      </w:tr>
    </w:tbl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两融余额减少0.5634%，本轮下降主要由融资余额减少驱动，反映杠杆资金风险偏好降温。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实际最新结算日期为2026年10月9日。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T+1滞后，报告日当日两融尚未发布。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10月12日的两融结算数据也尚未进入本次采集，不能把上述变化表述为“今日两融减少”。</w:t>
      </w:r>
    </w:p>
    <w:bookmarkEnd w:id="36"/>
    <w:bookmarkStart w:id="37" w:name="宽基etf份额变化"/>
    <w:p>
      <w:pPr>
        <w:pStyle w:val="Heading3"/>
      </w:pPr>
      <w:r>
        <w:t xml:space="preserve">📊 </w:t>
      </w:r>
      <w:r>
        <w:rPr>
          <w:rFonts w:hint="eastAsia"/>
        </w:rPr>
        <w:t xml:space="preserve">宽基ETF份额变化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ETF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最新份额变化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估算净申购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连续流入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沪深300ETF（510300）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+1.377亿份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+6.0037亿元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连续2个区间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科创50ETF（588000）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+2.550亿份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+3.8403亿元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连续3个区间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科创板50ETF（588080）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+2.220亿份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+3.2434亿元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连续3个区间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创业板ETF（159915）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+2.040亿份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+6.0853亿元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连续3个区间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创业板50ETF（159949）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+1.110亿份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+1.5274亿元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连续3个区间</w:t>
            </w:r>
          </w:p>
        </w:tc>
      </w:tr>
    </w:tbl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深证100ETF最新增加0.035亿份，估算净申购0.1115亿元，连续2个区间流入。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上证50ETF最新减少0.027亿份，估算净赎回0.0792亿元。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中证500ETF最新减少0.424亿份，估算净赎回3.0210亿元。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资金重点承接沪深300、科创和创业板宽基，但中证500出现净赎回，托底并非全面扩散。</w:t>
      </w:r>
    </w:p>
    <w:bookmarkEnd w:id="37"/>
    <w:bookmarkStart w:id="38" w:name="etf-qvix"/>
    <w:p>
      <w:pPr>
        <w:pStyle w:val="Heading3"/>
      </w:pPr>
      <w:r>
        <w:t xml:space="preserve">😨 300ETF QVIX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最新结算值：15.96。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前收盘：17.20，下降7.2093%。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20日峰值：19.43，峰值日期为2026年9月2日。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较20日峰值回落17.8590%。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最新日频数据日期为2026年9月30日，数据明显滞后于报告日，不能作为10月13日实时波动率。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采集规则判定其满足“较20日峰值回落至少10%且较前收盘下降”。</w:t>
      </w:r>
    </w:p>
    <w:bookmarkEnd w:id="38"/>
    <w:bookmarkStart w:id="39" w:name="联合结论"/>
    <w:p>
      <w:pPr>
        <w:pStyle w:val="Heading3"/>
      </w:pPr>
      <w:r>
        <w:t xml:space="preserve">✅ </w:t>
      </w:r>
      <w:r>
        <w:rPr>
          <w:rFonts w:hint="eastAsia"/>
        </w:rPr>
        <w:t xml:space="preserve">联合结论</w:t>
      </w:r>
    </w:p>
    <w:p>
      <w:pPr>
        <w:pStyle w:val="FirstParagraph"/>
      </w:pPr>
      <w:r>
        <w:rPr>
          <w:rStyle w:val="VerbatimChar"/>
        </w:rPr>
        <w:t xml:space="preserve">derived.liquidity_panic_signal.status=confirmed</w:t>
      </w:r>
      <w:r>
        <w:rPr>
          <w:rFonts w:hint="eastAsia"/>
        </w:rPr>
        <w:t xml:space="preserve">，因此：</w:t>
      </w:r>
    </w:p>
    <w:p>
      <w:pPr>
        <w:pStyle w:val="BodyText"/>
      </w:pPr>
      <w:r>
        <w:rPr>
          <w:rFonts w:hint="eastAsia"/>
          <w:b/>
          <w:bCs/>
        </w:rPr>
        <w:t xml:space="preserve">恐慌高位降温且宽基ETF持续流入已确认。</w:t>
      </w:r>
    </w:p>
    <w:p>
      <w:pPr>
        <w:pStyle w:val="BodyText"/>
      </w:pPr>
      <w:r>
        <w:rPr>
          <w:rFonts w:hint="eastAsia"/>
        </w:rPr>
        <w:t xml:space="preserve">但两项反向证据不能忽略：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两融余额下降主要由融资撤出驱动；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10月12日成交额下降19.09%，个股涨跌比仅0.27。</w:t>
      </w:r>
    </w:p>
    <w:p>
      <w:pPr>
        <w:pStyle w:val="FirstParagraph"/>
      </w:pPr>
      <w:r>
        <w:rPr>
          <w:rFonts w:hint="eastAsia"/>
        </w:rPr>
        <w:t xml:space="preserve">因此，该联合信号更接近“中长期资金逆势承接”，尚不能等同于短线全面反转。</w:t>
      </w:r>
    </w:p>
    <w:p>
      <w:r>
        <w:pict>
          <v:rect style="width:0;height:1.5pt" o:hralign="center" o:hrstd="t" o:hr="t"/>
        </w:pict>
      </w:r>
    </w:p>
    <w:bookmarkEnd w:id="39"/>
    <w:bookmarkEnd w:id="40"/>
    <w:bookmarkStart w:id="41" w:name="今日市场风格预判"/>
    <w:p>
      <w:pPr>
        <w:pStyle w:val="Heading2"/>
      </w:pPr>
      <w:r>
        <w:t xml:space="preserve">🎨 </w:t>
      </w:r>
      <w:r>
        <w:rPr>
          <w:rFonts w:hint="eastAsia"/>
        </w:rPr>
        <w:t xml:space="preserve">今日市场风格预判</w:t>
      </w:r>
    </w:p>
    <w:p>
      <w:pPr>
        <w:pStyle w:val="Compact"/>
        <w:numPr>
          <w:ilvl w:val="0"/>
          <w:numId w:val="1025"/>
        </w:numPr>
      </w:pPr>
      <w:r>
        <w:t xml:space="preserve">🏦</w:t>
      </w:r>
      <w:r>
        <w:t xml:space="preserve"> </w:t>
      </w:r>
      <w:r>
        <w:rPr>
          <w:rFonts w:hint="eastAsia"/>
          <w:b/>
          <w:bCs/>
        </w:rPr>
        <w:t xml:space="preserve">大盘权重优于小盘成长。</w:t>
      </w:r>
      <w:r>
        <w:t xml:space="preserve"> </w:t>
      </w:r>
      <w:r>
        <w:rPr>
          <w:rFonts w:hint="eastAsia"/>
        </w:rPr>
        <w:t xml:space="preserve">昨日上证和沪深300跌幅明显小于创业板、科创50，银行主力净流入8.68亿元。</w:t>
      </w:r>
    </w:p>
    <w:p>
      <w:pPr>
        <w:pStyle w:val="Compact"/>
        <w:numPr>
          <w:ilvl w:val="0"/>
          <w:numId w:val="1025"/>
        </w:numPr>
      </w:pPr>
      <w:r>
        <w:t xml:space="preserve">🛡️</w:t>
      </w:r>
      <w:r>
        <w:t xml:space="preserve"> </w:t>
      </w:r>
      <w:r>
        <w:rPr>
          <w:rFonts w:hint="eastAsia"/>
          <w:b/>
          <w:bCs/>
        </w:rPr>
        <w:t xml:space="preserve">价值防守优于高弹性进攻。</w:t>
      </w:r>
      <w:r>
        <w:t xml:space="preserve"> </w:t>
      </w:r>
      <w:r>
        <w:rPr>
          <w:rFonts w:hint="eastAsia"/>
        </w:rPr>
        <w:t xml:space="preserve">银行、红利、白色家电和医疗服务具有相对防御属性；海外半导体集体下跌，成长方向仍面临估值与筹码压力。</w:t>
      </w:r>
    </w:p>
    <w:p>
      <w:pPr>
        <w:pStyle w:val="Compact"/>
        <w:numPr>
          <w:ilvl w:val="0"/>
          <w:numId w:val="1025"/>
        </w:numPr>
      </w:pPr>
      <w:r>
        <w:t xml:space="preserve">🎬</w:t>
      </w:r>
      <w:r>
        <w:t xml:space="preserve"> </w:t>
      </w:r>
      <w:r>
        <w:rPr>
          <w:rFonts w:hint="eastAsia"/>
          <w:b/>
          <w:bCs/>
        </w:rPr>
        <w:t xml:space="preserve">传媒可能高开分化。</w:t>
      </w:r>
      <w:r>
        <w:t xml:space="preserve"> </w:t>
      </w:r>
      <w:r>
        <w:rPr>
          <w:rFonts w:hint="eastAsia"/>
        </w:rPr>
        <w:t xml:space="preserve">影视院线、数字媒体、出版和电视广播均获资金流入，但新华传媒停牌核查，吉视传媒与龙版传媒发布异动公告，说明拥挤度和监管关注上升。</w:t>
      </w:r>
    </w:p>
    <w:p>
      <w:pPr>
        <w:pStyle w:val="Compact"/>
        <w:numPr>
          <w:ilvl w:val="0"/>
          <w:numId w:val="1025"/>
        </w:numPr>
      </w:pPr>
      <w:r>
        <w:t xml:space="preserve">⚡</w:t>
      </w:r>
      <w:r>
        <w:t xml:space="preserve"> </w:t>
      </w:r>
      <w:r>
        <w:rPr>
          <w:rFonts w:hint="eastAsia"/>
          <w:b/>
          <w:bCs/>
        </w:rPr>
        <w:t xml:space="preserve">新能源设备强于传统电力。</w:t>
      </w:r>
      <w:r>
        <w:t xml:space="preserve"> </w:t>
      </w:r>
      <w:r>
        <w:rPr>
          <w:rFonts w:hint="eastAsia"/>
        </w:rPr>
        <w:t xml:space="preserve">风电设备与电网设备净流入，而电力行业净流出，市场偏好更集中于设备投资和增量建设。</w:t>
      </w:r>
    </w:p>
    <w:p>
      <w:pPr>
        <w:pStyle w:val="Compact"/>
        <w:numPr>
          <w:ilvl w:val="0"/>
          <w:numId w:val="1025"/>
        </w:numPr>
      </w:pPr>
      <w:r>
        <w:t xml:space="preserve">💰</w:t>
      </w:r>
      <w:r>
        <w:t xml:space="preserve"> </w:t>
      </w:r>
      <w:r>
        <w:rPr>
          <w:rFonts w:hint="eastAsia"/>
          <w:b/>
          <w:bCs/>
        </w:rPr>
        <w:t xml:space="preserve">机构核心股仍会高成交，但不代表趋势转强。</w:t>
      </w:r>
      <w:r>
        <w:t xml:space="preserve"> </w:t>
      </w:r>
      <w:r>
        <w:rPr>
          <w:rFonts w:hint="eastAsia"/>
        </w:rPr>
        <w:t xml:space="preserve">科技龙头资金双向换手巨大，若早盘冲高无量，应视为减亏盘和短线回补，而非新一轮主升确认。</w:t>
      </w:r>
    </w:p>
    <w:p>
      <w:r>
        <w:pict>
          <v:rect style="width:0;height:1.5pt" o:hralign="center" o:hrstd="t" o:hr="t"/>
        </w:pict>
      </w:r>
    </w:p>
    <w:bookmarkEnd w:id="41"/>
    <w:bookmarkStart w:id="47" w:name="投资方向分层"/>
    <w:p>
      <w:pPr>
        <w:pStyle w:val="Heading2"/>
      </w:pPr>
      <w:r>
        <w:t xml:space="preserve">🧭 </w:t>
      </w:r>
      <w:r>
        <w:rPr>
          <w:rFonts w:hint="eastAsia"/>
        </w:rPr>
        <w:t xml:space="preserve">投资方向分层</w:t>
      </w:r>
    </w:p>
    <w:bookmarkStart w:id="42" w:name="可参与宽基托底与低波动权重的条件型配置"/>
    <w:p>
      <w:pPr>
        <w:pStyle w:val="Heading3"/>
      </w:pPr>
      <w:r>
        <w:t xml:space="preserve">✅ </w:t>
      </w:r>
      <w:r>
        <w:rPr>
          <w:rFonts w:hint="eastAsia"/>
        </w:rPr>
        <w:t xml:space="preserve">可参与：宽基托底与低波动权重的条件型配置</w:t>
      </w:r>
    </w:p>
    <w:p>
      <w:pPr>
        <w:pStyle w:val="FirstParagraph"/>
      </w:pPr>
      <w:r>
        <w:rPr>
          <w:rFonts w:hint="eastAsia"/>
          <w:b/>
          <w:bCs/>
        </w:rPr>
        <w:t xml:space="preserve">证据链：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沪深300ETF连续2个区间增加份额，最新估算净申购6.0037亿元。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银行Ⅱ主力净流入8.68亿元，位列行业流入第一。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上证指数、沪深300明显强于创业板和科创50。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离岸人民币稳定在6.6942，外汇风险暂未恶化。</w:t>
      </w:r>
    </w:p>
    <w:p>
      <w:pPr>
        <w:pStyle w:val="FirstParagraph"/>
      </w:pPr>
      <w:r>
        <w:rPr>
          <w:rFonts w:hint="eastAsia"/>
          <w:b/>
          <w:bCs/>
        </w:rPr>
        <w:t xml:space="preserve">核心工具：</w:t>
      </w:r>
      <w:r>
        <w:t xml:space="preserve"> </w:t>
      </w:r>
      <w:r>
        <w:rPr>
          <w:rFonts w:hint="eastAsia"/>
        </w:rPr>
        <w:t xml:space="preserve">沪深300ETF（510300）；银行方向只做板块观察，不在缺少个股右侧数据时指定追涨标的。</w:t>
      </w:r>
    </w:p>
    <w:p>
      <w:pPr>
        <w:pStyle w:val="BodyText"/>
      </w:pPr>
      <w:r>
        <w:rPr>
          <w:rFonts w:hint="eastAsia"/>
          <w:b/>
          <w:bCs/>
        </w:rPr>
        <w:t xml:space="preserve">触发条件：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沪深300不再刷新10月12日低点；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银行板块回踩后仍保持相对强度；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市场涨跌比由0.27明显修复，且成交额不继续显著萎缩。</w:t>
      </w:r>
    </w:p>
    <w:p>
      <w:pPr>
        <w:pStyle w:val="FirstParagraph"/>
      </w:pPr>
      <w:r>
        <w:rPr>
          <w:rFonts w:hint="eastAsia"/>
          <w:b/>
          <w:bCs/>
        </w:rPr>
        <w:t xml:space="preserve">失效条件：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沪深300放量跌破10月12日低点；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宽基ETF份额由连续流入转为连续净赎回；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人民币快速走弱并与A50期指同步下行。</w:t>
      </w:r>
    </w:p>
    <w:bookmarkEnd w:id="42"/>
    <w:bookmarkStart w:id="43" w:name="只观察风电电网设备医疗服务与服务业数智化"/>
    <w:p>
      <w:pPr>
        <w:pStyle w:val="Heading3"/>
      </w:pPr>
      <w:r>
        <w:t xml:space="preserve">👀 </w:t>
      </w:r>
      <w:r>
        <w:rPr>
          <w:rFonts w:hint="eastAsia"/>
        </w:rPr>
        <w:t xml:space="preserve">只观察：风电、电网设备、医疗服务与服务业数智化</w:t>
      </w:r>
    </w:p>
    <w:p>
      <w:pPr>
        <w:pStyle w:val="FirstParagraph"/>
      </w:pPr>
      <w:r>
        <w:rPr>
          <w:rFonts w:hint="eastAsia"/>
          <w:b/>
          <w:bCs/>
        </w:rPr>
        <w:t xml:space="preserve">证据链：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风电设备净流入6.66亿元、电网设备净流入3.42亿元。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《新闻联播》强调新能源、绿色算力、县域医疗与服务业数字化。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医疗服务净流入2.90亿元，政策与资金形成初步交集。</w:t>
      </w:r>
    </w:p>
    <w:p>
      <w:pPr>
        <w:pStyle w:val="FirstParagraph"/>
      </w:pPr>
      <w:r>
        <w:rPr>
          <w:rFonts w:hint="eastAsia"/>
          <w:b/>
          <w:bCs/>
        </w:rPr>
        <w:t xml:space="preserve">核心标的：</w:t>
      </w:r>
      <w:r>
        <w:t xml:space="preserve"> </w:t>
      </w:r>
      <w:r>
        <w:rPr>
          <w:rFonts w:hint="eastAsia"/>
        </w:rPr>
        <w:t xml:space="preserve">采集数据未提供这些方向的个股右侧评级，暂不指定买入标的。</w:t>
      </w:r>
    </w:p>
    <w:p>
      <w:pPr>
        <w:pStyle w:val="BodyText"/>
      </w:pPr>
      <w:r>
        <w:rPr>
          <w:rFonts w:hint="eastAsia"/>
          <w:b/>
          <w:bCs/>
        </w:rPr>
        <w:t xml:space="preserve">触发条件：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板块放量突破10月12日高点；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龙头回踩不破MA20后再次放量；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板块资金连续流入，而非单日政策脉冲。</w:t>
      </w:r>
    </w:p>
    <w:p>
      <w:pPr>
        <w:pStyle w:val="FirstParagraph"/>
      </w:pPr>
      <w:r>
        <w:rPr>
          <w:rFonts w:hint="eastAsia"/>
          <w:b/>
          <w:bCs/>
        </w:rPr>
        <w:t xml:space="preserve">失效条件：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高开低走并跌破10月12日低点；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只有消息刺激、没有成交额和资金持续性；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核心股跌破MA20且无法在收盘前修复。</w:t>
      </w:r>
    </w:p>
    <w:bookmarkEnd w:id="43"/>
    <w:bookmarkStart w:id="44" w:name="只观察传媒出版与短剧"/>
    <w:p>
      <w:pPr>
        <w:pStyle w:val="Heading3"/>
      </w:pPr>
      <w:r>
        <w:t xml:space="preserve">👀 </w:t>
      </w:r>
      <w:r>
        <w:rPr>
          <w:rFonts w:hint="eastAsia"/>
        </w:rPr>
        <w:t xml:space="preserve">只观察：传媒、出版与短剧</w:t>
      </w:r>
    </w:p>
    <w:p>
      <w:pPr>
        <w:pStyle w:val="FirstParagraph"/>
      </w:pPr>
      <w:r>
        <w:rPr>
          <w:rFonts w:hint="eastAsia"/>
          <w:b/>
          <w:bCs/>
        </w:rPr>
        <w:t xml:space="preserve">证据链：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影视院线净流入6.91亿元、数字媒体净流入5.59亿元、出版净流入4.00亿元、电视广播Ⅱ净流入2.53亿元。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昨日板块成为明显避风港，但新华传媒停牌核查，吉视传媒和龙版传媒发布异动公告。</w:t>
      </w:r>
    </w:p>
    <w:p>
      <w:pPr>
        <w:pStyle w:val="FirstParagraph"/>
      </w:pPr>
      <w:r>
        <w:rPr>
          <w:rFonts w:hint="eastAsia"/>
          <w:b/>
          <w:bCs/>
        </w:rPr>
        <w:t xml:space="preserve">核心标的：</w:t>
      </w:r>
      <w:r>
        <w:t xml:space="preserve"> </w:t>
      </w:r>
      <w:r>
        <w:rPr>
          <w:rFonts w:hint="eastAsia"/>
        </w:rPr>
        <w:t xml:space="preserve">吉视传媒（601929）、龙版传媒（605577）仅作风险温度计，不作为追涨推荐。</w:t>
      </w:r>
    </w:p>
    <w:p>
      <w:pPr>
        <w:pStyle w:val="BodyText"/>
      </w:pPr>
      <w:r>
        <w:rPr>
          <w:rFonts w:hint="eastAsia"/>
          <w:b/>
          <w:bCs/>
        </w:rPr>
        <w:t xml:space="preserve">触发条件：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高位股充分分歧后，板块仍有低位个股放量承接；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强势股不出现连续负反馈；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板块成交额维持而非依靠缩量加速。</w:t>
      </w:r>
    </w:p>
    <w:p>
      <w:pPr>
        <w:pStyle w:val="FirstParagraph"/>
      </w:pPr>
      <w:r>
        <w:rPr>
          <w:rFonts w:hint="eastAsia"/>
          <w:b/>
          <w:bCs/>
        </w:rPr>
        <w:t xml:space="preserve">失效条件：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异动公告后出现批量高开低走；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资金由影视、出版快速切出；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高位拥挤导致亏损效应扩散。</w:t>
      </w:r>
    </w:p>
    <w:bookmarkEnd w:id="44"/>
    <w:bookmarkStart w:id="45" w:name="应回避光通信半导体与高弹性ai硬件的无确认反抽"/>
    <w:p>
      <w:pPr>
        <w:pStyle w:val="Heading3"/>
      </w:pPr>
      <w:r>
        <w:t xml:space="preserve">⚠️ </w:t>
      </w:r>
      <w:r>
        <w:rPr>
          <w:rFonts w:hint="eastAsia"/>
        </w:rPr>
        <w:t xml:space="preserve">应回避：光通信、半导体与高弹性AI硬件的无确认反抽</w:t>
      </w:r>
    </w:p>
    <w:p>
      <w:pPr>
        <w:pStyle w:val="FirstParagraph"/>
      </w:pPr>
      <w:r>
        <w:rPr>
          <w:rFonts w:hint="eastAsia"/>
          <w:b/>
          <w:bCs/>
        </w:rPr>
        <w:t xml:space="preserve">证据链：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通信设备净流出62.26亿元、元件净流出40.24亿元、半导体净流出22.92亿元。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英伟达、AMD、台积电、博通、美光隔夜全部下跌。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重点股多数处于D级趋势破位，且昨日出现高成交额下跌。</w:t>
      </w:r>
    </w:p>
    <w:p>
      <w:pPr>
        <w:pStyle w:val="FirstParagraph"/>
      </w:pPr>
      <w:r>
        <w:rPr>
          <w:rFonts w:hint="eastAsia"/>
          <w:b/>
          <w:bCs/>
        </w:rPr>
        <w:t xml:space="preserve">重点股技术状态之一：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评级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MA20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MA60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距60日高点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874.4445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930.2137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-34.52%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414.4240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435.2835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-34.92%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183.2320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196.9593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-45.87%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1065.1715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1131.8663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-35.77%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372.2720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413.4738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-50.80%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回避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重点股技术状态之二：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508"/>
        <w:gridCol w:w="1508"/>
        <w:gridCol w:w="1508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评级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MA20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MA60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距60日高点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312.7965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358.6147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-26.52%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261.9465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245.4062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-19.35%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天赐材料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32.9175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35.8713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-10.93%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金健米业</w:t>
            </w:r>
          </w:p>
        </w:tc>
        <w:tc>
          <w:tcPr/>
          <w:p>
            <w:pPr>
              <w:pStyle w:val="Compact"/>
            </w:pPr>
            <w:r>
              <w:t xml:space="preserve">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14.2190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9.4573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-9.37%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等待确认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数据不足，暂不评级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数据源缺失，不估算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暂缺确认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数据源缺失，不估算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不做判断</w:t>
            </w:r>
          </w:p>
        </w:tc>
      </w:tr>
    </w:tbl>
    <w:p>
      <w:pPr>
        <w:pStyle w:val="BodyText"/>
      </w:pPr>
      <w:r>
        <w:t xml:space="preserve">⚠️ </w:t>
      </w:r>
      <w:r>
        <w:rPr>
          <w:rFonts w:hint="eastAsia"/>
        </w:rPr>
        <w:t xml:space="preserve">上述技术指标截至2026年10月9日，属于重点股样本日K校验，并非10月13日实时分时；10月12日价格变化尚未纳入该组MA指标。重点股样本中高于MA20的比例为20%、高于MA60的比例为10%，仅代表10只重点股样本，严禁外推为全A股趋势宽度。</w:t>
      </w:r>
    </w:p>
    <w:bookmarkEnd w:id="45"/>
    <w:bookmarkStart w:id="46" w:name="唯一b级观察股金健米业"/>
    <w:p>
      <w:pPr>
        <w:pStyle w:val="Heading3"/>
      </w:pPr>
      <w:r>
        <w:t xml:space="preserve">🔍 </w:t>
      </w:r>
      <w:r>
        <w:rPr>
          <w:rFonts w:hint="eastAsia"/>
        </w:rPr>
        <w:t xml:space="preserve">唯一B级观察股：金健米业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截至10月9日收盘15.18元，MA20为14.219元、MA60为9.4573元，60日高点16.75元。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B级行动条件为：收盘站稳16.75元且量比不低于1.2，或缩量回踩MA20不破后再放量。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ATR证伪参考位为13.592元。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但10月12日收盘价已经降至13.90元、单日下跌8.43%，接近证伪参考位，且主力卖出金额23.62亿元。</w:t>
      </w:r>
    </w:p>
    <w:p>
      <w:pPr>
        <w:pStyle w:val="FirstParagraph"/>
      </w:pPr>
      <w:r>
        <w:t xml:space="preserve">💡</w:t>
      </w:r>
      <w:r>
        <w:t xml:space="preserve"> </w:t>
      </w:r>
      <w:r>
        <w:rPr>
          <w:rFonts w:hint="eastAsia"/>
          <w:b/>
          <w:bCs/>
        </w:rPr>
        <w:t xml:space="preserve">结论：</w:t>
      </w:r>
      <w:r>
        <w:t xml:space="preserve"> </w:t>
      </w:r>
      <w:r>
        <w:rPr>
          <w:rFonts w:hint="eastAsia"/>
        </w:rPr>
        <w:t xml:space="preserve">10月9日的B级状态已经受到10月12日大跌挑战，今日只能观察能否重新收复MA20及13.592元参考位，禁止依据旧评级买入。</w:t>
      </w:r>
    </w:p>
    <w:p>
      <w:r>
        <w:pict>
          <v:rect style="width:0;height:1.5pt" o:hralign="center" o:hrstd="t" o:hr="t"/>
        </w:pict>
      </w:r>
    </w:p>
    <w:bookmarkEnd w:id="46"/>
    <w:bookmarkEnd w:id="47"/>
    <w:bookmarkStart w:id="52" w:name="仓位模型与量化推导"/>
    <w:p>
      <w:pPr>
        <w:pStyle w:val="Heading2"/>
      </w:pPr>
      <w:r>
        <w:t xml:space="preserve">🧮 </w:t>
      </w:r>
      <w:r>
        <w:rPr>
          <w:rFonts w:hint="eastAsia"/>
        </w:rPr>
        <w:t xml:space="preserve">仓位模型与量化推导</w:t>
      </w:r>
    </w:p>
    <w:bookmarkStart w:id="48" w:name="基础模型"/>
    <w:p>
      <w:pPr>
        <w:pStyle w:val="Heading3"/>
      </w:pPr>
      <w:r>
        <w:t xml:space="preserve">📊 </w:t>
      </w:r>
      <w:r>
        <w:rPr>
          <w:rFonts w:hint="eastAsia"/>
        </w:rPr>
        <w:t xml:space="preserve">基础模型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模型仓位上限：50%。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激进档：27%。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平衡档：17%。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保守档：2%。</w:t>
      </w:r>
    </w:p>
    <w:bookmarkEnd w:id="48"/>
    <w:bookmarkStart w:id="49" w:name="减分项"/>
    <w:p>
      <w:pPr>
        <w:pStyle w:val="Heading3"/>
      </w:pPr>
      <w:r>
        <w:t xml:space="preserve">➖ </w:t>
      </w:r>
      <w:r>
        <w:rPr>
          <w:rFonts w:hint="eastAsia"/>
        </w:rPr>
        <w:t xml:space="preserve">减分项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涨跌比0.27：仓位调整值-15。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成交额下降19.09%：仓位调整值-8。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融资余额减少145.4137亿元：杠杆风险偏好下降。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海外五只核心半导体全部下跌：科技开盘承压。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重点股技术评级A档0只、D档8只：右侧确认不足。</w:t>
      </w:r>
    </w:p>
    <w:bookmarkEnd w:id="49"/>
    <w:bookmarkStart w:id="50" w:name="加分项"/>
    <w:p>
      <w:pPr>
        <w:pStyle w:val="Heading3"/>
      </w:pPr>
      <w:r>
        <w:t xml:space="preserve">➕ </w:t>
      </w:r>
      <w:r>
        <w:rPr>
          <w:rFonts w:hint="eastAsia"/>
        </w:rPr>
        <w:t xml:space="preserve">加分项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沪深300ETF、科创50ETF、创业板ETF等连续获得份额净流入。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恐慌高位降温且宽基ETF持续流入已确认。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银行、风电设备、数字媒体等仍有结构性资金承接。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离岸人民币保持稳定，未出现外汇端风险放大。</w:t>
      </w:r>
    </w:p>
    <w:bookmarkEnd w:id="50"/>
    <w:bookmarkStart w:id="51" w:name="今日执行方案"/>
    <w:p>
      <w:pPr>
        <w:pStyle w:val="Heading3"/>
      </w:pPr>
      <w:r>
        <w:t xml:space="preserve">💡 </w:t>
      </w:r>
      <w:r>
        <w:rPr>
          <w:rFonts w:hint="eastAsia"/>
        </w:rPr>
        <w:t xml:space="preserve">今日执行方案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  <w:b/>
          <w:bCs/>
        </w:rPr>
        <w:t xml:space="preserve">保守档2%：</w:t>
      </w:r>
    </w:p>
    <w:p>
      <w:pPr>
        <w:pStyle w:val="Compact"/>
        <w:numPr>
          <w:ilvl w:val="1"/>
          <w:numId w:val="1041"/>
        </w:numPr>
      </w:pPr>
      <w:r>
        <w:rPr>
          <w:rFonts w:hint="eastAsia"/>
        </w:rPr>
        <w:t xml:space="preserve">科技核心股继续放量下跌；</w:t>
      </w:r>
    </w:p>
    <w:p>
      <w:pPr>
        <w:pStyle w:val="Compact"/>
        <w:numPr>
          <w:ilvl w:val="1"/>
          <w:numId w:val="1041"/>
        </w:numPr>
      </w:pPr>
      <w:r>
        <w:rPr>
          <w:rFonts w:hint="eastAsia"/>
        </w:rPr>
        <w:t xml:space="preserve">涨跌比没有修复；</w:t>
      </w:r>
    </w:p>
    <w:p>
      <w:pPr>
        <w:pStyle w:val="Compact"/>
        <w:numPr>
          <w:ilvl w:val="1"/>
          <w:numId w:val="1041"/>
        </w:numPr>
      </w:pPr>
      <w:r>
        <w:rPr>
          <w:rFonts w:hint="eastAsia"/>
        </w:rPr>
        <w:t xml:space="preserve">沪深300和上证指数同步跌破10月12日低点。</w:t>
      </w:r>
    </w:p>
    <w:p>
      <w:pPr>
        <w:pStyle w:val="Compact"/>
        <w:numPr>
          <w:ilvl w:val="1"/>
          <w:numId w:val="1041"/>
        </w:numPr>
      </w:pPr>
      <w:r>
        <w:rPr>
          <w:rFonts w:hint="eastAsia"/>
        </w:rPr>
        <w:t xml:space="preserve">动作：只保留观察仓，不做反抽交易。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  <w:b/>
          <w:bCs/>
        </w:rPr>
        <w:t xml:space="preserve">平衡档17%：当前推荐档位</w:t>
      </w:r>
    </w:p>
    <w:p>
      <w:pPr>
        <w:pStyle w:val="Compact"/>
        <w:numPr>
          <w:ilvl w:val="1"/>
          <w:numId w:val="1042"/>
        </w:numPr>
      </w:pPr>
      <w:r>
        <w:rPr>
          <w:rFonts w:hint="eastAsia"/>
        </w:rPr>
        <w:t xml:space="preserve">指数低开后能够止跌；</w:t>
      </w:r>
    </w:p>
    <w:p>
      <w:pPr>
        <w:pStyle w:val="Compact"/>
        <w:numPr>
          <w:ilvl w:val="1"/>
          <w:numId w:val="1042"/>
        </w:numPr>
      </w:pPr>
      <w:r>
        <w:rPr>
          <w:rFonts w:hint="eastAsia"/>
        </w:rPr>
        <w:t xml:space="preserve">银行、宽基ETF或政策低位方向保持承接；</w:t>
      </w:r>
    </w:p>
    <w:p>
      <w:pPr>
        <w:pStyle w:val="Compact"/>
        <w:numPr>
          <w:ilvl w:val="1"/>
          <w:numId w:val="1042"/>
        </w:numPr>
      </w:pPr>
      <w:r>
        <w:rPr>
          <w:rFonts w:hint="eastAsia"/>
        </w:rPr>
        <w:t xml:space="preserve">不追涨，只在回踩确认后分批参与。</w:t>
      </w:r>
    </w:p>
    <w:p>
      <w:pPr>
        <w:pStyle w:val="Compact"/>
        <w:numPr>
          <w:ilvl w:val="1"/>
          <w:numId w:val="1042"/>
        </w:numPr>
      </w:pPr>
      <w:r>
        <w:rPr>
          <w:rFonts w:hint="eastAsia"/>
        </w:rPr>
        <w:t xml:space="preserve">动作：底仓控制在一成至两成，单一方向不集中。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  <w:b/>
          <w:bCs/>
        </w:rPr>
        <w:t xml:space="preserve">激进档27%：</w:t>
      </w:r>
    </w:p>
    <w:p>
      <w:pPr>
        <w:pStyle w:val="Compact"/>
        <w:numPr>
          <w:ilvl w:val="1"/>
          <w:numId w:val="1043"/>
        </w:numPr>
      </w:pPr>
      <w:r>
        <w:rPr>
          <w:rFonts w:hint="eastAsia"/>
        </w:rPr>
        <w:t xml:space="preserve">涨跌比明显修复；</w:t>
      </w:r>
    </w:p>
    <w:p>
      <w:pPr>
        <w:pStyle w:val="Compact"/>
        <w:numPr>
          <w:ilvl w:val="1"/>
          <w:numId w:val="1043"/>
        </w:numPr>
      </w:pPr>
      <w:r>
        <w:rPr>
          <w:rFonts w:hint="eastAsia"/>
        </w:rPr>
        <w:t xml:space="preserve">成交额不再继续显著缩量；</w:t>
      </w:r>
    </w:p>
    <w:p>
      <w:pPr>
        <w:pStyle w:val="Compact"/>
        <w:numPr>
          <w:ilvl w:val="1"/>
          <w:numId w:val="1043"/>
        </w:numPr>
      </w:pPr>
      <w:r>
        <w:rPr>
          <w:rFonts w:hint="eastAsia"/>
        </w:rPr>
        <w:t xml:space="preserve">核心方向出现放量突破或缩量回踩不破；</w:t>
      </w:r>
    </w:p>
    <w:p>
      <w:pPr>
        <w:pStyle w:val="Compact"/>
        <w:numPr>
          <w:ilvl w:val="1"/>
          <w:numId w:val="1043"/>
        </w:numPr>
      </w:pPr>
      <w:r>
        <w:rPr>
          <w:rFonts w:hint="eastAsia"/>
        </w:rPr>
        <w:t xml:space="preserve">海外半导体负反馈没有继续向A股扩散。</w:t>
      </w:r>
    </w:p>
    <w:p>
      <w:pPr>
        <w:pStyle w:val="Compact"/>
        <w:numPr>
          <w:ilvl w:val="1"/>
          <w:numId w:val="1043"/>
        </w:numPr>
      </w:pPr>
      <w:r>
        <w:rPr>
          <w:rFonts w:hint="eastAsia"/>
        </w:rPr>
        <w:t xml:space="preserve">动作：先增加至两成，再以确认信号补至27%，不得一次性打满。</w:t>
      </w:r>
    </w:p>
    <w:p>
      <w:pPr>
        <w:pStyle w:val="FirstParagraph"/>
      </w:pPr>
      <w:r>
        <w:t xml:space="preserve">⚠️ </w:t>
      </w:r>
      <w:r>
        <w:rPr>
          <w:rFonts w:hint="eastAsia"/>
        </w:rPr>
        <w:t xml:space="preserve">50%只是模型上限，不是今日目标仓位。当前没有A档右侧标的，也没有全市场趋势反转证据，不具备提高到五成仓位的条件。</w:t>
      </w:r>
    </w:p>
    <w:p>
      <w:r>
        <w:pict>
          <v:rect style="width:0;height:1.5pt" o:hralign="center" o:hrstd="t" o:hr="t"/>
        </w:pict>
      </w:r>
    </w:p>
    <w:bookmarkEnd w:id="51"/>
    <w:bookmarkEnd w:id="52"/>
    <w:bookmarkStart w:id="56" w:name="今日操作策略"/>
    <w:p>
      <w:pPr>
        <w:pStyle w:val="Heading2"/>
      </w:pPr>
      <w:r>
        <w:t xml:space="preserve">💡 </w:t>
      </w:r>
      <w:r>
        <w:rPr>
          <w:rFonts w:hint="eastAsia"/>
        </w:rPr>
        <w:t xml:space="preserve">今日操作策略</w:t>
      </w:r>
    </w:p>
    <w:bookmarkStart w:id="53" w:name="开盘阶段"/>
    <w:p>
      <w:pPr>
        <w:pStyle w:val="Heading3"/>
      </w:pPr>
      <w:r>
        <w:t xml:space="preserve">⏱️ </w:t>
      </w:r>
      <w:r>
        <w:rPr>
          <w:rFonts w:hint="eastAsia"/>
        </w:rPr>
        <w:t xml:space="preserve">开盘阶段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不因科技股低开直接抄底。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观察中际旭创、新易盛、寒武纪、兆易创新是否继续放量下跌；若只是缩量止跌，也只能定义为抛压减弱。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银行若高开过多，不追涨；等待回踩后能否守住开盘价及板块均价。</w:t>
      </w:r>
    </w:p>
    <w:bookmarkEnd w:id="53"/>
    <w:bookmarkStart w:id="54" w:name="盘中确认阶段"/>
    <w:p>
      <w:pPr>
        <w:pStyle w:val="Heading3"/>
      </w:pPr>
      <w:r>
        <w:t xml:space="preserve">🕙 </w:t>
      </w:r>
      <w:r>
        <w:rPr>
          <w:rFonts w:hint="eastAsia"/>
        </w:rPr>
        <w:t xml:space="preserve">盘中确认阶段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优先观察宽基ETF、银行、风电设备、电网设备和医疗服务。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传媒若出现高位股负反馈，避免参与低位补涨，因为羊群效应容易在退潮阶段制造错误锚定。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科技硬件只有重新站回关键均线、成交额放大且板块资金转正，才进入复评名单。</w:t>
      </w:r>
    </w:p>
    <w:bookmarkEnd w:id="54"/>
    <w:bookmarkStart w:id="55" w:name="收盘决策阶段"/>
    <w:p>
      <w:pPr>
        <w:pStyle w:val="Heading3"/>
      </w:pPr>
      <w:r>
        <w:t xml:space="preserve">🕒 </w:t>
      </w:r>
      <w:r>
        <w:rPr>
          <w:rFonts w:hint="eastAsia"/>
        </w:rPr>
        <w:t xml:space="preserve">收盘决策阶段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</w:rPr>
        <w:t xml:space="preserve">若指数止跌但成交额继续下降，维持17%以内，不因尾盘拉升增加仓位。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</w:rPr>
        <w:t xml:space="preserve">若指数、涨跌比、成交额和主线核心股同步修复，可保留次日加仓权利。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</w:rPr>
        <w:t xml:space="preserve">若收盘仍是权重护盘、个股普跌，降至2%，不把指数稳定误判为全市场企稳。</w:t>
      </w:r>
    </w:p>
    <w:p>
      <w:r>
        <w:pict>
          <v:rect style="width:0;height:1.5pt" o:hralign="center" o:hrstd="t" o:hr="t"/>
        </w:pict>
      </w:r>
    </w:p>
    <w:bookmarkEnd w:id="55"/>
    <w:bookmarkEnd w:id="56"/>
    <w:bookmarkStart w:id="57" w:name="回避清单"/>
    <w:p>
      <w:pPr>
        <w:pStyle w:val="Heading2"/>
      </w:pPr>
      <w:r>
        <w:t xml:space="preserve">🚫 </w:t>
      </w:r>
      <w:r>
        <w:rPr>
          <w:rFonts w:hint="eastAsia"/>
        </w:rPr>
        <w:t xml:space="preserve">回避清单</w:t>
      </w:r>
    </w:p>
    <w:p>
      <w:pPr>
        <w:pStyle w:val="Compact"/>
        <w:numPr>
          <w:ilvl w:val="0"/>
          <w:numId w:val="1047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D级趋势破位股：</w:t>
      </w:r>
      <w:r>
        <w:t xml:space="preserve"> </w:t>
      </w:r>
      <w:r>
        <w:rPr>
          <w:rFonts w:hint="eastAsia"/>
        </w:rPr>
        <w:t xml:space="preserve">中际旭创、宁德时代、新易盛、东山精密、寒武纪、兆易创新、天孚通信、天赐材料。</w:t>
      </w:r>
    </w:p>
    <w:p>
      <w:pPr>
        <w:pStyle w:val="Compact"/>
        <w:numPr>
          <w:ilvl w:val="0"/>
          <w:numId w:val="1047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高位传媒接力：</w:t>
      </w:r>
      <w:r>
        <w:t xml:space="preserve"> </w:t>
      </w:r>
      <w:r>
        <w:rPr>
          <w:rFonts w:hint="eastAsia"/>
        </w:rPr>
        <w:t xml:space="preserve">新华传媒停牌核查，吉视传媒、龙版传媒发布异常波动公告。</w:t>
      </w:r>
    </w:p>
    <w:p>
      <w:pPr>
        <w:pStyle w:val="Compact"/>
        <w:numPr>
          <w:ilvl w:val="0"/>
          <w:numId w:val="1047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减持预披露公司：</w:t>
      </w:r>
      <w:r>
        <w:t xml:space="preserve"> </w:t>
      </w:r>
      <w:r>
        <w:rPr>
          <w:rFonts w:hint="eastAsia"/>
        </w:rPr>
        <w:t xml:space="preserve">风华高科、奥来德、重庆燃气、艾隆科技、浩辰软件等。</w:t>
      </w:r>
    </w:p>
    <w:p>
      <w:pPr>
        <w:pStyle w:val="Compact"/>
        <w:numPr>
          <w:ilvl w:val="0"/>
          <w:numId w:val="1047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资产与监管风险：</w:t>
      </w:r>
      <w:r>
        <w:t xml:space="preserve"> </w:t>
      </w:r>
      <w:r>
        <w:rPr>
          <w:rFonts w:hint="eastAsia"/>
        </w:rPr>
        <w:t xml:space="preserve">有研新材计提减值、湖南黄金收到审核问询函、曲江文旅控股股东股份拍卖进展。</w:t>
      </w:r>
    </w:p>
    <w:p>
      <w:pPr>
        <w:pStyle w:val="Compact"/>
        <w:numPr>
          <w:ilvl w:val="0"/>
          <w:numId w:val="1047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退市及停牌风险：</w:t>
      </w:r>
      <w:r>
        <w:t xml:space="preserve"> </w:t>
      </w:r>
      <w:r>
        <w:rPr>
          <w:rFonts w:hint="eastAsia"/>
        </w:rPr>
        <w:t xml:space="preserve">*ST岭南涉及终止上市暨停牌风险提示。</w:t>
      </w:r>
    </w:p>
    <w:p>
      <w:pPr>
        <w:pStyle w:val="Compact"/>
        <w:numPr>
          <w:ilvl w:val="0"/>
          <w:numId w:val="1047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纯事件追涨：</w:t>
      </w:r>
      <w:r>
        <w:t xml:space="preserve"> </w:t>
      </w:r>
      <w:r>
        <w:rPr>
          <w:rFonts w:hint="eastAsia"/>
        </w:rPr>
        <w:t xml:space="preserve">中东冲突概念、油气、军工若没有原油与板块成交额同步确认，不参与脉冲式拉升。</w:t>
      </w:r>
    </w:p>
    <w:p>
      <w:pPr>
        <w:pStyle w:val="Compact"/>
        <w:numPr>
          <w:ilvl w:val="0"/>
          <w:numId w:val="1047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错误行为模式：</w:t>
      </w:r>
      <w:r>
        <w:t xml:space="preserve"> </w:t>
      </w:r>
      <w:r>
        <w:rPr>
          <w:rFonts w:hint="eastAsia"/>
        </w:rPr>
        <w:t xml:space="preserve">不因昨日大跌产生“跌多必涨”锚定，不因少数传媒股逆势上涨产生FOMO，不用基本面增长替代趋势确认。</w:t>
      </w:r>
    </w:p>
    <w:p>
      <w:r>
        <w:pict>
          <v:rect style="width:0;height:1.5pt" o:hralign="center" o:hrstd="t" o:hr="t"/>
        </w:pict>
      </w:r>
    </w:p>
    <w:bookmarkEnd w:id="57"/>
    <w:bookmarkStart w:id="58" w:name="风险日历"/>
    <w:p>
      <w:pPr>
        <w:pStyle w:val="Heading2"/>
      </w:pPr>
      <w:r>
        <w:t xml:space="preserve">📅 </w:t>
      </w:r>
      <w:r>
        <w:rPr>
          <w:rFonts w:hint="eastAsia"/>
        </w:rPr>
        <w:t xml:space="preserve">风险日历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日期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风险事项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影响方向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10月13日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三季度业绩预告密集披露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个股业绩差异放大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10月13日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新华传媒停牌核查及多只传媒股异动公告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传媒高位风险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10月13日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多家公司减持、解禁及资产减值公告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个股供给与估值压力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10月19日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金融街论坛年会开幕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资本市场改革预期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11月5日至10日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第九届进博会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进口消费、物流、会展</w:t>
            </w:r>
          </w:p>
        </w:tc>
      </w:tr>
    </w:tbl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中东机场、能源设施及霍尔木兹海峡安全事件没有明确结束时间，需持续跟踪原油、黄金和全球风险资产联动。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QVIX最新日频数据停留在9月30日，恐慌指标存在滞后风险，不能替代今日盘中波动判断。</w:t>
      </w:r>
    </w:p>
    <w:p>
      <w:r>
        <w:pict>
          <v:rect style="width:0;height:1.5pt" o:hralign="center" o:hrstd="t" o:hr="t"/>
        </w:pict>
      </w:r>
    </w:p>
    <w:bookmarkEnd w:id="58"/>
    <w:bookmarkStart w:id="59" w:name="外资与离岸风险偏好"/>
    <w:p>
      <w:pPr>
        <w:pStyle w:val="Heading2"/>
      </w:pPr>
      <w:r>
        <w:t xml:space="preserve">🌐 </w:t>
      </w:r>
      <w:r>
        <w:rPr>
          <w:rFonts w:hint="eastAsia"/>
        </w:rPr>
        <w:t xml:space="preserve">外资与离岸风险偏好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美元兑离岸人民币报6.6942，人民币升值0.01%，汇率端暂时稳定。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富时中国A50期指下跌0.15%，外盘对A股权重方向的指引偏弱但幅度有限。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恒生指数最近快照上涨0.25%至24211.35点，但该数据不是10月13日A股开盘后的实时港股行情。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北向资金或外资当日实时净流入数据在采集JSON中当前数据源未返回，不以ETF申购、离岸人民币或A50期指替代外资净流入。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宽基ETF持续净申购说明中长期配置资金存在承接，但融资余额下降说明高风险偏好资金仍在收缩。</w:t>
      </w:r>
    </w:p>
    <w:p>
      <w:pPr>
        <w:pStyle w:val="FirstParagraph"/>
      </w:pPr>
      <w:r>
        <w:t xml:space="preserve">💡</w:t>
      </w:r>
      <w:r>
        <w:t xml:space="preserve"> </w:t>
      </w:r>
      <w:r>
        <w:rPr>
          <w:rFonts w:hint="eastAsia"/>
          <w:b/>
          <w:bCs/>
        </w:rPr>
        <w:t xml:space="preserve">综合判断：</w:t>
      </w:r>
      <w:r>
        <w:t xml:space="preserve"> </w:t>
      </w:r>
      <w:r>
        <w:rPr>
          <w:rFonts w:hint="eastAsia"/>
        </w:rPr>
        <w:t xml:space="preserve">离岸风险偏好中性，人民币稳定是正面因素，A50微跌与海外半导体走弱是负面因素。今日真正的确认信号不是外盘单点涨跌，而是A股开盘后宽基承接能否扩散到个股、成交额能否企稳以及科技核心股能否停止趋势破位。</w:t>
      </w:r>
    </w:p>
    <w:p>
      <w:r>
        <w:pict>
          <v:rect style="width:0;height:1.5pt" o:hralign="center" o:hrstd="t" o:hr="t"/>
        </w:pict>
      </w:r>
    </w:p>
    <w:bookmarkEnd w:id="59"/>
    <w:bookmarkStart w:id="60" w:name="最终风险提示"/>
    <w:p>
      <w:pPr>
        <w:pStyle w:val="Heading2"/>
      </w:pPr>
      <w:r>
        <w:t xml:space="preserve">⚠️ </w:t>
      </w:r>
      <w:r>
        <w:rPr>
          <w:rFonts w:hint="eastAsia"/>
        </w:rPr>
        <w:t xml:space="preserve">最终风险提示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当前最容易出现的误判，是把宽基ETF逆势流入等同于个股全面见底。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主力买入榜与卖出榜反映的是双向成交，不能只看买入金额忽略更大的卖出压力。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重点股技术数据截至10月9日，必须结合10月12日收盘变化重新确认。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没有A档右侧标的时，现金也是仓位；等待趋势重新站稳，比预测最低点更重要。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本报告为市场研究与策略记录，不构成任何收益承诺或无条件交易指令。</w:t>
      </w:r>
    </w:p>
    <w:p>
      <w:pPr>
        <w:pStyle w:val="BlockText"/>
      </w:pPr>
      <w:r>
        <w:t xml:space="preserve">📊 </w:t>
      </w:r>
      <w:r>
        <w:rPr>
          <w:rFonts w:hint="eastAsia"/>
        </w:rPr>
        <w:t xml:space="preserve">生成时间：2026-10-13</w:t>
      </w:r>
      <w:r>
        <w:t xml:space="preserve"> 08:30:57</w:t>
      </w:r>
      <w:r>
        <w:br/>
      </w:r>
      <w:r>
        <w:t xml:space="preserve">🦞 </w:t>
      </w:r>
      <w:r>
        <w:rPr>
          <w:rFonts w:hint="eastAsia"/>
        </w:rPr>
        <w:t xml:space="preserve">by：奇迹早知道</w:t>
      </w:r>
      <w:r>
        <w:t xml:space="preserve"> v4.1</w:t>
      </w:r>
      <w:r>
        <w:br/>
      </w:r>
      <w:r>
        <w:t xml:space="preserve">🔵 </w:t>
      </w:r>
      <w:r>
        <w:rPr>
          <w:rFonts w:hint="eastAsia"/>
        </w:rPr>
        <w:t xml:space="preserve">数据采集：Python</w:t>
      </w:r>
      <w:r>
        <w:t xml:space="preserve"> </w:t>
      </w:r>
      <w:r>
        <w:rPr>
          <w:rFonts w:hint="eastAsia"/>
        </w:rPr>
        <w:t xml:space="preserve">标准库</w:t>
      </w:r>
      <w:r>
        <w:t xml:space="preserve"> + </w:t>
      </w:r>
      <w:r>
        <w:rPr>
          <w:rFonts w:hint="eastAsia"/>
        </w:rPr>
        <w:t xml:space="preserve">华泰skill</w:t>
      </w:r>
      <w:r>
        <w:t xml:space="preserve"> + </w:t>
      </w:r>
      <w:r>
        <w:rPr>
          <w:rFonts w:hint="eastAsia"/>
        </w:rPr>
        <w:t xml:space="preserve">东财push2ex/datacenter/F10</w:t>
      </w:r>
      <w:r>
        <w:t xml:space="preserve"> + </w:t>
      </w:r>
      <w:r>
        <w:rPr>
          <w:rFonts w:hint="eastAsia"/>
        </w:rPr>
        <w:t xml:space="preserve">东方财富妙想mx-data/mx-search/mx-xuangu（只读增强）+</w:t>
      </w:r>
      <w:r>
        <w:t xml:space="preserve"> </w:t>
      </w:r>
      <w:r>
        <w:rPr>
          <w:rFonts w:hint="eastAsia"/>
        </w:rPr>
        <w:t xml:space="preserve">TickFlow重点股日K（只读技术校验）+</w:t>
      </w:r>
      <w:r>
        <w:t xml:space="preserve"> </w:t>
      </w:r>
      <w:r>
        <w:rPr>
          <w:rFonts w:hint="eastAsia"/>
        </w:rPr>
        <w:t xml:space="preserve">同花顺dq</w:t>
      </w:r>
      <w:r>
        <w:t xml:space="preserve"> + </w:t>
      </w:r>
      <w:r>
        <w:rPr>
          <w:rFonts w:hint="eastAsia"/>
        </w:rPr>
        <w:t xml:space="preserve">新浪/腾讯行情</w:t>
      </w:r>
      <w:r>
        <w:t xml:space="preserve"> + </w:t>
      </w:r>
      <w:r>
        <w:rPr>
          <w:rFonts w:hint="eastAsia"/>
        </w:rPr>
        <w:t xml:space="preserve">financial_rigor验算</w:t>
      </w:r>
      <w:r>
        <w:br/>
      </w:r>
      <w:r>
        <w:t xml:space="preserve">🔴 </w:t>
      </w:r>
      <w:r>
        <w:rPr>
          <w:rFonts w:hint="eastAsia"/>
        </w:rPr>
        <w:t xml:space="preserve">分析+写稿模型：GPT-5.6</w:t>
      </w:r>
      <w:r>
        <w:t xml:space="preserve"> Sol (openai-codex)</w:t>
      </w:r>
      <w:r>
        <w:br/>
      </w:r>
      <w:r>
        <w:t xml:space="preserve">📄 </w:t>
      </w:r>
      <w:r>
        <w:rPr>
          <w:rFonts w:hint="eastAsia"/>
        </w:rPr>
        <w:t xml:space="preserve">文档生成：pandoc</w:t>
      </w:r>
      <w:r>
        <w:t xml:space="preserve"> (markdown → docx)</w:t>
      </w:r>
    </w:p>
    <w:bookmarkEnd w:id="60"/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2026-10-13T00:37:29Z</dcterms:created>
  <dcterms:modified xsi:type="dcterms:W3CDTF">2026-10-13T00:37:29Z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