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8" w:name="奇迹早知道2026年10月12日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奇迹早知道｜2026年10月12日盘前简报</w:t>
      </w:r>
    </w:p>
    <w:bookmarkStart w:id="11" w:name="隔夜全球市场指数回暖半导体内部偏弱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隔夜全球市场：指数回暖，半导体内部偏弱</w:t>
      </w:r>
    </w:p>
    <w:p>
      <w:pPr>
        <w:pStyle w:val="FirstParagraph"/>
      </w:pPr>
      <w:r>
        <w:rPr>
          <w:rFonts w:hint="eastAsia"/>
        </w:rPr>
        <w:t xml:space="preserve">截至最近一个完整美股交易日收盘，美股三大指数集体上涨，但核心半导体个股多数回落，外围风险偏好修复并未转化为科技硬件全面走强。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51654.9492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27366.1698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+0.64%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7811.5400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+0.59%</w:t>
            </w:r>
          </w:p>
        </w:tc>
      </w:tr>
    </w:tbl>
    <w:bookmarkStart w:id="9" w:name="核心半导体表现"/>
    <w:p>
      <w:pPr>
        <w:pStyle w:val="Heading3"/>
      </w:pPr>
      <w:r>
        <w:t xml:space="preserve">🧩 </w:t>
      </w:r>
      <w:r>
        <w:rPr>
          <w:rFonts w:hint="eastAsia"/>
        </w:rPr>
        <w:t xml:space="preserve">核心半导体表现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229.28美元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-0.52%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608.10美元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-2.03%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453.31美元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-1.02%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361.54美元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1029.00美元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-0.66%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指数层面偏暖</w:t>
      </w:r>
      <w:r>
        <w:rPr>
          <w:rFonts w:hint="eastAsia"/>
        </w:rPr>
        <w:t xml:space="preserve">：美股三大指数同步上涨，为A股开盘提供风险偏好支撑。</w:t>
      </w:r>
    </w:p>
    <w:p>
      <w:pPr>
        <w:pStyle w:val="Compact"/>
        <w:numPr>
          <w:ilvl w:val="0"/>
          <w:numId w:val="1001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半导体映射偏弱</w:t>
      </w:r>
      <w:r>
        <w:rPr>
          <w:rFonts w:hint="eastAsia"/>
        </w:rPr>
        <w:t xml:space="preserve">：五只核心半导体中仅博通上涨，AMD跌幅最大，A股半导体、CPO及PCB不能仅凭纳指上涨推导高开高走。</w:t>
      </w:r>
    </w:p>
    <w:p>
      <w:pPr>
        <w:pStyle w:val="Compact"/>
        <w:numPr>
          <w:ilvl w:val="0"/>
          <w:numId w:val="1001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国内科技筹码仍需消化</w:t>
      </w:r>
      <w:r>
        <w:rPr>
          <w:rFonts w:hint="eastAsia"/>
        </w:rPr>
        <w:t xml:space="preserve">：上一交易日半导体、通信设备、元件主力净流出居前，多只高成交科技股技术评级为D，外围反弹更适合观察修复强度，不适合追高。</w:t>
      </w:r>
    </w:p>
    <w:bookmarkEnd w:id="9"/>
    <w:bookmarkStart w:id="10" w:name="大宗商品"/>
    <w:p>
      <w:pPr>
        <w:pStyle w:val="Heading3"/>
      </w:pPr>
      <w:r>
        <w:t xml:space="preserve">🛢️ </w:t>
      </w:r>
      <w:r>
        <w:rPr>
          <w:rFonts w:hint="eastAsia"/>
        </w:rPr>
        <w:t xml:space="preserve">大宗商品</w:t>
      </w:r>
    </w:p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COMEX黄金报4229.481美元，涨0.31%，贵金属仍有避险与趋势支撑。</w:t>
      </w:r>
    </w:p>
    <w:p>
      <w:pPr>
        <w:pStyle w:val="Compact"/>
        <w:numPr>
          <w:ilvl w:val="0"/>
          <w:numId w:val="1002"/>
        </w:numPr>
      </w:pPr>
      <w:r>
        <w:t xml:space="preserve">📉 </w:t>
      </w:r>
      <w:r>
        <w:rPr>
          <w:rFonts w:hint="eastAsia"/>
        </w:rPr>
        <w:t xml:space="preserve">WTI原油报90.615美元，跌1.34%，但中东航运与油气设施扰动可能放大日内波动。</w:t>
      </w:r>
    </w:p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伦铜报14574.85，涨0.24%，对工业金属形成温和支撑。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8" w:name="新闻联播政策面生态水网氢能与物流构成政策主线"/>
    <w:p>
      <w:pPr>
        <w:pStyle w:val="Heading2"/>
      </w:pPr>
      <w:r>
        <w:t xml:space="preserve">📰 </w:t>
      </w:r>
      <w:r>
        <w:rPr>
          <w:rFonts w:hint="eastAsia"/>
        </w:rPr>
        <w:t xml:space="preserve">新闻联播政策面：生态、水网、氢能与物流构成政策主线</w:t>
      </w:r>
    </w:p>
    <w:bookmarkStart w:id="12" w:name="美丽中国与生态治理政策周期长订单兑现重于题材扩散"/>
    <w:p>
      <w:pPr>
        <w:pStyle w:val="Heading3"/>
      </w:pPr>
      <w:r>
        <w:t xml:space="preserve">🌿 1. </w:t>
      </w:r>
      <w:r>
        <w:rPr>
          <w:rFonts w:hint="eastAsia"/>
        </w:rPr>
        <w:t xml:space="preserve">美丽中国与生态治理：政策周期长，订单兑现重于题材扩散</w:t>
      </w:r>
    </w:p>
    <w:p>
      <w:pPr>
        <w:pStyle w:val="FirstParagraph"/>
      </w:pPr>
      <w:r>
        <w:rPr>
          <w:rFonts w:hint="eastAsia"/>
        </w:rPr>
        <w:t xml:space="preserve">10月11日《新闻联播》重点强调，以高水平保护支撑高质量发展，“十五五”期间将推进30个重点湖库生态保护治理，推动150个河湖水生态环境状况达到优良。</w:t>
      </w:r>
    </w:p>
    <w:p>
      <w:pPr>
        <w:pStyle w:val="Compact"/>
        <w:numPr>
          <w:ilvl w:val="0"/>
          <w:numId w:val="1003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产业落点</w:t>
      </w:r>
      <w:r>
        <w:rPr>
          <w:rFonts w:hint="eastAsia"/>
        </w:rPr>
        <w:t xml:space="preserve">：水环境治理、污水管网、生态修复、湿地保护、环境监测、固废资源化、林业信息化。</w:t>
      </w:r>
    </w:p>
    <w:p>
      <w:pPr>
        <w:pStyle w:val="Compact"/>
        <w:numPr>
          <w:ilvl w:val="0"/>
          <w:numId w:val="1003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A股映射</w:t>
      </w:r>
      <w:r>
        <w:rPr>
          <w:rFonts w:hint="eastAsia"/>
        </w:rPr>
        <w:t xml:space="preserve">：环保工程、水务运营、环境监测、北斗测绘、无人机巡检及生态园林。</w:t>
      </w:r>
    </w:p>
    <w:p>
      <w:pPr>
        <w:pStyle w:val="Compact"/>
        <w:numPr>
          <w:ilvl w:val="0"/>
          <w:numId w:val="1003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交易判断</w:t>
      </w:r>
      <w:r>
        <w:rPr>
          <w:rFonts w:hint="eastAsia"/>
        </w:rPr>
        <w:t xml:space="preserve">：属于中长期财政与项目订单逻辑，优先选择已有订单、现金流可验证的公司；单纯“美丽中国”概念脉冲不追。</w:t>
      </w:r>
    </w:p>
    <w:p>
      <w:pPr>
        <w:pStyle w:val="FirstParagraph"/>
      </w:pPr>
      <w:r>
        <w:rPr>
          <w:rFonts w:hint="eastAsia"/>
        </w:rPr>
        <w:t xml:space="preserve">“三北”工程攻坚战三年来已完成治理任务2.65亿亩，规划到2030年工程区林草覆盖率达到40.9%，可治理沙化土地治理率达到67%。</w:t>
      </w:r>
    </w:p>
    <w:p>
      <w:pPr>
        <w:pStyle w:val="Compact"/>
        <w:numPr>
          <w:ilvl w:val="0"/>
          <w:numId w:val="1004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产业落点</w:t>
      </w:r>
      <w:r>
        <w:rPr>
          <w:rFonts w:hint="eastAsia"/>
        </w:rPr>
        <w:t xml:space="preserve">：节水灌溉、种苗、防沙治沙、生态监测及林业机械。</w:t>
      </w:r>
    </w:p>
    <w:p>
      <w:pPr>
        <w:pStyle w:val="Compact"/>
        <w:numPr>
          <w:ilvl w:val="0"/>
          <w:numId w:val="1004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观察条件</w:t>
      </w:r>
      <w:r>
        <w:rPr>
          <w:rFonts w:hint="eastAsia"/>
        </w:rPr>
        <w:t xml:space="preserve">：板块放量、订单公告与政策资金同步验证后再参与，不能把长期规划直接等同于短期利润。</w:t>
      </w:r>
    </w:p>
    <w:bookmarkEnd w:id="12"/>
    <w:bookmarkStart w:id="13" w:name="物流业连续扩张六张网建设强化基础设施景气"/>
    <w:p>
      <w:pPr>
        <w:pStyle w:val="Heading3"/>
      </w:pPr>
      <w:r>
        <w:t xml:space="preserve">🚚 2. </w:t>
      </w:r>
      <w:r>
        <w:rPr>
          <w:rFonts w:hint="eastAsia"/>
        </w:rPr>
        <w:t xml:space="preserve">物流业连续扩张：“六张网”建设强化基础设施景气</w:t>
      </w:r>
    </w:p>
    <w:p>
      <w:pPr>
        <w:pStyle w:val="FirstParagraph"/>
      </w:pPr>
      <w:r>
        <w:rPr>
          <w:rFonts w:hint="eastAsia"/>
        </w:rPr>
        <w:t xml:space="preserve">9月中国物流业景气指数为51.5%，环比回升0.6个百分点，连续5个月处于扩张区间；新订单指数回升0.4个百分点，连续7个月回升。12个分项指数中有10个环比回升，业务活动预期指数回升1.8个百分点。</w:t>
      </w:r>
    </w:p>
    <w:p>
      <w:pPr>
        <w:pStyle w:val="Compact"/>
        <w:numPr>
          <w:ilvl w:val="0"/>
          <w:numId w:val="1005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产业落点</w:t>
      </w:r>
      <w:r>
        <w:rPr>
          <w:rFonts w:hint="eastAsia"/>
        </w:rPr>
        <w:t xml:space="preserve">：物流信息化、智能仓储、快递设备、供应链服务、交通基础设施。</w:t>
      </w:r>
    </w:p>
    <w:p>
      <w:pPr>
        <w:pStyle w:val="Compact"/>
        <w:numPr>
          <w:ilvl w:val="0"/>
          <w:numId w:val="1005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积极信号</w:t>
      </w:r>
      <w:r>
        <w:rPr>
          <w:rFonts w:hint="eastAsia"/>
        </w:rPr>
        <w:t xml:space="preserve">：订单、设备利用率和资金周转率共同改善，说明物流活动并非单一季节性价格上涨。</w:t>
      </w:r>
    </w:p>
    <w:p>
      <w:pPr>
        <w:pStyle w:val="Compact"/>
        <w:numPr>
          <w:ilvl w:val="0"/>
          <w:numId w:val="1005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约束因素</w:t>
      </w:r>
      <w:r>
        <w:rPr>
          <w:rFonts w:hint="eastAsia"/>
        </w:rPr>
        <w:t xml:space="preserve">：报道同时指出存在成本压力，需区分业务量增长与利润率改善。</w:t>
      </w:r>
    </w:p>
    <w:p>
      <w:pPr>
        <w:pStyle w:val="Compact"/>
        <w:numPr>
          <w:ilvl w:val="0"/>
          <w:numId w:val="1005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交易策略</w:t>
      </w:r>
      <w:r>
        <w:rPr>
          <w:rFonts w:hint="eastAsia"/>
        </w:rPr>
        <w:t xml:space="preserve">：优先观察有盈利兑现能力的物流龙头和自动化设备企业，不追纯概念小票。</w:t>
      </w:r>
    </w:p>
    <w:bookmarkEnd w:id="13"/>
    <w:bookmarkStart w:id="14" w:name="国家水网建设提速水利投资进入实物工作量阶段"/>
    <w:p>
      <w:pPr>
        <w:pStyle w:val="Heading3"/>
      </w:pPr>
      <w:r>
        <w:t xml:space="preserve">💧 3. </w:t>
      </w:r>
      <w:r>
        <w:rPr>
          <w:rFonts w:hint="eastAsia"/>
        </w:rPr>
        <w:t xml:space="preserve">国家水网建设提速：水利投资进入实物工作量阶段</w:t>
      </w:r>
    </w:p>
    <w:p>
      <w:pPr>
        <w:pStyle w:val="FirstParagraph"/>
      </w:pPr>
      <w:r>
        <w:rPr>
          <w:rFonts w:hint="eastAsia"/>
        </w:rPr>
        <w:t xml:space="preserve">前三季度新开工重大水利工程数量已经超过去年全年；葛洲坝航运扩能进入主体施工阶段，福建上白石水利枢纽、太湖流域苕溪防洪治理工程同步推进。全年已完成2012处农村供水工程建设，预计年底农村自来水普及率达到97%。</w:t>
      </w:r>
    </w:p>
    <w:p>
      <w:pPr>
        <w:pStyle w:val="Compact"/>
        <w:numPr>
          <w:ilvl w:val="0"/>
          <w:numId w:val="1006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直接受益链</w:t>
      </w:r>
      <w:r>
        <w:rPr>
          <w:rFonts w:hint="eastAsia"/>
        </w:rPr>
        <w:t xml:space="preserve">：水利施工、工程机械、管材、水泵阀门、水泥建材、智慧水务。</w:t>
      </w:r>
    </w:p>
    <w:p>
      <w:pPr>
        <w:pStyle w:val="Compact"/>
        <w:numPr>
          <w:ilvl w:val="0"/>
          <w:numId w:val="1006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信号质量</w:t>
      </w:r>
      <w:r>
        <w:rPr>
          <w:rFonts w:hint="eastAsia"/>
        </w:rPr>
        <w:t xml:space="preserve">：从规划转向开工和主体施工，订单兑现确定性高于一般主题宣传。</w:t>
      </w:r>
    </w:p>
    <w:p>
      <w:pPr>
        <w:pStyle w:val="Compact"/>
        <w:numPr>
          <w:ilvl w:val="0"/>
          <w:numId w:val="1006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操作条件</w:t>
      </w:r>
      <w:r>
        <w:rPr>
          <w:rFonts w:hint="eastAsia"/>
        </w:rPr>
        <w:t xml:space="preserve">：关注后续中标公告、合同金额和回款进度；若板块高开但成交额不能持续放大，不追第一波情绪溢价。</w:t>
      </w:r>
    </w:p>
    <w:bookmarkEnd w:id="14"/>
    <w:bookmarkStart w:id="15" w:name="氢能首次纳入非化石能源供给体系设备与管网优先"/>
    <w:p>
      <w:pPr>
        <w:pStyle w:val="Heading3"/>
      </w:pPr>
      <w:r>
        <w:t xml:space="preserve">⚡ 4. </w:t>
      </w:r>
      <w:r>
        <w:rPr>
          <w:rFonts w:hint="eastAsia"/>
        </w:rPr>
        <w:t xml:space="preserve">氢能首次纳入非化石能源供给体系：设备与管网优先</w:t>
      </w:r>
    </w:p>
    <w:p>
      <w:pPr>
        <w:pStyle w:val="FirstParagraph"/>
      </w:pPr>
      <w:r>
        <w:rPr>
          <w:rFonts w:hint="eastAsia"/>
        </w:rPr>
        <w:t xml:space="preserve">我国氢气年产量超过3900万吨，产能规模占全球一半以上；全国已建成及规划在建输氢管道总里程突破1.3万公里。国家正在5个城市群开展氢能综合应用试点，覆盖制氢、储运和燃料电池汽车等场景。</w:t>
      </w:r>
    </w:p>
    <w:p>
      <w:pPr>
        <w:pStyle w:val="Compact"/>
        <w:numPr>
          <w:ilvl w:val="0"/>
          <w:numId w:val="1007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产业落点</w:t>
      </w:r>
      <w:r>
        <w:rPr>
          <w:rFonts w:hint="eastAsia"/>
        </w:rPr>
        <w:t xml:space="preserve">：电解槽、压缩机、储氢瓶、输氢管道、加氢站、燃料电池重卡。</w:t>
      </w:r>
    </w:p>
    <w:p>
      <w:pPr>
        <w:pStyle w:val="Compact"/>
        <w:numPr>
          <w:ilvl w:val="0"/>
          <w:numId w:val="1007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政策含金量</w:t>
      </w:r>
      <w:r>
        <w:rPr>
          <w:rFonts w:hint="eastAsia"/>
        </w:rPr>
        <w:t xml:space="preserve">：氢能首次纳入“十五五”非化石能源供给体系，产业定位由示范应用向能源体系组成部分提升。</w:t>
      </w:r>
    </w:p>
    <w:p>
      <w:pPr>
        <w:pStyle w:val="Compact"/>
        <w:numPr>
          <w:ilvl w:val="0"/>
          <w:numId w:val="1007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主要风险</w:t>
      </w:r>
      <w:r>
        <w:rPr>
          <w:rFonts w:hint="eastAsia"/>
        </w:rPr>
        <w:t xml:space="preserve">：绿氢成本、设备利用率、项目资本开支和盈利模式仍需验证。</w:t>
      </w:r>
    </w:p>
    <w:p>
      <w:pPr>
        <w:pStyle w:val="Compact"/>
        <w:numPr>
          <w:ilvl w:val="0"/>
          <w:numId w:val="1007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参与原则</w:t>
      </w:r>
      <w:r>
        <w:rPr>
          <w:rFonts w:hint="eastAsia"/>
        </w:rPr>
        <w:t xml:space="preserve">：优先设备订单与管网建设，回避仅靠概念标签、没有订单和收入支撑的高换手标的。</w:t>
      </w:r>
    </w:p>
    <w:bookmarkEnd w:id="15"/>
    <w:bookmarkStart w:id="16" w:name="汽车安全监管趋严零部件设计迎来结构性调整"/>
    <w:p>
      <w:pPr>
        <w:pStyle w:val="Heading3"/>
      </w:pPr>
      <w:r>
        <w:t xml:space="preserve">🚘 5. </w:t>
      </w:r>
      <w:r>
        <w:rPr>
          <w:rFonts w:hint="eastAsia"/>
        </w:rPr>
        <w:t xml:space="preserve">汽车安全监管趋严：零部件设计迎来结构性调整</w:t>
      </w:r>
    </w:p>
    <w:p>
      <w:pPr>
        <w:pStyle w:val="FirstParagraph"/>
      </w:pPr>
      <w:r>
        <w:rPr>
          <w:rFonts w:hint="eastAsia"/>
        </w:rPr>
        <w:t xml:space="preserve">工信部等四部门发布征求意见稿，提出禁止配备全隐藏式门把手、不得采用折叠显示屏；车辆环境适应性验证周期不少于1年，可靠性验证试验不低于30000公里。</w:t>
      </w:r>
    </w:p>
    <w:p>
      <w:pPr>
        <w:pStyle w:val="Compact"/>
        <w:numPr>
          <w:ilvl w:val="0"/>
          <w:numId w:val="1008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潜在受益</w:t>
      </w:r>
      <w:r>
        <w:rPr>
          <w:rFonts w:hint="eastAsia"/>
        </w:rPr>
        <w:t xml:space="preserve">：传统机械门锁、安全测试、汽车检测认证及可靠性试验设备。</w:t>
      </w:r>
    </w:p>
    <w:p>
      <w:pPr>
        <w:pStyle w:val="Compact"/>
        <w:numPr>
          <w:ilvl w:val="0"/>
          <w:numId w:val="1008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潜在承压</w:t>
      </w:r>
      <w:r>
        <w:rPr>
          <w:rFonts w:hint="eastAsia"/>
        </w:rPr>
        <w:t xml:space="preserve">：全隐藏式门把手、折叠显示方案及需要重新设计验证的供应链环节。</w:t>
      </w:r>
    </w:p>
    <w:p>
      <w:pPr>
        <w:pStyle w:val="Compact"/>
        <w:numPr>
          <w:ilvl w:val="0"/>
          <w:numId w:val="1008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判断边界</w:t>
      </w:r>
      <w:r>
        <w:rPr>
          <w:rFonts w:hint="eastAsia"/>
        </w:rPr>
        <w:t xml:space="preserve">：当前为征求意见稿，最终实施范围和时间表尚待正式文件确认。</w:t>
      </w:r>
    </w:p>
    <w:bookmarkEnd w:id="16"/>
    <w:bookmarkStart w:id="17" w:name="消费与口岸场景更新重于普遍消费扩张"/>
    <w:p>
      <w:pPr>
        <w:pStyle w:val="Heading3"/>
      </w:pPr>
      <w:r>
        <w:t xml:space="preserve">🏙️ 6. </w:t>
      </w:r>
      <w:r>
        <w:rPr>
          <w:rFonts w:hint="eastAsia"/>
        </w:rPr>
        <w:t xml:space="preserve">消费与口岸：场景更新重于普遍消费扩张</w:t>
      </w:r>
    </w:p>
    <w:p>
      <w:pPr>
        <w:pStyle w:val="FirstParagraph"/>
      </w:pPr>
      <w:r>
        <w:rPr>
          <w:rFonts w:hint="eastAsia"/>
        </w:rPr>
        <w:t xml:space="preserve">新皇岗口岸今日开通运行，提供24小时通关，日通关流量20万人次，旅客通关时间由30分钟缩短至5分钟。南京老门东案例强调首店、国潮、AI体验、精细化运营和差异化供给。</w:t>
      </w:r>
    </w:p>
    <w:p>
      <w:pPr>
        <w:pStyle w:val="Compact"/>
        <w:numPr>
          <w:ilvl w:val="0"/>
          <w:numId w:val="1009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产业落点</w:t>
      </w:r>
      <w:r>
        <w:rPr>
          <w:rFonts w:hint="eastAsia"/>
        </w:rPr>
        <w:t xml:space="preserve">：粤港澳跨境消费、口岸服务、免税零售、智慧通关、文旅数字化。</w:t>
      </w:r>
    </w:p>
    <w:p>
      <w:pPr>
        <w:pStyle w:val="Compact"/>
        <w:numPr>
          <w:ilvl w:val="0"/>
          <w:numId w:val="1009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交易判断</w:t>
      </w:r>
      <w:r>
        <w:rPr>
          <w:rFonts w:hint="eastAsia"/>
        </w:rPr>
        <w:t xml:space="preserve">：更偏区域与场景催化，需结合客流和收入兑现，不宜外推为全部消费行业景气反转。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2" w:name="今日公告官方公告源重点筛选"/>
    <w:p>
      <w:pPr>
        <w:pStyle w:val="Heading2"/>
      </w:pPr>
      <w:r>
        <w:t xml:space="preserve">📣 </w:t>
      </w:r>
      <w:r>
        <w:rPr>
          <w:rFonts w:hint="eastAsia"/>
        </w:rPr>
        <w:t xml:space="preserve">今日公告：官方公告源重点筛选</w:t>
      </w:r>
    </w:p>
    <w:p>
      <w:pPr>
        <w:pStyle w:val="FirstParagraph"/>
      </w:pPr>
      <w:r>
        <w:rPr>
          <w:rFonts w:hint="eastAsia"/>
        </w:rPr>
        <w:t xml:space="preserve">公告主接口出现HTTP</w:t>
      </w:r>
      <w:r>
        <w:t xml:space="preserve"> </w:t>
      </w:r>
      <w:r>
        <w:rPr>
          <w:rFonts w:hint="eastAsia"/>
        </w:rPr>
        <w:t xml:space="preserve">567异常，本轮通过巨潮资讯历史公告官方接口完整抓取沪深两市210条公告，来源为</w:t>
      </w:r>
      <w:r>
        <w:t xml:space="preserve"> </w:t>
      </w:r>
      <w:r>
        <w:rPr>
          <w:rStyle w:val="VerbatimChar"/>
        </w:rPr>
        <w:t xml:space="preserve">cninfo_official</w:t>
      </w:r>
      <w:r>
        <w:rPr>
          <w:rFonts w:hint="eastAsia"/>
        </w:rPr>
        <w:t xml:space="preserve">，未使用财经新闻替代正式公告。</w:t>
      </w:r>
    </w:p>
    <w:bookmarkStart w:id="19" w:name="风险与减持"/>
    <w:p>
      <w:pPr>
        <w:pStyle w:val="Heading3"/>
      </w:pPr>
      <w:r>
        <w:t xml:space="preserve">🔴 </w:t>
      </w:r>
      <w:r>
        <w:rPr>
          <w:rFonts w:hint="eastAsia"/>
        </w:rPr>
        <w:t xml:space="preserve">风险与减持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工业富联（601138）</w:t>
      </w:r>
      <w:r>
        <w:rPr>
          <w:rFonts w:hint="eastAsia"/>
        </w:rPr>
        <w:t xml:space="preserve">：公告美国国际贸易委员会对公司及控股子公司开展337调查。海外业务、供应链与潜在诉讼风险需要重点评估。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宏柏新材（605366）</w:t>
      </w:r>
      <w:r>
        <w:t xml:space="preserve">、</w:t>
      </w:r>
      <w:r>
        <w:rPr>
          <w:rFonts w:hint="eastAsia"/>
          <w:b/>
          <w:bCs/>
        </w:rPr>
        <w:t xml:space="preserve">江山欧派（603208）</w:t>
      </w:r>
      <w:r>
        <w:t xml:space="preserve">、</w:t>
      </w:r>
      <w:r>
        <w:rPr>
          <w:rFonts w:hint="eastAsia"/>
          <w:b/>
          <w:bCs/>
        </w:rPr>
        <w:t xml:space="preserve">百合花（603823）</w:t>
      </w:r>
      <w:r>
        <w:t xml:space="preserve">、</w:t>
      </w:r>
      <w:r>
        <w:rPr>
          <w:rFonts w:hint="eastAsia"/>
          <w:b/>
          <w:bCs/>
        </w:rPr>
        <w:t xml:space="preserve">耀皮玻璃（600819）</w:t>
      </w:r>
      <w:r>
        <w:t xml:space="preserve">、*</w:t>
      </w:r>
      <w:r>
        <w:rPr>
          <w:rFonts w:hint="eastAsia"/>
          <w:b/>
          <w:bCs/>
        </w:rPr>
        <w:t xml:space="preserve">ST联翔（603272）</w:t>
      </w:r>
      <w:r>
        <w:t xml:space="preserve">、</w:t>
      </w:r>
      <w:r>
        <w:rPr>
          <w:rFonts w:hint="eastAsia"/>
          <w:b/>
          <w:bCs/>
        </w:rPr>
        <w:t xml:space="preserve">华民股份（300345）</w:t>
      </w:r>
      <w:r>
        <w:rPr>
          <w:rFonts w:hint="eastAsia"/>
        </w:rPr>
        <w:t xml:space="preserve">披露股东或董监高减持计划。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步科股份（688160）</w:t>
      </w:r>
      <w:r>
        <w:t xml:space="preserve">、</w:t>
      </w:r>
      <w:r>
        <w:rPr>
          <w:rFonts w:hint="eastAsia"/>
          <w:b/>
          <w:bCs/>
        </w:rPr>
        <w:t xml:space="preserve">华盛锂电（688353）</w:t>
      </w:r>
      <w:r>
        <w:t xml:space="preserve">、</w:t>
      </w:r>
      <w:r>
        <w:rPr>
          <w:rFonts w:hint="eastAsia"/>
          <w:b/>
          <w:bCs/>
        </w:rPr>
        <w:t xml:space="preserve">海阳科技（603382）</w:t>
      </w:r>
      <w:r>
        <w:t xml:space="preserve">、</w:t>
      </w:r>
      <w:r>
        <w:rPr>
          <w:rFonts w:hint="eastAsia"/>
          <w:b/>
          <w:bCs/>
        </w:rPr>
        <w:t xml:space="preserve">通用股份（601500）</w:t>
      </w:r>
      <w:r>
        <w:t xml:space="preserve">、</w:t>
      </w:r>
      <w:r>
        <w:rPr>
          <w:rFonts w:hint="eastAsia"/>
          <w:b/>
          <w:bCs/>
        </w:rPr>
        <w:t xml:space="preserve">杰普特（688025）</w:t>
      </w:r>
      <w:r>
        <w:rPr>
          <w:rFonts w:hint="eastAsia"/>
        </w:rPr>
        <w:t xml:space="preserve">披露减持结果。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ST联光（600363）</w:t>
      </w:r>
      <w:r>
        <w:rPr>
          <w:rFonts w:hint="eastAsia"/>
        </w:rPr>
        <w:t xml:space="preserve">：披露资产减值准备提取和核销规定修订，需关注后续实际计提影响。</w:t>
      </w:r>
    </w:p>
    <w:bookmarkEnd w:id="19"/>
    <w:bookmarkStart w:id="20" w:name="回购增持与公司治理"/>
    <w:p>
      <w:pPr>
        <w:pStyle w:val="Heading3"/>
      </w:pPr>
      <w:r>
        <w:t xml:space="preserve">🟢 </w:t>
      </w:r>
      <w:r>
        <w:rPr>
          <w:rFonts w:hint="eastAsia"/>
        </w:rPr>
        <w:t xml:space="preserve">回购、增持与公司治理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晶升股份（688478）</w:t>
      </w:r>
      <w:r>
        <w:rPr>
          <w:rFonts w:hint="eastAsia"/>
        </w:rPr>
        <w:t xml:space="preserve">：控股股东、实际控制人兼董事长增持计划实施完毕。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国电南瑞（600406）</w:t>
      </w:r>
      <w:r>
        <w:t xml:space="preserve">、</w:t>
      </w:r>
      <w:r>
        <w:rPr>
          <w:rFonts w:hint="eastAsia"/>
          <w:b/>
          <w:bCs/>
        </w:rPr>
        <w:t xml:space="preserve">中宠股份（002891）</w:t>
      </w:r>
      <w:r>
        <w:rPr>
          <w:rFonts w:hint="eastAsia"/>
        </w:rPr>
        <w:t xml:space="preserve">：披露股份回购进展。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特变电工（600089）</w:t>
      </w:r>
      <w:r>
        <w:rPr>
          <w:rFonts w:hint="eastAsia"/>
        </w:rPr>
        <w:t xml:space="preserve">：披露回购股份注销实施及股份变动。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珀莱雅（603605）</w:t>
      </w:r>
      <w:r>
        <w:rPr>
          <w:rFonts w:hint="eastAsia"/>
        </w:rPr>
        <w:t xml:space="preserve">：因半年度权益分派调整回购价格上限。</w:t>
      </w:r>
    </w:p>
    <w:bookmarkEnd w:id="20"/>
    <w:bookmarkStart w:id="21" w:name="重组与复牌"/>
    <w:p>
      <w:pPr>
        <w:pStyle w:val="Heading3"/>
      </w:pPr>
      <w:r>
        <w:t xml:space="preserve">🔄 </w:t>
      </w:r>
      <w:r>
        <w:rPr>
          <w:rFonts w:hint="eastAsia"/>
        </w:rPr>
        <w:t xml:space="preserve">重组与复牌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北部湾港（000582）</w:t>
      </w:r>
      <w:r>
        <w:rPr>
          <w:rFonts w:hint="eastAsia"/>
        </w:rPr>
        <w:t xml:space="preserve">：披露发行股份及支付现金购买资产并募集配套资金暨关联交易预案，公司股票复牌；交易预计构成关联交易，但公告说明不构成重大资产重组及重组上市。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宗申动力（001696）</w:t>
      </w:r>
      <w:r>
        <w:rPr>
          <w:rFonts w:hint="eastAsia"/>
        </w:rPr>
        <w:t xml:space="preserve">：披露筹划重大资产置换暨关联交易进展。</w:t>
      </w:r>
    </w:p>
    <w:p>
      <w:pPr>
        <w:pStyle w:val="Compact"/>
        <w:numPr>
          <w:ilvl w:val="0"/>
          <w:numId w:val="1012"/>
        </w:numPr>
      </w:pPr>
      <w:r>
        <w:t xml:space="preserve">*</w:t>
      </w:r>
      <w:r>
        <w:rPr>
          <w:rFonts w:hint="eastAsia"/>
          <w:b/>
          <w:bCs/>
        </w:rPr>
        <w:t xml:space="preserve">ST威领（002667）</w:t>
      </w:r>
      <w:r>
        <w:rPr>
          <w:rFonts w:hint="eastAsia"/>
        </w:rPr>
        <w:t xml:space="preserve">：要约收购结果公告并复牌。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中色股份（000758）</w:t>
      </w:r>
      <w:r>
        <w:rPr>
          <w:rFonts w:hint="eastAsia"/>
        </w:rPr>
        <w:t xml:space="preserve">：限制性股票激励计划预留授予部分解除限售股份上市流通。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公告交易原则：重组复牌不等于无条件利好；减持结果与新增减持计划必须区分，337调查不得按普通经营新闻淡化。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3" w:name="经济数据与今日事件"/>
    <w:p>
      <w:pPr>
        <w:pStyle w:val="Heading2"/>
      </w:pPr>
      <w:r>
        <w:t xml:space="preserve">📅 </w:t>
      </w:r>
      <w:r>
        <w:rPr>
          <w:rFonts w:hint="eastAsia"/>
        </w:rPr>
        <w:t xml:space="preserve">经济数据与今日事件</w:t>
      </w:r>
    </w:p>
    <w:p>
      <w:pPr>
        <w:pStyle w:val="Compact"/>
        <w:numPr>
          <w:ilvl w:val="0"/>
          <w:numId w:val="1013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物流景气</w:t>
      </w:r>
      <w:r>
        <w:rPr>
          <w:rFonts w:hint="eastAsia"/>
        </w:rPr>
        <w:t xml:space="preserve">：9月物流业景气指数51.5%，环比提升0.6个百分点，连续5个月扩张。</w:t>
      </w:r>
    </w:p>
    <w:p>
      <w:pPr>
        <w:pStyle w:val="Compact"/>
        <w:numPr>
          <w:ilvl w:val="0"/>
          <w:numId w:val="1013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房地产交易</w:t>
      </w:r>
      <w:r>
        <w:rPr>
          <w:rFonts w:hint="eastAsia"/>
        </w:rPr>
        <w:t xml:space="preserve">：前9个月全国二手房交易网签面积61746万平方米，同比增长10.7%；北京同期成交量创近5年最高。</w:t>
      </w:r>
    </w:p>
    <w:p>
      <w:pPr>
        <w:pStyle w:val="Compact"/>
        <w:numPr>
          <w:ilvl w:val="0"/>
          <w:numId w:val="1013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企业信用</w:t>
      </w:r>
      <w:r>
        <w:rPr>
          <w:rFonts w:hint="eastAsia"/>
        </w:rPr>
        <w:t xml:space="preserve">：8月中国企业信用指数161.32，较7月上升2.45点；制造业信用指数达到年内最高排名。</w:t>
      </w:r>
    </w:p>
    <w:p>
      <w:pPr>
        <w:pStyle w:val="Compact"/>
        <w:numPr>
          <w:ilvl w:val="0"/>
          <w:numId w:val="1013"/>
        </w:numPr>
      </w:pPr>
      <w:r>
        <w:t xml:space="preserve">🏗️</w:t>
      </w:r>
      <w:r>
        <w:t xml:space="preserve"> </w:t>
      </w:r>
      <w:r>
        <w:rPr>
          <w:rFonts w:hint="eastAsia"/>
          <w:b/>
          <w:bCs/>
        </w:rPr>
        <w:t xml:space="preserve">广交会</w:t>
      </w:r>
      <w:r>
        <w:rPr>
          <w:rFonts w:hint="eastAsia"/>
        </w:rPr>
        <w:t xml:space="preserve">：第140届广交会首期将于10月15日开幕，首期聚焦先进制造，展览面积52万平方米，2.5万个展位基本完成搭建。</w:t>
      </w:r>
    </w:p>
    <w:p>
      <w:pPr>
        <w:pStyle w:val="Compact"/>
        <w:numPr>
          <w:ilvl w:val="0"/>
          <w:numId w:val="1013"/>
        </w:numPr>
      </w:pPr>
      <w:r>
        <w:t xml:space="preserve">🚧</w:t>
      </w:r>
      <w:r>
        <w:t xml:space="preserve"> </w:t>
      </w:r>
      <w:r>
        <w:rPr>
          <w:rFonts w:hint="eastAsia"/>
          <w:b/>
          <w:bCs/>
        </w:rPr>
        <w:t xml:space="preserve">口岸事件</w:t>
      </w:r>
      <w:r>
        <w:rPr>
          <w:rFonts w:hint="eastAsia"/>
        </w:rPr>
        <w:t xml:space="preserve">：新皇岗口岸今日正式运行，关注粤港澳客流与跨境消费数据。</w:t>
      </w:r>
    </w:p>
    <w:p>
      <w:pPr>
        <w:pStyle w:val="Compact"/>
        <w:numPr>
          <w:ilvl w:val="0"/>
          <w:numId w:val="1013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其他国内外重要宏观数据发布时间</w:t>
      </w:r>
      <w:r>
        <w:rPr>
          <w:rFonts w:hint="eastAsia"/>
        </w:rPr>
        <w:t xml:space="preserve">：采集JSON未提供可核验日历，不补列未经核验的公布时间和预测值。</w:t>
      </w:r>
    </w:p>
    <w:p>
      <w:r>
        <w:pict>
          <v:rect style="width:0;height:1.5pt" o:hralign="center" o:hrstd="t" o:hr="t"/>
        </w:pict>
      </w:r>
    </w:p>
    <w:bookmarkEnd w:id="23"/>
    <w:bookmarkStart w:id="28" w:name="全球事件能源与航运风险升温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全球事件：能源与航运风险升温</w:t>
      </w:r>
    </w:p>
    <w:bookmarkStart w:id="24" w:name="中东冲突与航空安全"/>
    <w:p>
      <w:pPr>
        <w:pStyle w:val="Heading3"/>
      </w:pPr>
      <w:r>
        <w:t xml:space="preserve">🔥 </w:t>
      </w:r>
      <w:r>
        <w:rPr>
          <w:rFonts w:hint="eastAsia"/>
        </w:rPr>
        <w:t xml:space="preserve">中东冲突与航空安全</w:t>
      </w:r>
    </w:p>
    <w:p>
      <w:pPr>
        <w:pStyle w:val="FirstParagraph"/>
      </w:pPr>
      <w:r>
        <w:rPr>
          <w:rFonts w:hint="eastAsia"/>
        </w:rPr>
        <w:t xml:space="preserve">沙特利雅得哈立德国王国际机场遭袭，已造成12人死亡、309人受伤，机场暂停运营；多国联军表示将回应，美国尚未决定是否参与军事行动。</w:t>
      </w:r>
    </w:p>
    <w:p>
      <w:pPr>
        <w:pStyle w:val="Compact"/>
        <w:numPr>
          <w:ilvl w:val="0"/>
          <w:numId w:val="1014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风险传导</w:t>
      </w:r>
      <w:r>
        <w:rPr>
          <w:rFonts w:hint="eastAsia"/>
        </w:rPr>
        <w:t xml:space="preserve">：中东航空、旅游、保险及区域贸易风险溢价上升。</w:t>
      </w:r>
    </w:p>
    <w:p>
      <w:pPr>
        <w:pStyle w:val="Compact"/>
        <w:numPr>
          <w:ilvl w:val="0"/>
          <w:numId w:val="1014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可能受益</w:t>
      </w:r>
      <w:r>
        <w:rPr>
          <w:rFonts w:hint="eastAsia"/>
        </w:rPr>
        <w:t xml:space="preserve">：黄金、油运及部分能源安全方向。</w:t>
      </w:r>
    </w:p>
    <w:p>
      <w:pPr>
        <w:pStyle w:val="Compact"/>
        <w:numPr>
          <w:ilvl w:val="0"/>
          <w:numId w:val="101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反向证据</w:t>
      </w:r>
      <w:r>
        <w:rPr>
          <w:rFonts w:hint="eastAsia"/>
        </w:rPr>
        <w:t xml:space="preserve">：WTI原油盘前下跌1.34%，说明地缘风险尚未形成单边油价交易，不能只看事件标题追涨油气股。</w:t>
      </w:r>
    </w:p>
    <w:bookmarkEnd w:id="24"/>
    <w:bookmarkStart w:id="25" w:name="霍尔木兹海峡与商船遇袭"/>
    <w:p>
      <w:pPr>
        <w:pStyle w:val="Heading3"/>
      </w:pPr>
      <w:r>
        <w:t xml:space="preserve">🚢 </w:t>
      </w:r>
      <w:r>
        <w:rPr>
          <w:rFonts w:hint="eastAsia"/>
        </w:rPr>
        <w:t xml:space="preserve">霍尔木兹海峡与商船遇袭</w:t>
      </w:r>
    </w:p>
    <w:p>
      <w:pPr>
        <w:pStyle w:val="FirstParagraph"/>
      </w:pPr>
      <w:r>
        <w:rPr>
          <w:rFonts w:hint="eastAsia"/>
        </w:rPr>
        <w:t xml:space="preserve">霍尔木兹海峡及阿曼湾附近两艘商船遭袭，其中一艘超大型油轮触雷起火。</w:t>
      </w:r>
    </w:p>
    <w:p>
      <w:pPr>
        <w:pStyle w:val="Compact"/>
        <w:numPr>
          <w:ilvl w:val="0"/>
          <w:numId w:val="1015"/>
        </w:numPr>
      </w:pPr>
      <w:r>
        <w:t xml:space="preserve">🔴 </w:t>
      </w:r>
      <w:r>
        <w:rPr>
          <w:rFonts w:hint="eastAsia"/>
        </w:rPr>
        <w:t xml:space="preserve">重点监控油轮运价、原油价格及航运保险费率。</w:t>
      </w:r>
    </w:p>
    <w:p>
      <w:pPr>
        <w:pStyle w:val="Compact"/>
        <w:numPr>
          <w:ilvl w:val="0"/>
          <w:numId w:val="1015"/>
        </w:numPr>
      </w:pPr>
      <w:r>
        <w:t xml:space="preserve">⚠️ </w:t>
      </w:r>
      <w:r>
        <w:rPr>
          <w:rFonts w:hint="eastAsia"/>
        </w:rPr>
        <w:t xml:space="preserve">若事件升级，油价、化工成本与全球通胀预期可能同步上升；若航道未持续受阻，相关股票高开后可能快速回落。</w:t>
      </w:r>
    </w:p>
    <w:bookmarkEnd w:id="25"/>
    <w:bookmarkStart w:id="26" w:name="墨西哥湾油气供给受扰"/>
    <w:p>
      <w:pPr>
        <w:pStyle w:val="Heading3"/>
      </w:pPr>
      <w:r>
        <w:t xml:space="preserve">🌀 </w:t>
      </w:r>
      <w:r>
        <w:rPr>
          <w:rFonts w:hint="eastAsia"/>
        </w:rPr>
        <w:t xml:space="preserve">墨西哥湾油气供给受扰</w:t>
      </w:r>
    </w:p>
    <w:p>
      <w:pPr>
        <w:pStyle w:val="FirstParagraph"/>
      </w:pPr>
      <w:r>
        <w:rPr>
          <w:rFonts w:hint="eastAsia"/>
        </w:rPr>
        <w:t xml:space="preserve">飓风“伊萨亚斯”导致墨西哥湾近七成石油产能和超过一半天然气产能停产。</w:t>
      </w:r>
    </w:p>
    <w:p>
      <w:pPr>
        <w:pStyle w:val="Compact"/>
        <w:numPr>
          <w:ilvl w:val="0"/>
          <w:numId w:val="1016"/>
        </w:numPr>
      </w:pPr>
      <w:r>
        <w:t xml:space="preserve">📈 </w:t>
      </w:r>
      <w:r>
        <w:rPr>
          <w:rFonts w:hint="eastAsia"/>
        </w:rPr>
        <w:t xml:space="preserve">对油气价格构成供给端支撑。</w:t>
      </w:r>
    </w:p>
    <w:p>
      <w:pPr>
        <w:pStyle w:val="Compact"/>
        <w:numPr>
          <w:ilvl w:val="0"/>
          <w:numId w:val="1016"/>
        </w:numPr>
      </w:pPr>
      <w:r>
        <w:t xml:space="preserve">📉 </w:t>
      </w:r>
      <w:r>
        <w:rPr>
          <w:rFonts w:hint="eastAsia"/>
        </w:rPr>
        <w:t xml:space="preserve">当前WTI仍下跌，市场可能同时交易需求或俄柴油出口恢复，能源方向需等待价格确认。</w:t>
      </w:r>
    </w:p>
    <w:bookmarkEnd w:id="26"/>
    <w:bookmarkStart w:id="27" w:name="俄罗斯部分恢复柴油出口"/>
    <w:p>
      <w:pPr>
        <w:pStyle w:val="Heading3"/>
      </w:pPr>
      <w:r>
        <w:t xml:space="preserve">🛢️ </w:t>
      </w:r>
      <w:r>
        <w:rPr>
          <w:rFonts w:hint="eastAsia"/>
        </w:rPr>
        <w:t xml:space="preserve">俄罗斯部分恢复柴油出口</w:t>
      </w:r>
    </w:p>
    <w:p>
      <w:pPr>
        <w:pStyle w:val="FirstParagraph"/>
      </w:pPr>
      <w:r>
        <w:rPr>
          <w:rFonts w:hint="eastAsia"/>
        </w:rPr>
        <w:t xml:space="preserve">俄罗斯允许现阶段向全球市场供应50万吨柴油，对成品油供应形成边际缓解，也构成油价上行的反向约束。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昨日复盘指数v形修复量能改善但科技内部换手剧烈"/>
    <w:p>
      <w:pPr>
        <w:pStyle w:val="Heading2"/>
      </w:pPr>
      <w:r>
        <w:t xml:space="preserve">📊 </w:t>
      </w:r>
      <w:r>
        <w:rPr>
          <w:rFonts w:hint="eastAsia"/>
        </w:rPr>
        <w:t xml:space="preserve">昨日复盘：指数V形修复，量能改善但科技内部换手剧烈</w:t>
      </w:r>
    </w:p>
    <w:p>
      <w:pPr>
        <w:pStyle w:val="FirstParagraph"/>
      </w:pPr>
      <w:r>
        <w:rPr>
          <w:rFonts w:hint="eastAsia"/>
        </w:rPr>
        <w:t xml:space="preserve">上一交易日为2026年10月9日。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3813.7913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+0.0495%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12641.8580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+0.1661%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3043.3350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+0.2199%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1457.2665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+0.0647%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4317.2549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+0.1619%</w:t>
            </w:r>
          </w:p>
        </w:tc>
      </w:tr>
    </w:tbl>
    <w:p>
      <w:pPr>
        <w:pStyle w:val="Compact"/>
        <w:numPr>
          <w:ilvl w:val="0"/>
          <w:numId w:val="1017"/>
        </w:numPr>
      </w:pPr>
      <w:r>
        <w:t xml:space="preserve">📈 </w:t>
      </w:r>
      <w:r>
        <w:rPr>
          <w:rFonts w:hint="eastAsia"/>
        </w:rPr>
        <w:t xml:space="preserve">全市场上涨3297家、下跌2145家、平盘117家，涨跌比1.537。</w:t>
      </w:r>
    </w:p>
    <w:p>
      <w:pPr>
        <w:pStyle w:val="Compact"/>
        <w:numPr>
          <w:ilvl w:val="0"/>
          <w:numId w:val="1017"/>
        </w:numPr>
      </w:pPr>
      <w:r>
        <w:t xml:space="preserve">💰 </w:t>
      </w:r>
      <w:r>
        <w:rPr>
          <w:rFonts w:hint="eastAsia"/>
        </w:rPr>
        <w:t xml:space="preserve">两市成交额19166.77亿元，较前一交易日16942.72亿元增加2224.05亿元，增幅13.13%，属于显著放量。</w:t>
      </w:r>
    </w:p>
    <w:p>
      <w:pPr>
        <w:pStyle w:val="Compact"/>
        <w:numPr>
          <w:ilvl w:val="0"/>
          <w:numId w:val="1017"/>
        </w:numPr>
      </w:pPr>
      <w:r>
        <w:t xml:space="preserve">🔴 </w:t>
      </w:r>
      <w:r>
        <w:rPr>
          <w:rFonts w:hint="eastAsia"/>
        </w:rPr>
        <w:t xml:space="preserve">放量并非全面一致做多：元件、半导体、通信设备和消费电子净流出居前，科技内部存在高位筹码交换。</w:t>
      </w:r>
    </w:p>
    <w:p>
      <w:pPr>
        <w:pStyle w:val="Compact"/>
        <w:numPr>
          <w:ilvl w:val="0"/>
          <w:numId w:val="1017"/>
        </w:numPr>
      </w:pPr>
      <w:r>
        <w:t xml:space="preserve">🟢 </w:t>
      </w:r>
      <w:r>
        <w:rPr>
          <w:rFonts w:hint="eastAsia"/>
        </w:rPr>
        <w:t xml:space="preserve">电池、贵金属、工业金属、软件开发和证券获得板块资金流入，市场由单一算力硬件向新能源、资源、软件及金融扩散。</w:t>
      </w:r>
    </w:p>
    <w:p>
      <w:pPr>
        <w:pStyle w:val="Compact"/>
        <w:numPr>
          <w:ilvl w:val="0"/>
          <w:numId w:val="1017"/>
        </w:numPr>
      </w:pPr>
      <w:r>
        <w:t xml:space="preserve">🧠 </w:t>
      </w:r>
      <w:r>
        <w:rPr>
          <w:rFonts w:hint="eastAsia"/>
        </w:rPr>
        <w:t xml:space="preserve">行为金融信号风险评分为1，未触发FOMO、拥挤或亏损厌恶阈值；但科技高成交个股买卖榜重叠，说明分歧不能忽略。</w:t>
      </w:r>
    </w:p>
    <w:p>
      <w:r>
        <w:pict>
          <v:rect style="width:0;height:1.5pt" o:hralign="center" o:hrstd="t" o:hr="t"/>
        </w:pict>
      </w:r>
    </w:p>
    <w:bookmarkEnd w:id="29"/>
    <w:bookmarkStart w:id="39" w:name="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口径：交易日2026年10月9日，15:00，previous_close；申万二级行业；来源：华泰skill。</w:t>
      </w:r>
      <w:r>
        <w:br/>
      </w:r>
      <w:r>
        <w:rPr>
          <w:rFonts w:hint="eastAsia"/>
        </w:rPr>
        <w:t xml:space="preserve">板块代码未提供，统一标记“暂缺确认”。榜单仅展示上一交易日主力资金金额，不混入报告日盘中行情。</w:t>
      </w:r>
    </w:p>
    <w:bookmarkStart w:id="30" w:name="流出top10板块15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-58.88亿元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-41.29亿元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-20.03亿元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-15.67亿元</w:t>
            </w:r>
          </w:p>
        </w:tc>
      </w:tr>
    </w:tbl>
    <w:bookmarkEnd w:id="30"/>
    <w:bookmarkStart w:id="31" w:name="流出top10板块610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-14.65亿元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-11.58亿元</w:t>
            </w:r>
          </w:p>
        </w:tc>
      </w:tr>
    </w:tbl>
    <w:bookmarkEnd w:id="31"/>
    <w:bookmarkStart w:id="32" w:name="流出top10个股15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-129.72亿元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-93.02亿元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-81.89亿元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-81.88亿元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-73.04亿元</w:t>
            </w:r>
          </w:p>
        </w:tc>
      </w:tr>
    </w:tbl>
    <w:bookmarkEnd w:id="32"/>
    <w:bookmarkStart w:id="33" w:name="流出top10个股610"/>
    <w:p>
      <w:pPr>
        <w:pStyle w:val="Heading3"/>
      </w:pPr>
      <w:r>
        <w:t xml:space="preserve">🟢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-70.77亿元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-51.98亿元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-43.61亿元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603259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-40.01亿元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-34.47亿元</w:t>
            </w:r>
          </w:p>
        </w:tc>
      </w:tr>
    </w:tbl>
    <w:bookmarkEnd w:id="33"/>
    <w:bookmarkStart w:id="34" w:name="流入top10板块15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+50.44亿元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+17.34亿元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+15.74亿元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+13.33亿元</w:t>
            </w:r>
          </w:p>
        </w:tc>
      </w:tr>
    </w:tbl>
    <w:bookmarkEnd w:id="34"/>
    <w:bookmarkStart w:id="35" w:name="流入top10板块610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种植业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数字媒体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农产品加工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+6.82亿元</w:t>
            </w:r>
          </w:p>
        </w:tc>
      </w:tr>
    </w:tbl>
    <w:bookmarkEnd w:id="35"/>
    <w:bookmarkStart w:id="36" w:name="流入top10个股15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+123.76亿元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+98.65亿元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+92.20亿元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+81.79亿元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+73.50亿元</w:t>
            </w:r>
          </w:p>
        </w:tc>
      </w:tr>
    </w:tbl>
    <w:bookmarkEnd w:id="36"/>
    <w:bookmarkStart w:id="37" w:name="流入top10个股610"/>
    <w:p>
      <w:pPr>
        <w:pStyle w:val="Heading3"/>
      </w:pPr>
      <w:r>
        <w:t xml:space="preserve">🔴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+70.21亿元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+47.94亿元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603259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紫金矿业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601899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+34.56亿元</w:t>
            </w:r>
          </w:p>
        </w:tc>
      </w:tr>
    </w:tbl>
    <w:bookmarkEnd w:id="37"/>
    <w:bookmarkStart w:id="38" w:name="资金榜解读"/>
    <w:p>
      <w:pPr>
        <w:pStyle w:val="Heading3"/>
      </w:pPr>
      <w:r>
        <w:t xml:space="preserve">🧭 </w:t>
      </w:r>
      <w:r>
        <w:rPr>
          <w:rFonts w:hint="eastAsia"/>
        </w:rPr>
        <w:t xml:space="preserve">资金榜解读</w:t>
      </w:r>
    </w:p>
    <w:p>
      <w:pPr>
        <w:pStyle w:val="Compact"/>
        <w:numPr>
          <w:ilvl w:val="0"/>
          <w:numId w:val="1018"/>
        </w:numPr>
      </w:pPr>
      <w:r>
        <w:t xml:space="preserve">⚠️ </w:t>
      </w:r>
      <w:r>
        <w:rPr>
          <w:rFonts w:hint="eastAsia"/>
        </w:rPr>
        <w:t xml:space="preserve">中际旭创、长鑫科技、新易盛、源杰科技、宁德时代等同时进入流入榜和流出榜，反映的是高成交双向换手，不应把“流入金额”单独解释成主力一致增仓。</w:t>
      </w:r>
    </w:p>
    <w:p>
      <w:pPr>
        <w:pStyle w:val="Compact"/>
        <w:numPr>
          <w:ilvl w:val="0"/>
          <w:numId w:val="1018"/>
        </w:numPr>
      </w:pPr>
      <w:r>
        <w:t xml:space="preserve">🔴 </w:t>
      </w:r>
      <w:r>
        <w:rPr>
          <w:rFonts w:hint="eastAsia"/>
        </w:rPr>
        <w:t xml:space="preserve">从买卖金额差额看，宁德时代流入明显高于流出；中际旭创、新易盛、长鑫科技、源杰科技、寒武纪、东山精密、兆易创新和药明康德则存在不同程度的卖出压力。</w:t>
      </w:r>
    </w:p>
    <w:p>
      <w:pPr>
        <w:pStyle w:val="Compact"/>
        <w:numPr>
          <w:ilvl w:val="0"/>
          <w:numId w:val="1018"/>
        </w:numPr>
      </w:pPr>
      <w:r>
        <w:t xml:space="preserve">💡 </w:t>
      </w:r>
      <w:r>
        <w:rPr>
          <w:rFonts w:hint="eastAsia"/>
        </w:rPr>
        <w:t xml:space="preserve">板块级资金比个股双向榜更稳定：电池、贵金属与工业金属获得净流入，元件、半导体、通信设备遭遇净流出，今日应先看板块资金能否延续，再判断个股修复质量。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5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40" w:name="两融余额"/>
    <w:p>
      <w:pPr>
        <w:pStyle w:val="Heading3"/>
      </w:pPr>
      <w:r>
        <w:t xml:space="preserve">🏦 </w:t>
      </w:r>
      <w:r>
        <w:rPr>
          <w:rFonts w:hint="eastAsia"/>
        </w:rPr>
        <w:t xml:space="preserve">两融余额</w:t>
      </w:r>
    </w:p>
    <w:p>
      <w:pPr>
        <w:pStyle w:val="FirstParagraph"/>
      </w:pPr>
      <w:r>
        <w:rPr>
          <w:rFonts w:hint="eastAsia"/>
        </w:rPr>
        <w:t xml:space="preserve">最新实际结算日为2026年10月8日，前一结算日为2026年9月30日。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25698.53亿元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25741.60亿元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+43.07亿元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25404.57亿元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25445.96亿元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+41.39亿元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293.96亿元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295.63亿元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+1.68亿元</w:t>
            </w:r>
          </w:p>
        </w:tc>
      </w:tr>
    </w:tbl>
    <w:p>
      <w:pPr>
        <w:pStyle w:val="Compact"/>
        <w:numPr>
          <w:ilvl w:val="0"/>
          <w:numId w:val="1019"/>
        </w:numPr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t xml:space="preserve">📈 </w:t>
      </w:r>
      <w:r>
        <w:rPr>
          <w:rFonts w:hint="eastAsia"/>
        </w:rPr>
        <w:t xml:space="preserve">本轮两融余额增加主要由融资余额增加驱动，显示杠杆资金风险偏好边际回升。</w:t>
      </w:r>
    </w:p>
    <w:p>
      <w:pPr>
        <w:pStyle w:val="Compact"/>
        <w:numPr>
          <w:ilvl w:val="0"/>
          <w:numId w:val="1019"/>
        </w:numPr>
      </w:pPr>
      <w:r>
        <w:t xml:space="preserve">⚠️ </w:t>
      </w:r>
      <w:r>
        <w:rPr>
          <w:rFonts w:hint="eastAsia"/>
        </w:rPr>
        <w:t xml:space="preserve">最新结算日早于上一交易日，不能把该变化表述为10月12日当日融资增加。</w:t>
      </w:r>
    </w:p>
    <w:bookmarkEnd w:id="40"/>
    <w:bookmarkStart w:id="41" w:name="宽基etf份额与净申购估算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宽基ETF份额与净申购估算</w:t>
      </w:r>
    </w:p>
    <w:p>
      <w:pPr>
        <w:pStyle w:val="FirstParagraph"/>
      </w:pPr>
      <w:r>
        <w:rPr>
          <w:rFonts w:hint="eastAsia"/>
        </w:rPr>
        <w:t xml:space="preserve">截至2026年10月9日：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科创50ETF（588000）</w:t>
      </w:r>
      <w:r>
        <w:rPr>
          <w:rFonts w:hint="eastAsia"/>
        </w:rPr>
        <w:t xml:space="preserve">：份额增加24.36亿份，估算净申购37.53876亿元，连续3个区间流入。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科创板50ETF（588080）</w:t>
      </w:r>
      <w:r>
        <w:rPr>
          <w:rFonts w:hint="eastAsia"/>
        </w:rPr>
        <w:t xml:space="preserve">：份额增加5.37亿份，估算净申购8.02278亿元，连续3个区间流入。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创业板ETF（159915）</w:t>
      </w:r>
      <w:r>
        <w:rPr>
          <w:rFonts w:hint="eastAsia"/>
        </w:rPr>
        <w:t xml:space="preserve">：份额增加7.14亿份，估算净申购21.87696亿元，连续2个区间流入。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创业板50ETF（159949）</w:t>
      </w:r>
      <w:r>
        <w:rPr>
          <w:rFonts w:hint="eastAsia"/>
        </w:rPr>
        <w:t xml:space="preserve">：份额增加1.39亿份，估算净申购1.96963亿元，连续2个区间流入。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沪深300ETF（510300）</w:t>
      </w:r>
      <w:r>
        <w:rPr>
          <w:rFonts w:hint="eastAsia"/>
        </w:rPr>
        <w:t xml:space="preserve">：份额增加3.285亿份，估算净申购14.404725亿元，但仅连续1个区间流入。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上证50ETF（510050）</w:t>
      </w:r>
      <w:r>
        <w:rPr>
          <w:rFonts w:hint="eastAsia"/>
        </w:rPr>
        <w:t xml:space="preserve">：份额增加1.872亿份，估算净申购5.464368亿元，但未构成连续流入。</w:t>
      </w:r>
    </w:p>
    <w:bookmarkEnd w:id="41"/>
    <w:bookmarkStart w:id="42" w:name="成交额质量"/>
    <w:p>
      <w:pPr>
        <w:pStyle w:val="Heading3"/>
      </w:pPr>
      <w:r>
        <w:t xml:space="preserve">💵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上一交易日两市成交额：19166.77亿元。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前一交易日成交额：16942.72亿元。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增量：2224.05亿元。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变化率：+13.13%。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结论：</w:t>
      </w:r>
      <w:r>
        <w:rPr>
          <w:rFonts w:hint="eastAsia"/>
          <w:b/>
          <w:bCs/>
        </w:rPr>
        <w:t xml:space="preserve">显著放量</w:t>
      </w:r>
      <w:r>
        <w:rPr>
          <w:rFonts w:hint="eastAsia"/>
        </w:rPr>
        <w:t xml:space="preserve">，市场承接能力改善，但高成交科技股双向换手激烈，量能不能机械等同于趋势反转。</w:t>
      </w:r>
    </w:p>
    <w:bookmarkEnd w:id="42"/>
    <w:bookmarkStart w:id="43" w:name="etf-qvix"/>
    <w:p>
      <w:pPr>
        <w:pStyle w:val="Heading3"/>
      </w:pPr>
      <w:r>
        <w:t xml:space="preserve">😨 300ETF QVIX</w:t>
      </w:r>
    </w:p>
    <w:p>
      <w:pPr>
        <w:pStyle w:val="FirstParagraph"/>
      </w:pPr>
      <w:r>
        <w:rPr>
          <w:rFonts w:hint="eastAsia"/>
        </w:rPr>
        <w:t xml:space="preserve">最新可用结算日为2026年9月30日：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最新值：15.96。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前收盘：17.20。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单期变化：-7.2093%。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20日峰值：19.43。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较20日峰值回落：17.8590%。</w:t>
      </w:r>
    </w:p>
    <w:p>
      <w:pPr>
        <w:pStyle w:val="FirstParagraph"/>
      </w:pPr>
      <w:r>
        <w:rPr>
          <w:rFonts w:hint="eastAsia"/>
        </w:rPr>
        <w:t xml:space="preserve">QVIX数据明显滞后于报告日，因此只能作为已结算恐慌代理，不能替代今日盘前实时波动率。</w:t>
      </w:r>
    </w:p>
    <w:bookmarkEnd w:id="43"/>
    <w:bookmarkStart w:id="44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支撑项：QVIX较20日峰值回落超过10%，科创50、科创板50与创业板方向出现连续净申购，成交额显著放大。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约束项：QVIX停留在9月30日，重点科技样本多数仍处于MA20、MA60下方。</w:t>
      </w:r>
    </w:p>
    <w:p>
      <w:pPr>
        <w:pStyle w:val="Compact"/>
        <w:numPr>
          <w:ilvl w:val="0"/>
          <w:numId w:val="1023"/>
        </w:numPr>
      </w:pPr>
      <w:r>
        <w:t xml:space="preserve">💡 </w:t>
      </w:r>
      <w:r>
        <w:rPr>
          <w:rFonts w:hint="eastAsia"/>
        </w:rPr>
        <w:t xml:space="preserve">含义：系统性流动性风险缓解，但个股选择必须服从右侧趋势，不能因联合信号确认就抄底破位科技股。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8" w:name="市场风格预判指数偏稳主线由硬件单极向多方向轮动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市场风格预判：指数偏稳，主线由硬件单极向多方向轮动</w:t>
      </w:r>
    </w:p>
    <w:bookmarkStart w:id="46" w:name="今日基础判断"/>
    <w:p>
      <w:pPr>
        <w:pStyle w:val="Heading3"/>
      </w:pPr>
      <w:r>
        <w:t xml:space="preserve">📈 </w:t>
      </w:r>
      <w:r>
        <w:rPr>
          <w:rFonts w:hint="eastAsia"/>
        </w:rPr>
        <w:t xml:space="preserve">今日基础判断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大盘风格</w:t>
      </w:r>
      <w:r>
        <w:rPr>
          <w:rFonts w:hint="eastAsia"/>
        </w:rPr>
        <w:t xml:space="preserve">：均衡偏进攻，但不支持全面追涨。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成长与价值</w:t>
      </w:r>
      <w:r>
        <w:rPr>
          <w:rFonts w:hint="eastAsia"/>
        </w:rPr>
        <w:t xml:space="preserve">：宽基ETF持续流入成长方向，证券、电池和资源同时获得资金，风格更可能表现为轮动而非单一赛道主升。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大盘与小盘</w:t>
      </w:r>
      <w:r>
        <w:rPr>
          <w:rFonts w:hint="eastAsia"/>
        </w:rPr>
        <w:t xml:space="preserve">：现有数据无法核验明确大小盘优势，按“均衡”处理。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机构与题材</w:t>
      </w:r>
      <w:r>
        <w:rPr>
          <w:rFonts w:hint="eastAsia"/>
        </w:rPr>
        <w:t xml:space="preserve">：成交额核心股仍主导资金注意力，但科技硬件出现板块净流出，应防止注意力锚定在旧主线。</w:t>
      </w:r>
    </w:p>
    <w:bookmarkEnd w:id="46"/>
    <w:bookmarkStart w:id="47" w:name="行为金融提醒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行为金融提醒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未触发FOMO、拥挤或亏损厌恶阈值，风险评分为1。</w:t>
      </w:r>
    </w:p>
    <w:p>
      <w:pPr>
        <w:pStyle w:val="Compact"/>
        <w:numPr>
          <w:ilvl w:val="0"/>
          <w:numId w:val="1025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注意力偏差</w:t>
      </w:r>
      <w:r>
        <w:rPr>
          <w:rFonts w:hint="eastAsia"/>
        </w:rPr>
        <w:t xml:space="preserve">：高成交榜被CPO、芯片、电池龙头占据，不代表这些股票都处于可买趋势。</w:t>
      </w:r>
    </w:p>
    <w:p>
      <w:pPr>
        <w:pStyle w:val="Compact"/>
        <w:numPr>
          <w:ilvl w:val="0"/>
          <w:numId w:val="1025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锚定偏差</w:t>
      </w:r>
      <w:r>
        <w:rPr>
          <w:rFonts w:hint="eastAsia"/>
        </w:rPr>
        <w:t xml:space="preserve">：不能以历史高点或上一轮主升价格作为“便宜”依据。</w:t>
      </w:r>
    </w:p>
    <w:p>
      <w:pPr>
        <w:pStyle w:val="Compact"/>
        <w:numPr>
          <w:ilvl w:val="0"/>
          <w:numId w:val="1025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确认偏误</w:t>
      </w:r>
      <w:r>
        <w:rPr>
          <w:rFonts w:hint="eastAsia"/>
        </w:rPr>
        <w:t xml:space="preserve">：美股指数上涨、ETF流入等利好，不能抵消个股跌破MA20和MA60的事实。</w:t>
      </w:r>
    </w:p>
    <w:p>
      <w:pPr>
        <w:pStyle w:val="Compact"/>
        <w:numPr>
          <w:ilvl w:val="0"/>
          <w:numId w:val="1025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正确动作</w:t>
      </w:r>
      <w:r>
        <w:rPr>
          <w:rFonts w:hint="eastAsia"/>
        </w:rPr>
        <w:t xml:space="preserve">：只交易站稳趋势线、缩量回踩不破并再次放量的右侧机会。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5" w:name="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投资方向分层</w:t>
      </w:r>
    </w:p>
    <w:bookmarkStart w:id="49" w:name="可参与水利基建与国家水网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可参与：水利基建与国家水网</w:t>
      </w:r>
    </w:p>
    <w:p>
      <w:pPr>
        <w:pStyle w:val="FirstParagraph"/>
      </w:pPr>
      <w:r>
        <w:rPr>
          <w:rFonts w:hint="eastAsia"/>
          <w:b/>
          <w:bCs/>
        </w:rPr>
        <w:t xml:space="preserve">证据链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前三季度新开工重大水利工程数量超过去年全年。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葛洲坝航运扩能已进入主体施工阶段。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福建、太湖流域项目同步推进，实物工作量明确。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物流和基建相关景气指标继续改善。</w:t>
      </w:r>
    </w:p>
    <w:p>
      <w:pPr>
        <w:pStyle w:val="FirstParagraph"/>
      </w:pPr>
      <w:r>
        <w:rPr>
          <w:rFonts w:hint="eastAsia"/>
          <w:b/>
          <w:bCs/>
        </w:rPr>
        <w:t xml:space="preserve">核心观察标的</w:t>
      </w:r>
      <w:r>
        <w:rPr>
          <w:rFonts w:hint="eastAsia"/>
        </w:rPr>
        <w:t xml:space="preserve">：采集JSON未提供该方向经过TickFlow校验的个股，不强行指定股票。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：板块放量走强，龙头回踩不破分时均价，且出现正式中标或订单支撑。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：高开低走、成交额快速衰减，或板块仅剩单一小盘股脉冲。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：可参与板块确认后的右侧机会，仓位从底仓开始，不追开盘一致高潮。</w:t>
      </w:r>
    </w:p>
    <w:bookmarkEnd w:id="49"/>
    <w:bookmarkStart w:id="50" w:name="可参与贵金属与工业金属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可参与：贵金属与工业金属</w:t>
      </w:r>
    </w:p>
    <w:p>
      <w:pPr>
        <w:pStyle w:val="FirstParagraph"/>
      </w:pPr>
      <w:r>
        <w:rPr>
          <w:rFonts w:hint="eastAsia"/>
          <w:b/>
          <w:bCs/>
        </w:rPr>
        <w:t xml:space="preserve">证据链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贵金属主力净流入17.34亿元，工业金属净流入16.28亿元。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COMEX黄金上涨0.31%，伦铜上涨0.24%。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中东航运、机场及油气供给风险抬升避险需求。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紫金矿业上一交易日主力净流入34.56亿元。</w:t>
      </w:r>
    </w:p>
    <w:p>
      <w:pPr>
        <w:pStyle w:val="FirstParagraph"/>
      </w:pPr>
      <w:r>
        <w:rPr>
          <w:rFonts w:hint="eastAsia"/>
          <w:b/>
          <w:bCs/>
        </w:rPr>
        <w:t xml:space="preserve">核心观察标的</w:t>
      </w:r>
      <w:r>
        <w:rPr>
          <w:rFonts w:hint="eastAsia"/>
        </w:rPr>
        <w:t xml:space="preserve">：紫金矿业（601899）；其余标的技术数据暂缺确认。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：黄金、铜价维持强势，板块不出现冲高回落，核心股放量突破前高后站稳。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：商品价格转跌、地缘风险快速缓和，或板块放量滞涨。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：只做趋势确认，不追地缘新闻刺激形成的瞬时高开。</w:t>
      </w:r>
    </w:p>
    <w:bookmarkEnd w:id="50"/>
    <w:bookmarkStart w:id="51" w:name="只观察电池与新能源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只观察：电池与新能源</w:t>
      </w:r>
    </w:p>
    <w:p>
      <w:pPr>
        <w:pStyle w:val="FirstParagraph"/>
      </w:pPr>
      <w:r>
        <w:rPr>
          <w:rFonts w:hint="eastAsia"/>
          <w:b/>
          <w:bCs/>
        </w:rPr>
        <w:t xml:space="preserve">证据链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电池板块主力净流入50.44亿元，居流入板块首位。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宁德时代上一交易日上涨3.84%，成交额160.28亿元。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宁德时代2026年中报营收同比增长54.8%、净利润同比增长45.31%，PE(TTM)16.21倍，基本面支撑优于多数高估值科技股。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但截至10月8日，宁德时代收盘286.75元，低于MA20的315.384元和MA60的359.9105元，TickFlow评级D。</w:t>
      </w:r>
    </w:p>
    <w:p>
      <w:pPr>
        <w:pStyle w:val="FirstParagraph"/>
      </w:pPr>
      <w:r>
        <w:rPr>
          <w:rFonts w:hint="eastAsia"/>
          <w:b/>
          <w:bCs/>
        </w:rPr>
        <w:t xml:space="preserve">核心观察标的</w:t>
      </w:r>
      <w:r>
        <w:rPr>
          <w:rFonts w:hint="eastAsia"/>
        </w:rPr>
        <w:t xml:space="preserve">：宁德时代（300750）。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：先重新站上MA20，再站上MA60，并出现缩量回踩不破后的放量确认。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：反弹无法站回MA20，或放量冲高后重新走弱。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：产业与资金逻辑积极，但右侧技术条件不成立，今日只观察，不因单日上涨追入。</w:t>
      </w:r>
    </w:p>
    <w:bookmarkEnd w:id="51"/>
    <w:bookmarkStart w:id="52" w:name="只观察氢能设备与管网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只观察：氢能设备与管网</w:t>
      </w:r>
    </w:p>
    <w:p>
      <w:pPr>
        <w:pStyle w:val="FirstParagraph"/>
      </w:pPr>
      <w:r>
        <w:rPr>
          <w:rFonts w:hint="eastAsia"/>
          <w:b/>
          <w:bCs/>
        </w:rPr>
        <w:t xml:space="preserve">证据链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氢能首次纳入“十五五”非化石能源供给体系。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氢气年产量超过3900万吨。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已建成及规划在建输氢管道总里程突破1.3万公里。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5个城市群开展综合应用试点。</w:t>
      </w:r>
    </w:p>
    <w:p>
      <w:pPr>
        <w:pStyle w:val="FirstParagraph"/>
      </w:pPr>
      <w:r>
        <w:rPr>
          <w:rFonts w:hint="eastAsia"/>
          <w:b/>
          <w:bCs/>
        </w:rPr>
        <w:t xml:space="preserve">核心观察标的</w:t>
      </w:r>
      <w:r>
        <w:rPr>
          <w:rFonts w:hint="eastAsia"/>
        </w:rPr>
        <w:t xml:space="preserve">：采集JSON无经过估值、业绩和技术三重验证的个股。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：正式订单、项目开工与板块量价共振。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：只有政策标题、没有订单和收入兑现。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：观察设备端和管网端，不追概念扩散。</w:t>
      </w:r>
    </w:p>
    <w:bookmarkEnd w:id="52"/>
    <w:bookmarkStart w:id="53" w:name="只观察药明康德的右侧确认机会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只观察：药明康德的右侧确认机会</w:t>
      </w:r>
    </w:p>
    <w:p>
      <w:pPr>
        <w:pStyle w:val="FirstParagraph"/>
      </w:pPr>
      <w:r>
        <w:rPr>
          <w:rFonts w:hint="eastAsia"/>
        </w:rPr>
        <w:t xml:space="preserve">截至10月8日，药明康德为重点股样本中唯一A级右侧趋势标的：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收盘162.00元，MA20为159.6185元，MA60为147.9767元。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距60日高点167.96元为-3.55%。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量比1.3007，20日动量为正。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触发参考：收盘站稳167.96元且量比不低于1.2。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失效参考：156.464元。</w:t>
      </w:r>
    </w:p>
    <w:p>
      <w:pPr>
        <w:pStyle w:val="FirstParagraph"/>
      </w:pPr>
      <w:r>
        <w:rPr>
          <w:rFonts w:hint="eastAsia"/>
        </w:rPr>
        <w:t xml:space="preserve">但10月9日药明康德收盘157.80元、下跌2.59%，且主力流入35.64亿元、流出40.01亿元，已经接近失效参考。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：不追高、不提前埋伏；只有重新站稳167.96元才视为有效确认。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：收盘跌破156.464元，评级转为回避。</w:t>
      </w:r>
    </w:p>
    <w:bookmarkEnd w:id="53"/>
    <w:bookmarkStart w:id="54" w:name="应回避cpo半导体与高位科技硬件的破位标的"/>
    <w:p>
      <w:pPr>
        <w:pStyle w:val="Heading3"/>
      </w:pPr>
      <w:r>
        <w:t xml:space="preserve">⛔ </w:t>
      </w:r>
      <w:r>
        <w:rPr>
          <w:rFonts w:hint="eastAsia"/>
        </w:rPr>
        <w:t xml:space="preserve">应回避：CPO、半导体与高位科技硬件的破位标的</w:t>
      </w:r>
    </w:p>
    <w:p>
      <w:pPr>
        <w:pStyle w:val="FirstParagraph"/>
      </w:pPr>
      <w:r>
        <w:rPr>
          <w:rFonts w:hint="eastAsia"/>
          <w:b/>
          <w:bCs/>
        </w:rPr>
        <w:t xml:space="preserve">板块证据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元件净流出58.88亿元。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半导体净流出41.29亿元。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通信设备净流出38.64亿元。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消费电子净流出20.03亿元。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美股核心半导体五只中四只下跌。</w:t>
      </w:r>
    </w:p>
    <w:p>
      <w:pPr>
        <w:pStyle w:val="FirstParagraph"/>
      </w:pPr>
      <w:r>
        <w:rPr>
          <w:rFonts w:hint="eastAsia"/>
          <w:b/>
          <w:bCs/>
        </w:rPr>
        <w:t xml:space="preserve">TickFlow重点股技术结论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中际旭创：D级，MA20为876.33元、MA60为937.2072元，10月8日收盘783.00元。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新易盛：D级，MA20为415.152元、MA60为438.2052元，10月8日收盘378.50元。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寒武纪：D级，MA20为1070.8715元、MA60为1138.9923元，10月8日收盘981.00元。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兆易创新：D级，MA20为375.109元、MA60为418.0857元，10月8日收盘334.40元。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源杰科技：D级，MA20为1671.8705元、MA60为1542.8345元，10月8日收盘1290.40元。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东山精密：D级，MA20为184.9155元、MA60为198.8898元，10月8日收盘150.66元。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生益科技：D级，MA20为142.836元、MA60为136.0772元，10月8日收盘131.86元。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长鑫科技：日K历史不足60个交易日，MA60缺失，评级因技术数据不足暂不评级，不做右侧判断。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TickFlow技术指标截至2026年10月8日，较上一交易日滞后一日；10月9日收盘行情已由其他来源补充，但不能自行重算未提供的完整技术指标。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59" w:name="今日操作策略三档仓位不追开盘情绪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今日操作策略：三档仓位，不追开盘情绪</w:t>
      </w:r>
    </w:p>
    <w:bookmarkStart w:id="56" w:name="保守档035"/>
    <w:p>
      <w:pPr>
        <w:pStyle w:val="Heading3"/>
      </w:pPr>
      <w:r>
        <w:t xml:space="preserve">🟢 </w:t>
      </w:r>
      <w:r>
        <w:rPr>
          <w:rFonts w:hint="eastAsia"/>
        </w:rPr>
        <w:t xml:space="preserve">保守档：0%—35%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A50继续走弱；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科技高成交股低开后不能修复；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两市开盘量能低于上一交易日同期；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黄金、资源、水利等方向只有高开，没有持续成交承接。</w:t>
      </w:r>
    </w:p>
    <w:p>
      <w:pPr>
        <w:pStyle w:val="FirstParagraph"/>
      </w:pPr>
      <w:r>
        <w:rPr>
          <w:rFonts w:hint="eastAsia"/>
          <w:b/>
          <w:bCs/>
        </w:rPr>
        <w:t xml:space="preserve">动作</w:t>
      </w:r>
      <w:r>
        <w:rPr>
          <w:rFonts w:hint="eastAsia"/>
        </w:rPr>
        <w:t xml:space="preserve">：以现金为主，仅保留已经处于右侧趋势且未触发失效条件的仓位。</w:t>
      </w:r>
    </w:p>
    <w:bookmarkEnd w:id="56"/>
    <w:bookmarkStart w:id="57" w:name="均衡档3550"/>
    <w:p>
      <w:pPr>
        <w:pStyle w:val="Heading3"/>
      </w:pPr>
      <w:r>
        <w:t xml:space="preserve">🟡 </w:t>
      </w:r>
      <w:r>
        <w:rPr>
          <w:rFonts w:hint="eastAsia"/>
        </w:rPr>
        <w:t xml:space="preserve">均衡档：35%—50%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指数维持稳定；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上涨家数持续多于下跌家数；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成交额保持活跃；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至少一个政策或资金方向出现板块与中军共振。</w:t>
      </w:r>
    </w:p>
    <w:p>
      <w:pPr>
        <w:pStyle w:val="FirstParagraph"/>
      </w:pPr>
      <w:r>
        <w:rPr>
          <w:rFonts w:hint="eastAsia"/>
          <w:b/>
          <w:bCs/>
        </w:rPr>
        <w:t xml:space="preserve">动作</w:t>
      </w:r>
      <w:r>
        <w:rPr>
          <w:rFonts w:hint="eastAsia"/>
        </w:rPr>
        <w:t xml:space="preserve">：底仓不超过30%，确认后提高至50%；优先水利、资源等有政策或资金证据的方向。</w:t>
      </w:r>
    </w:p>
    <w:bookmarkEnd w:id="57"/>
    <w:bookmarkStart w:id="58" w:name="进取档最高50"/>
    <w:p>
      <w:pPr>
        <w:pStyle w:val="Heading3"/>
      </w:pPr>
      <w:r>
        <w:t xml:space="preserve">🔴 </w:t>
      </w:r>
      <w:r>
        <w:rPr>
          <w:rFonts w:hint="eastAsia"/>
        </w:rPr>
        <w:t xml:space="preserve">进取档：最高50%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宽基ETF方向延续强势；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主线板块放量突破后回踩不破；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核心股站稳前高或趋势线；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科技资金流出压力没有向全市场扩散。</w:t>
      </w:r>
    </w:p>
    <w:p>
      <w:pPr>
        <w:pStyle w:val="FirstParagraph"/>
      </w:pPr>
      <w:r>
        <w:rPr>
          <w:rFonts w:hint="eastAsia"/>
          <w:b/>
          <w:bCs/>
        </w:rPr>
        <w:t xml:space="preserve">动作</w:t>
      </w:r>
      <w:r>
        <w:rPr>
          <w:rFonts w:hint="eastAsia"/>
        </w:rPr>
        <w:t xml:space="preserve">：本日进取档仍封顶50%，不因成交额放大直接升至高仓位。确认机会不足时宁可空仓等待。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3" w:name="仓位模型量化结果50技术结构要求压制上限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仓位模型：量化结果50%，技术结构要求压制上限</w:t>
      </w:r>
    </w:p>
    <w:bookmarkStart w:id="60" w:name="模型推导"/>
    <w:p>
      <w:pPr>
        <w:pStyle w:val="Heading3"/>
      </w:pPr>
      <w:r>
        <w:t xml:space="preserve">📊 </w:t>
      </w:r>
      <w:r>
        <w:rPr>
          <w:rFonts w:hint="eastAsia"/>
        </w:rPr>
        <w:t xml:space="preserve">模型推导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基础仓位：32%。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上一交易日涨跌比1.537：+10个百分点。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两市成交额增长13.13%，属于显著放量：+8个百分点。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跌停相关指标不用于盘前情绪判断，本报告不据此加减仓。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模型计算上限：50%。</w:t>
      </w:r>
    </w:p>
    <w:bookmarkEnd w:id="60"/>
    <w:bookmarkStart w:id="61" w:name="人工约束"/>
    <w:p>
      <w:pPr>
        <w:pStyle w:val="Heading3"/>
      </w:pPr>
      <w:r>
        <w:t xml:space="preserve">⚠️ </w:t>
      </w:r>
      <w:r>
        <w:rPr>
          <w:rFonts w:hint="eastAsia"/>
        </w:rPr>
        <w:t xml:space="preserve">人工约束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重点股样本中A级1只、D级8只、1只数据不足。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样本中仅10%站在MA20和MA60之上；该数据仅是重点股样本趋势宽度，严禁解释为全A股市场宽度。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科技硬件板块资金流出明显，美股半导体多数下跌。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A50期指下跌0.17%，未形成强外盘共振。</w:t>
      </w:r>
    </w:p>
    <w:bookmarkEnd w:id="61"/>
    <w:bookmarkStart w:id="62" w:name="最终仓位结论"/>
    <w:p>
      <w:pPr>
        <w:pStyle w:val="Heading3"/>
      </w:pPr>
      <w:r>
        <w:t xml:space="preserve">💡 </w:t>
      </w:r>
      <w:r>
        <w:rPr>
          <w:rFonts w:hint="eastAsia"/>
        </w:rPr>
        <w:t xml:space="preserve">最终仓位结论</w:t>
      </w:r>
    </w:p>
    <w:p>
      <w:pPr>
        <w:pStyle w:val="FirstParagraph"/>
      </w:pPr>
      <w:r>
        <w:rPr>
          <w:rFonts w:hint="eastAsia"/>
          <w:b/>
          <w:bCs/>
        </w:rPr>
        <w:t xml:space="preserve">基准仓位35%，确认后可提高至50%，今日不建议超过50%。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先以30%底仓观察政策方向和资金延续性。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只有出现板块、中军、量能三项确认，才增加至50%。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若指数转弱或主线冲高回落，降回20%—30%。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不为D级破位科技股预留“抄底仓位”。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64" w:name="回避清单"/>
    <w:p>
      <w:pPr>
        <w:pStyle w:val="Heading2"/>
      </w:pPr>
      <w:r>
        <w:t xml:space="preserve">🧾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中际旭创、新易盛、寒武纪、兆易创新、源杰科技、东山精密、生益科技</w:t>
      </w:r>
      <w:r>
        <w:rPr>
          <w:rFonts w:hint="eastAsia"/>
        </w:rPr>
        <w:t xml:space="preserve">：TickFlow评级D，未重新站回MA20、MA60前回避。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长鑫科技</w:t>
      </w:r>
      <w:r>
        <w:rPr>
          <w:rFonts w:hint="eastAsia"/>
        </w:rPr>
        <w:t xml:space="preserve">：MA60数据不足，不能因成交额和新闻热度替代技术确认。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工业富联</w:t>
      </w:r>
      <w:r>
        <w:rPr>
          <w:rFonts w:hint="eastAsia"/>
        </w:rPr>
        <w:t xml:space="preserve">：337调查事项未充分定价前，谨防事件风险。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新增减持计划股</w:t>
      </w:r>
      <w:r>
        <w:rPr>
          <w:rFonts w:hint="eastAsia"/>
        </w:rPr>
        <w:t xml:space="preserve">：宏柏新材、江山欧派、百合花、耀皮玻璃、*ST联翔、华民股份。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纯氢能概念股</w:t>
      </w:r>
      <w:r>
        <w:rPr>
          <w:rFonts w:hint="eastAsia"/>
        </w:rPr>
        <w:t xml:space="preserve">：没有订单、收入和盈利支撑的不参与。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全隐藏式门把手及折叠显示屏单一概念供应商</w:t>
      </w:r>
      <w:r>
        <w:rPr>
          <w:rFonts w:hint="eastAsia"/>
        </w:rPr>
        <w:t xml:space="preserve">：监管征求意见可能带来重新设计和验证成本。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地缘冲突刺激下的一字高开油气、航运股</w:t>
      </w:r>
      <w:r>
        <w:rPr>
          <w:rFonts w:hint="eastAsia"/>
        </w:rPr>
        <w:t xml:space="preserve">：WTI盘前仍下跌1.34%，事件与价格尚未形成一致确认。</w:t>
      </w:r>
    </w:p>
    <w:p>
      <w:pPr>
        <w:pStyle w:val="Compact"/>
        <w:numPr>
          <w:ilvl w:val="0"/>
          <w:numId w:val="1044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公告标题交易</w:t>
      </w:r>
      <w:r>
        <w:rPr>
          <w:rFonts w:hint="eastAsia"/>
        </w:rPr>
        <w:t xml:space="preserve">：重组复牌、回购进展和股东增持必须核对金额、进度及对利润的实际影响。</w:t>
      </w:r>
    </w:p>
    <w:p>
      <w:r>
        <w:pict>
          <v:rect style="width:0;height:1.5pt" o:hralign="center" o:hrstd="t" o:hr="t"/>
        </w:pict>
      </w:r>
    </w:p>
    <w:bookmarkEnd w:id="64"/>
    <w:bookmarkStart w:id="65" w:name="风险日历"/>
    <w:p>
      <w:pPr>
        <w:pStyle w:val="Heading2"/>
      </w:pPr>
      <w:r>
        <w:t xml:space="preserve">🗓️ </w:t>
      </w:r>
      <w:r>
        <w:rPr>
          <w:rFonts w:hint="eastAsia"/>
        </w:rPr>
        <w:t xml:space="preserve">风险日历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10月12日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新皇岗口岸运行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粤港澳通关、跨境消费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10月12日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北部湾港等复牌及重组预案交易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港口、重组概念波动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10月12日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工业富联337调查公告进入交易定价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AI硬件、电子制造风险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10月15日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第140届广交会首期开幕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先进制造、出口链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持续跟踪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沙特机场与也门局势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航空、油气、黄金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持续跟踪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霍尔木兹海峡商船遇袭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原油、油运、保险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持续跟踪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墨西哥湾油气产能恢复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国际油气价格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采集JSON未提供其他可核验的宏观数据公布时点，不补写未经核验的事件日期。</w:t>
      </w:r>
    </w:p>
    <w:p>
      <w:r>
        <w:pict>
          <v:rect style="width:0;height:1.5pt" o:hralign="center" o:hrstd="t" o:hr="t"/>
        </w:pict>
      </w:r>
    </w:p>
    <w:bookmarkEnd w:id="65"/>
    <w:bookmarkStart w:id="66" w:name="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富时中国A50期指</w:t>
      </w:r>
      <w:r>
        <w:rPr>
          <w:rFonts w:hint="eastAsia"/>
        </w:rPr>
        <w:t xml:space="preserve">：13729.16，📉</w:t>
      </w:r>
      <w:r>
        <w:t xml:space="preserve"> </w:t>
      </w:r>
      <w:r>
        <w:rPr>
          <w:rFonts w:hint="eastAsia"/>
        </w:rPr>
        <w:t xml:space="preserve">-0.17%，显示A股权重方向盘前情绪偏谨慎。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离岸人民币</w:t>
      </w:r>
      <w:r>
        <w:rPr>
          <w:rFonts w:hint="eastAsia"/>
        </w:rPr>
        <w:t xml:space="preserve">：美元兑离岸人民币6.6926，变动-0.01%，汇率整体稳定，对外资风险偏好未形成明显负面冲击。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恒生指数最近收盘</w:t>
      </w:r>
      <w:r>
        <w:rPr>
          <w:rFonts w:hint="eastAsia"/>
        </w:rPr>
        <w:t xml:space="preserve">：23785.791点，📈</w:t>
      </w:r>
      <w:r>
        <w:t xml:space="preserve"> </w:t>
      </w:r>
      <w:r>
        <w:rPr>
          <w:rFonts w:hint="eastAsia"/>
        </w:rPr>
        <w:t xml:space="preserve">+1.79%，港股风险偏好较强。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北向资金实时数据</w:t>
      </w:r>
      <w:r>
        <w:rPr>
          <w:rFonts w:hint="eastAsia"/>
        </w:rPr>
        <w:t xml:space="preserve">：采集JSON未提供可核验值，不补数。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外资结论</w:t>
      </w:r>
      <w:r>
        <w:rPr>
          <w:rFonts w:hint="eastAsia"/>
        </w:rPr>
        <w:t xml:space="preserve">：离岸人民币稳定、港股偏强，但A50小幅下跌，外部信号为“中性偏稳”，不能据此推导外资今日必然净流入。</w:t>
      </w:r>
    </w:p>
    <w:p>
      <w:r>
        <w:pict>
          <v:rect style="width:0;height:1.5pt" o:hralign="center" o:hrstd="t" o:hr="t"/>
        </w:pict>
      </w:r>
    </w:p>
    <w:bookmarkEnd w:id="66"/>
    <w:bookmarkStart w:id="67" w:name="盘前结论"/>
    <w:p>
      <w:pPr>
        <w:pStyle w:val="Heading2"/>
      </w:pPr>
      <w:r>
        <w:t xml:space="preserve">🎯 </w:t>
      </w:r>
      <w:r>
        <w:rPr>
          <w:rFonts w:hint="eastAsia"/>
        </w:rPr>
        <w:t xml:space="preserve">盘前结论</w:t>
      </w:r>
    </w:p>
    <w:p>
      <w:pPr>
        <w:pStyle w:val="Compact"/>
        <w:numPr>
          <w:ilvl w:val="0"/>
          <w:numId w:val="1046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指数环境</w:t>
      </w:r>
      <w:r>
        <w:rPr>
          <w:rFonts w:hint="eastAsia"/>
        </w:rPr>
        <w:t xml:space="preserve">：成交额显著放大、宽基ETF连续净申购、恐慌代理回落，系统性流动性环境改善。</w:t>
      </w:r>
    </w:p>
    <w:p>
      <w:pPr>
        <w:pStyle w:val="Compact"/>
        <w:numPr>
          <w:ilvl w:val="0"/>
          <w:numId w:val="1046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结构矛盾</w:t>
      </w:r>
      <w:r>
        <w:rPr>
          <w:rFonts w:hint="eastAsia"/>
        </w:rPr>
        <w:t xml:space="preserve">：科技高成交股大量处于MA20和MA60下方，半导体、通信、元件资金流出突出。</w:t>
      </w:r>
    </w:p>
    <w:p>
      <w:pPr>
        <w:pStyle w:val="Compact"/>
        <w:numPr>
          <w:ilvl w:val="0"/>
          <w:numId w:val="1046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优先方向</w:t>
      </w:r>
      <w:r>
        <w:rPr>
          <w:rFonts w:hint="eastAsia"/>
        </w:rPr>
        <w:t xml:space="preserve">：水利基建、贵金属、工业金属；电池与氢能等待右侧确认。</w:t>
      </w:r>
    </w:p>
    <w:p>
      <w:pPr>
        <w:pStyle w:val="Compact"/>
        <w:numPr>
          <w:ilvl w:val="0"/>
          <w:numId w:val="1046"/>
        </w:numPr>
      </w:pPr>
      <w:r>
        <w:t xml:space="preserve">⛔</w:t>
      </w:r>
      <w:r>
        <w:t xml:space="preserve"> </w:t>
      </w:r>
      <w:r>
        <w:rPr>
          <w:rFonts w:hint="eastAsia"/>
          <w:b/>
          <w:bCs/>
        </w:rPr>
        <w:t xml:space="preserve">明确回避</w:t>
      </w:r>
      <w:r>
        <w:rPr>
          <w:rFonts w:hint="eastAsia"/>
        </w:rPr>
        <w:t xml:space="preserve">：D级破位科技股、公告风险股、无订单支撑的政策概念股。</w:t>
      </w:r>
    </w:p>
    <w:p>
      <w:pPr>
        <w:pStyle w:val="Compact"/>
        <w:numPr>
          <w:ilvl w:val="0"/>
          <w:numId w:val="1046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执行方案</w:t>
      </w:r>
      <w:r>
        <w:rPr>
          <w:rFonts w:hint="eastAsia"/>
        </w:rPr>
        <w:t xml:space="preserve">：基准35%仓位，确认后最高50%；不打板、不追高，优先等待放量突破后站稳，或缩量回踩趋势线不破后的二次放量。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生成时间：2026-10-12</w:t>
      </w:r>
      <w:r>
        <w:t xml:space="preserve"> 08:30:21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1"/>
  </w:num>
  <w:num w:numId="104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2026-10-12T00:35:54Z</dcterms:created>
  <dcterms:modified xsi:type="dcterms:W3CDTF">2026-10-12T00:35:54Z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