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5" w:name="奇迹早知道2026年10月9日盘前简报"/>
    <w:p>
      <w:pPr>
        <w:pStyle w:val="Heading1"/>
      </w:pPr>
      <w:r>
        <w:t xml:space="preserve">🌅 </w:t>
      </w:r>
      <w:r>
        <w:rPr>
          <w:rFonts w:hint="eastAsia"/>
        </w:rPr>
        <w:t xml:space="preserve">奇迹早知道｜2026年10月9日盘前简报</w:t>
      </w:r>
    </w:p>
    <w:p>
      <w:pPr>
        <w:pStyle w:val="BlockText"/>
      </w:pPr>
      <w:r>
        <w:rPr>
          <w:rFonts w:hint="eastAsia"/>
          <w:b/>
          <w:bCs/>
        </w:rPr>
        <w:t xml:space="preserve">盘前结论：防守优先，等待右侧确认。</w:t>
      </w:r>
      <w:r>
        <w:br/>
      </w:r>
      <w:r>
        <w:rPr>
          <w:rFonts w:hint="eastAsia"/>
        </w:rPr>
        <w:t xml:space="preserve">隔夜纳指及五只核心半导体股全线下跌，A股昨日科技成长放量承压；但科创宽基ETF连续净申购、300ETF</w:t>
      </w:r>
      <w:r>
        <w:t xml:space="preserve"> </w:t>
      </w:r>
      <w:r>
        <w:rPr>
          <w:rFonts w:hint="eastAsia"/>
        </w:rPr>
        <w:t xml:space="preserve">QVIX高位降温，流动性与恐慌联合信号已经确认。今日不宜抄底半导体与CPO，重点观察红利、电力、能源运输能否延续，以及药明康德能否重新站稳右侧触发位。</w:t>
      </w:r>
    </w:p>
    <w:bookmarkStart w:id="12" w:name="隔夜全球市场科技风险偏好降温"/>
    <w:p>
      <w:pPr>
        <w:pStyle w:val="Heading2"/>
      </w:pPr>
      <w:r>
        <w:t xml:space="preserve">🌍 </w:t>
      </w:r>
      <w:r>
        <w:rPr>
          <w:rFonts w:hint="eastAsia"/>
        </w:rPr>
        <w:t xml:space="preserve">隔夜全球市场：科技风险偏好降温</w:t>
      </w:r>
    </w:p>
    <w:bookmarkStart w:id="9" w:name="美股三大指数"/>
    <w:p>
      <w:pPr>
        <w:pStyle w:val="Heading3"/>
      </w:pPr>
      <w:r>
        <w:t xml:space="preserve">📈🔴🟢📉 </w:t>
      </w:r>
      <w:r>
        <w:rPr>
          <w:rFonts w:hint="eastAsia"/>
        </w:rPr>
        <w:t xml:space="preserve">美股三大指数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盘前含义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道琼斯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51231.6406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+0.10%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权重价值相对抗跌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标普500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7765.3599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-0.47%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风险偏好边际转弱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纳斯达克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27193.3403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-1.25%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科技成长明显承压</w:t>
            </w:r>
          </w:p>
        </w:tc>
      </w:tr>
    </w:tbl>
    <w:bookmarkEnd w:id="9"/>
    <w:bookmarkStart w:id="10" w:name="五只核心半导体个股"/>
    <w:p>
      <w:pPr>
        <w:pStyle w:val="Heading3"/>
      </w:pPr>
      <w:r>
        <w:t xml:space="preserve">🟢📉 </w:t>
      </w:r>
      <w:r>
        <w:rPr>
          <w:rFonts w:hint="eastAsia"/>
        </w:rPr>
        <w:t xml:space="preserve">五只核心半导体个股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A股映射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英伟达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230.48美元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-2.94%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AI算力、光模块承压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620.68美元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-3.90%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GPU及算力链承压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台积电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457.99美元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-3.01%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晶圆制造风险偏好下降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360.14美元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-4.35%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ASIC、光通信映射偏空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1035.84美元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-4.79%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存储芯片映射压力最大</w:t>
            </w:r>
          </w:p>
        </w:tc>
      </w:tr>
    </w:tbl>
    <w:bookmarkEnd w:id="10"/>
    <w:bookmarkStart w:id="11" w:name="盘前解读"/>
    <w:p>
      <w:pPr>
        <w:pStyle w:val="Heading3"/>
      </w:pPr>
      <w:r>
        <w:t xml:space="preserve">💡 </w:t>
      </w:r>
      <w:r>
        <w:rPr>
          <w:rFonts w:hint="eastAsia"/>
        </w:rPr>
        <w:t xml:space="preserve">盘前解读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五只半导体核心股跌幅均超过2.9%，与昨日A股半导体、通信设备资金大幅流出形成共振。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今日半导体、存储、CPO若低开，不以“跌得多”为买入理由；必须先看到板块止跌、核心股收复关键均线。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道指小幅上涨而纳指明显下跌，全球风格偏向价值、防御，不支持A股高估值科技直接高开修复。</w:t>
      </w:r>
    </w:p>
    <w:bookmarkEnd w:id="11"/>
    <w:bookmarkEnd w:id="12"/>
    <w:bookmarkStart w:id="21" w:name="新闻联播政策面内需具身智能循环经济与金融稳定"/>
    <w:p>
      <w:pPr>
        <w:pStyle w:val="Heading2"/>
      </w:pPr>
      <w:r>
        <w:t xml:space="preserve">📺 </w:t>
      </w:r>
      <w:r>
        <w:rPr>
          <w:rFonts w:hint="eastAsia"/>
        </w:rPr>
        <w:t xml:space="preserve">新闻联播政策面：内需、具身智能、循环经济与金融稳定</w:t>
      </w:r>
    </w:p>
    <w:bookmarkStart w:id="13" w:name="扩大消费与服务消费提质"/>
    <w:p>
      <w:pPr>
        <w:pStyle w:val="Heading3"/>
      </w:pPr>
      <w:r>
        <w:t xml:space="preserve">🛍️ </w:t>
      </w:r>
      <w:r>
        <w:rPr>
          <w:rFonts w:hint="eastAsia"/>
        </w:rPr>
        <w:t xml:space="preserve">扩大消费与服务消费提质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国庆假期10月1日至6日，78个重点步行街及商圈客流量同比增长2.5%，营业额同比增长4.7%。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消费品以旧换新惠及639.2万人次，带动销售额334.8亿元；全国文旅消费月推出超过2万场活动，发放超过3.1亿元消费补贴。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《扩大消费“十五五”规划》将服务消费提质惠民置于首位，政策重点从单纯商品补贴延伸至文旅、养老、育儿、健康和体验消费。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3"/>
        </w:numPr>
      </w:pPr>
      <w:r>
        <w:t xml:space="preserve">📈🔴 </w:t>
      </w:r>
      <w:r>
        <w:rPr>
          <w:rFonts w:hint="eastAsia"/>
        </w:rPr>
        <w:t xml:space="preserve">相对受益：商贸零售、旅游景区、酒店餐饮、演艺会展、家电家居、养老服务。</w:t>
      </w:r>
    </w:p>
    <w:p>
      <w:pPr>
        <w:pStyle w:val="Compact"/>
        <w:numPr>
          <w:ilvl w:val="0"/>
          <w:numId w:val="1003"/>
        </w:numPr>
      </w:pPr>
      <w:r>
        <w:t xml:space="preserve">⚠️ </w:t>
      </w:r>
      <w:r>
        <w:rPr>
          <w:rFonts w:hint="eastAsia"/>
        </w:rPr>
        <w:t xml:space="preserve">验证重点：假期高频数据能否转化为上市公司收入和利润，而非停留在客流增长。</w:t>
      </w:r>
    </w:p>
    <w:p>
      <w:pPr>
        <w:pStyle w:val="Compact"/>
        <w:numPr>
          <w:ilvl w:val="0"/>
          <w:numId w:val="1003"/>
        </w:numPr>
      </w:pPr>
      <w:r>
        <w:t xml:space="preserve">💡 </w:t>
      </w:r>
      <w:r>
        <w:rPr>
          <w:rFonts w:hint="eastAsia"/>
        </w:rPr>
        <w:t xml:space="preserve">操作上不追节后情绪高开，优先等待具备业绩兑现、回购或现金流支撑的低位品种。</w:t>
      </w:r>
    </w:p>
    <w:bookmarkEnd w:id="13"/>
    <w:bookmarkStart w:id="14" w:name="具身智能产业化加速"/>
    <w:p>
      <w:pPr>
        <w:pStyle w:val="Heading3"/>
      </w:pPr>
      <w:r>
        <w:t xml:space="preserve">🤖 </w:t>
      </w:r>
      <w:r>
        <w:rPr>
          <w:rFonts w:hint="eastAsia"/>
        </w:rPr>
        <w:t xml:space="preserve">具身智能产业化加速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全国已建成启用70多家具身智能训练场，在建及规划40余家，形成长三角、京津冀、珠三角三大核心集群。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数据平台已交付150万小时人类视频数据，产业路径由单机展示转向“实景实训—数据沉淀—产品迭代—规模部署”。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2025年我国人工智能核心产业规模超过1.2万亿元，企业数量超过6200家。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5"/>
        </w:numPr>
      </w:pPr>
      <w:r>
        <w:t xml:space="preserve">📈🔴 </w:t>
      </w:r>
      <w:r>
        <w:rPr>
          <w:rFonts w:hint="eastAsia"/>
        </w:rPr>
        <w:t xml:space="preserve">中期受益：工业机器人、机器视觉、传感器、伺服系统、减速器、工业软件、训练数据和算力基础设施。</w:t>
      </w:r>
    </w:p>
    <w:p>
      <w:pPr>
        <w:pStyle w:val="Compact"/>
        <w:numPr>
          <w:ilvl w:val="0"/>
          <w:numId w:val="1005"/>
        </w:numPr>
      </w:pPr>
      <w:r>
        <w:t xml:space="preserve">⚠️ </w:t>
      </w:r>
      <w:r>
        <w:rPr>
          <w:rFonts w:hint="eastAsia"/>
        </w:rPr>
        <w:t xml:space="preserve">昨日通用设备、自动化设备分别主力净流出20.80亿元、20.49亿元，政策利好与短线资金方向并未共振。</w:t>
      </w:r>
    </w:p>
    <w:p>
      <w:pPr>
        <w:pStyle w:val="Compact"/>
        <w:numPr>
          <w:ilvl w:val="0"/>
          <w:numId w:val="1005"/>
        </w:numPr>
      </w:pPr>
      <w:r>
        <w:t xml:space="preserve">💡 </w:t>
      </w:r>
      <w:r>
        <w:rPr>
          <w:rFonts w:hint="eastAsia"/>
        </w:rPr>
        <w:t xml:space="preserve">今日只观察政策能否形成逆势资金回流；没有量价确认，不将新闻联播题材直接等同于买点。</w:t>
      </w:r>
    </w:p>
    <w:bookmarkEnd w:id="14"/>
    <w:bookmarkStart w:id="15" w:name="全链条循环经济与动力电池回收"/>
    <w:p>
      <w:pPr>
        <w:pStyle w:val="Heading3"/>
      </w:pPr>
      <w:r>
        <w:t xml:space="preserve">♻️ </w:t>
      </w:r>
      <w:r>
        <w:rPr>
          <w:rFonts w:hint="eastAsia"/>
        </w:rPr>
        <w:t xml:space="preserve">全链条循环经济与动力电池回收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“十五五”时期将把动力电池、光伏组件、风机叶片等“新三样”固废纳入循环利用体系。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动力电池再生环节镍、钴、锰回收率达到99.6%，锂回收率超过90%。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到2030年，退役动力电池预计达到100万吨，资源循环利用产业产值预计达到8万亿元。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7"/>
        </w:numPr>
      </w:pPr>
      <w:r>
        <w:t xml:space="preserve">📈🔴 </w:t>
      </w:r>
      <w:r>
        <w:rPr>
          <w:rFonts w:hint="eastAsia"/>
        </w:rPr>
        <w:t xml:space="preserve">受益方向：动力电池回收、再生金属、报废汽车拆解、固废处理、检测溯源。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昨日电池板块主力净流入29.19亿元，资金与政策形成正向交集。</w:t>
      </w:r>
    </w:p>
    <w:p>
      <w:pPr>
        <w:pStyle w:val="Compact"/>
        <w:numPr>
          <w:ilvl w:val="0"/>
          <w:numId w:val="1007"/>
        </w:numPr>
      </w:pPr>
      <w:r>
        <w:t xml:space="preserve">⚠️ </w:t>
      </w:r>
      <w:r>
        <w:rPr>
          <w:rFonts w:hint="eastAsia"/>
        </w:rPr>
        <w:t xml:space="preserve">宁德时代TickFlow技术评级仍为D，电池方向更适合观察板块承接，不适合追涨。</w:t>
      </w:r>
    </w:p>
    <w:bookmarkEnd w:id="15"/>
    <w:bookmarkStart w:id="16" w:name="新能源汽车充电基础设施"/>
    <w:p>
      <w:pPr>
        <w:pStyle w:val="Heading3"/>
      </w:pPr>
      <w:r>
        <w:t xml:space="preserve">🚗 </w:t>
      </w:r>
      <w:r>
        <w:rPr>
          <w:rFonts w:hint="eastAsia"/>
        </w:rPr>
        <w:t xml:space="preserve">新能源汽车充电基础设施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国庆假期高速公路新能源汽车充电671.10万次，充电量1.63亿千瓦时。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日均充电量2325.66万千瓦时，同比增长51.42%。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后续政策继续推进高速公路服务区充电设施建设。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9"/>
        </w:numPr>
      </w:pPr>
      <w:r>
        <w:t xml:space="preserve">📈🔴 </w:t>
      </w:r>
      <w:r>
        <w:rPr>
          <w:rFonts w:hint="eastAsia"/>
        </w:rPr>
        <w:t xml:space="preserve">受益方向：充电桩、配电设备、电网投资、运营平台及高速公路服务区能源设施。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昨日电力板块主力净流入7.04亿元，政策与资金方向一致。</w:t>
      </w:r>
    </w:p>
    <w:p>
      <w:pPr>
        <w:pStyle w:val="Compact"/>
        <w:numPr>
          <w:ilvl w:val="0"/>
          <w:numId w:val="1009"/>
        </w:numPr>
      </w:pPr>
      <w:r>
        <w:t xml:space="preserve">💡 </w:t>
      </w:r>
      <w:r>
        <w:rPr>
          <w:rFonts w:hint="eastAsia"/>
        </w:rPr>
        <w:t xml:space="preserve">优先关注订单兑现和现金流质量，不追纯概念小市值品种。</w:t>
      </w:r>
    </w:p>
    <w:bookmarkEnd w:id="16"/>
    <w:bookmarkStart w:id="17" w:name="医疗康复护理扩容"/>
    <w:p>
      <w:pPr>
        <w:pStyle w:val="Heading3"/>
      </w:pPr>
      <w:r>
        <w:t xml:space="preserve">🏥 </w:t>
      </w:r>
      <w:r>
        <w:rPr>
          <w:rFonts w:hint="eastAsia"/>
        </w:rPr>
        <w:t xml:space="preserve">医疗康复护理扩容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医疗康复护理扩容提升工程将重点增加基层医疗康复护理供给。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政策鼓励康复医院、护理院、安宁疗护中心、家庭病床和居家康复服务。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到2030年，力争每万人口康复医师、康复治疗师分别达到0.7人和1.6人。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11"/>
        </w:numPr>
      </w:pPr>
      <w:r>
        <w:t xml:space="preserve">📈🔴 </w:t>
      </w:r>
      <w:r>
        <w:rPr>
          <w:rFonts w:hint="eastAsia"/>
        </w:rPr>
        <w:t xml:space="preserve">中长期受益：康复医疗、医疗器械、养老护理、基层医疗信息化。</w:t>
      </w:r>
    </w:p>
    <w:p>
      <w:pPr>
        <w:pStyle w:val="Compact"/>
        <w:numPr>
          <w:ilvl w:val="0"/>
          <w:numId w:val="1011"/>
        </w:numPr>
      </w:pPr>
      <w:r>
        <w:t xml:space="preserve">⚠️ </w:t>
      </w:r>
      <w:r>
        <w:rPr>
          <w:rFonts w:hint="eastAsia"/>
        </w:rPr>
        <w:t xml:space="preserve">昨日医药主题ETF口径净流出19.26亿元，政策利好尚未转化为资金共识。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药明康德具备重点股样本中唯一A评级，但其属于CXO，不能简单替代康复护理产业链。</w:t>
      </w:r>
    </w:p>
    <w:bookmarkEnd w:id="17"/>
    <w:bookmarkStart w:id="18" w:name="广西向海图强与西部陆海新通道"/>
    <w:p>
      <w:pPr>
        <w:pStyle w:val="Heading3"/>
      </w:pPr>
      <w:r>
        <w:t xml:space="preserve">🚢 </w:t>
      </w:r>
      <w:r>
        <w:rPr>
          <w:rFonts w:hint="eastAsia"/>
        </w:rPr>
        <w:t xml:space="preserve">广西向海图强与西部陆海新通道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平陆运河已经建成通航，钦州港大榄坪南作业区5个5000吨级江海联运泊位开工。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“十五五”期间将推进铁路、高铁、中国—东盟信息港和国际通信业务出入口等项目。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政策路径为“北上广研发+广西集成+东盟应用”。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13"/>
        </w:numPr>
      </w:pPr>
      <w:r>
        <w:t xml:space="preserve">📈🔴 </w:t>
      </w:r>
      <w:r>
        <w:rPr>
          <w:rFonts w:hint="eastAsia"/>
        </w:rPr>
        <w:t xml:space="preserve">受益方向：港口航运、铁路基建、工程机械、通信网络及东盟贸易。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昨日港口航运主力净流入4.30亿元，具备政策、事件和资金三项支撑。</w:t>
      </w:r>
    </w:p>
    <w:p>
      <w:pPr>
        <w:pStyle w:val="Compact"/>
        <w:numPr>
          <w:ilvl w:val="0"/>
          <w:numId w:val="1013"/>
        </w:numPr>
      </w:pPr>
      <w:r>
        <w:t xml:space="preserve">⚠️ </w:t>
      </w:r>
      <w:r>
        <w:rPr>
          <w:rFonts w:hint="eastAsia"/>
        </w:rPr>
        <w:t xml:space="preserve">地缘事件可能放大运价波动，避免追逐单日高开。</w:t>
      </w:r>
    </w:p>
    <w:bookmarkEnd w:id="18"/>
    <w:bookmarkStart w:id="19" w:name="人民币汇率政策与金融稳定"/>
    <w:p>
      <w:pPr>
        <w:pStyle w:val="Heading3"/>
      </w:pPr>
      <w:r>
        <w:t xml:space="preserve">💱 </w:t>
      </w:r>
      <w:r>
        <w:rPr>
          <w:rFonts w:hint="eastAsia"/>
        </w:rPr>
        <w:t xml:space="preserve">人民币汇率政策与金融稳定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央行强调坚持有管理的浮动汇率制度，防范汇率短期大幅波动，尤其是短期急剧贬值对金融稳定的冲击。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政策明确不通过竞争性贬值获取贸易优势，并强调扩大内需、改善营商环境和深化开放。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离岸人民币最新报6.7030，美元兑离岸人民币下跌0.01%，人民币边际稳定。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15"/>
        </w:numPr>
      </w:pPr>
      <w:r>
        <w:t xml:space="preserve">📈🔴 </w:t>
      </w:r>
      <w:r>
        <w:rPr>
          <w:rFonts w:hint="eastAsia"/>
        </w:rPr>
        <w:t xml:space="preserve">有利于外资风险偏好、航空造纸等人民币升值敏感方向以及核心资产估值稳定。</w:t>
      </w:r>
    </w:p>
    <w:p>
      <w:pPr>
        <w:pStyle w:val="Compact"/>
        <w:numPr>
          <w:ilvl w:val="0"/>
          <w:numId w:val="1015"/>
        </w:numPr>
      </w:pPr>
      <w:r>
        <w:t xml:space="preserve">⚠️ </w:t>
      </w:r>
      <w:r>
        <w:rPr>
          <w:rFonts w:hint="eastAsia"/>
        </w:rPr>
        <w:t xml:space="preserve">当前A50期指仍下跌0.31%，汇率稳定尚未转化为明确的指数做多信号。</w:t>
      </w:r>
    </w:p>
    <w:bookmarkEnd w:id="19"/>
    <w:bookmarkStart w:id="20" w:name="金融机构资本补充"/>
    <w:p>
      <w:pPr>
        <w:pStyle w:val="Heading3"/>
      </w:pPr>
      <w:r>
        <w:t xml:space="preserve">🏦 </w:t>
      </w:r>
      <w:r>
        <w:rPr>
          <w:rFonts w:hint="eastAsia"/>
        </w:rPr>
        <w:t xml:space="preserve">金融机构资本补充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财政部发行1500亿元中央金融机构注资特别国债，期限5年，票面利率1.37%，10月9日起计息。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政策有助于增强中央金融机构资本实力和服务实体经济能力。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17"/>
        </w:numPr>
      </w:pPr>
      <w:r>
        <w:t xml:space="preserve">📈🔴 </w:t>
      </w:r>
      <w:r>
        <w:rPr>
          <w:rFonts w:hint="eastAsia"/>
        </w:rPr>
        <w:t xml:space="preserve">中期有利于金融体系稳定、信贷投放与低估值金融板块。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短线仍需观察银行、保险和证券是否形成同步放量；昨日证券Ⅱ主力净流出17.32亿元，券商暂未获得资金确认。</w:t>
      </w:r>
    </w:p>
    <w:bookmarkEnd w:id="20"/>
    <w:bookmarkEnd w:id="21"/>
    <w:bookmarkStart w:id="25" w:name="今日公告业绩回购与风险提示并存"/>
    <w:p>
      <w:pPr>
        <w:pStyle w:val="Heading2"/>
      </w:pPr>
      <w:r>
        <w:t xml:space="preserve">📢 </w:t>
      </w:r>
      <w:r>
        <w:rPr>
          <w:rFonts w:hint="eastAsia"/>
        </w:rPr>
        <w:t xml:space="preserve">今日公告：业绩、回购与风险提示并存</w:t>
      </w:r>
    </w:p>
    <w:p>
      <w:pPr>
        <w:pStyle w:val="FirstParagraph"/>
      </w:pPr>
      <w:r>
        <w:rPr>
          <w:rFonts w:hint="eastAsia"/>
        </w:rPr>
        <w:t xml:space="preserve">公告主接口请求异常后，采集器通过巨潮资讯历史公告官方接口完整抓取沪深两市1418份公告；以下仅列对盘前交易影响较大的事项。</w:t>
      </w:r>
    </w:p>
    <w:bookmarkStart w:id="22" w:name="正向及中性事项"/>
    <w:p>
      <w:pPr>
        <w:pStyle w:val="Heading3"/>
      </w:pPr>
      <w:r>
        <w:t xml:space="preserve">📈🔴 </w:t>
      </w:r>
      <w:r>
        <w:rPr>
          <w:rFonts w:hint="eastAsia"/>
        </w:rPr>
        <w:t xml:space="preserve">正向及中性事项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晶晨股份（688099）</w:t>
      </w:r>
      <w:r>
        <w:rPr>
          <w:rFonts w:hint="eastAsia"/>
        </w:rPr>
        <w:t xml:space="preserve">：披露2026年前三季度业绩预告，重点观察业绩增长能否对冲隔夜半导体下跌。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鼎龙股份（300054）</w:t>
      </w:r>
      <w:r>
        <w:rPr>
          <w:rFonts w:hint="eastAsia"/>
        </w:rPr>
        <w:t xml:space="preserve">：披露2026年前三季度业绩预告，属于半导体材料与新能源相关业绩线索。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妙可蓝多（600882）</w:t>
      </w:r>
      <w:r>
        <w:rPr>
          <w:rFonts w:hint="eastAsia"/>
        </w:rPr>
        <w:t xml:space="preserve">：披露2026年前三季度业绩快报，关注消费板块业绩验证。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常润股份（603201）</w:t>
      </w:r>
      <w:r>
        <w:rPr>
          <w:rFonts w:hint="eastAsia"/>
        </w:rPr>
        <w:t xml:space="preserve">：披露股份回购进展及闲置募集资金现金管理到期赎回。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国联民生（601456）</w:t>
      </w:r>
      <w:r>
        <w:rPr>
          <w:rFonts w:hint="eastAsia"/>
        </w:rPr>
        <w:t xml:space="preserve">：披露触发控股股东增持公司股份承诺的提示性公告。</w:t>
      </w:r>
    </w:p>
    <w:bookmarkEnd w:id="22"/>
    <w:bookmarkStart w:id="23" w:name="负面及不确定事项"/>
    <w:p>
      <w:pPr>
        <w:pStyle w:val="Heading3"/>
      </w:pPr>
      <w:r>
        <w:t xml:space="preserve">⚠️ </w:t>
      </w:r>
      <w:r>
        <w:rPr>
          <w:rFonts w:hint="eastAsia"/>
        </w:rPr>
        <w:t xml:space="preserve">负面及不确定事项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常润股份（603201）</w:t>
      </w:r>
      <w:r>
        <w:rPr>
          <w:rFonts w:hint="eastAsia"/>
        </w:rPr>
        <w:t xml:space="preserve">：终止筹划股权收购事项，同时披露对子公司担保进展，回购利好不能抵消并购终止的不确定性。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新华传媒（600825）</w:t>
      </w:r>
      <w:r>
        <w:rPr>
          <w:rFonts w:hint="eastAsia"/>
        </w:rPr>
        <w:t xml:space="preserve">：发布股票交易严重异常波动暨风险提示公告，高位交易拥挤风险上升。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金浦钛业（000545）</w:t>
      </w:r>
      <w:r>
        <w:rPr>
          <w:rFonts w:hint="eastAsia"/>
        </w:rPr>
        <w:t xml:space="preserve">：全资子公司临时停产整改并收到行政处罚决定书。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光正眼科（002524）</w:t>
      </w:r>
      <w:r>
        <w:rPr>
          <w:rFonts w:hint="eastAsia"/>
        </w:rPr>
        <w:t xml:space="preserve">：下属院区收到行政处罚决定书。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路畅科技（002813）</w:t>
      </w:r>
      <w:r>
        <w:rPr>
          <w:rFonts w:hint="eastAsia"/>
        </w:rPr>
        <w:t xml:space="preserve">：披露停牌进展暨延期复牌公告，事件落地时间仍不确定。</w:t>
      </w:r>
    </w:p>
    <w:bookmarkEnd w:id="23"/>
    <w:bookmarkStart w:id="24" w:name="解禁与减持压力"/>
    <w:p>
      <w:pPr>
        <w:pStyle w:val="Heading3"/>
      </w:pPr>
      <w:r>
        <w:t xml:space="preserve">⚠️ </w:t>
      </w:r>
      <w:r>
        <w:rPr>
          <w:rFonts w:hint="eastAsia"/>
        </w:rPr>
        <w:t xml:space="preserve">解禁与减持压力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东方钽业、川环科技、陕西能源涉及限售股解除限售事项。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冠城新材、中衡设计、永杉锂业、新凤鸣、天洋新材、爱旭股份等披露减持结果或进展。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公告分类统计包含20项减持相关事项、5项解禁相关事项，相关个股开盘承接需要单独验证。</w:t>
      </w:r>
    </w:p>
    <w:bookmarkEnd w:id="24"/>
    <w:bookmarkEnd w:id="25"/>
    <w:bookmarkStart w:id="26" w:name="经济数据与重要事件"/>
    <w:p>
      <w:pPr>
        <w:pStyle w:val="Heading2"/>
      </w:pPr>
      <w:r>
        <w:t xml:space="preserve">🧭 </w:t>
      </w:r>
      <w:r>
        <w:rPr>
          <w:rFonts w:hint="eastAsia"/>
        </w:rPr>
        <w:t xml:space="preserve">经济数据与重要事件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国庆假期全社会跨区域人员流动量累计21.42亿人次，日均3.06亿人次，同比增长0.6%。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全国铁路累计发送旅客1.52亿人次，日均同比增长12.7%；假期首日2520.4万人次，创单日历史新高。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国庆假期出入境人员1546.2万人次，同比增长6.7%；内地居民出境增长9.3%，外国人入境增长9.2%。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前三季度全国农业信贷担保体系新增融资担保额超过2000亿元，覆盖约30万个农业经营主体项目。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采集数据未提供今日国内外宏观数据发布的完整时间表，具体发布时间与市场预期值均为</w:t>
      </w:r>
      <w:r>
        <w:rPr>
          <w:rFonts w:hint="eastAsia"/>
          <w:b/>
          <w:bCs/>
        </w:rPr>
        <w:t xml:space="preserve">暂缺确认</w:t>
      </w:r>
      <w:r>
        <w:rPr>
          <w:rFonts w:hint="eastAsia"/>
        </w:rPr>
        <w:t xml:space="preserve">，不补充预测数值。</w:t>
      </w:r>
    </w:p>
    <w:bookmarkEnd w:id="26"/>
    <w:bookmarkStart w:id="30" w:name="全球事件中东风险仍是最大外部变量"/>
    <w:p>
      <w:pPr>
        <w:pStyle w:val="Heading2"/>
      </w:pPr>
      <w:r>
        <w:t xml:space="preserve">🌐 </w:t>
      </w:r>
      <w:r>
        <w:rPr>
          <w:rFonts w:hint="eastAsia"/>
        </w:rPr>
        <w:t xml:space="preserve">全球事件：中东风险仍是最大外部变量</w:t>
      </w:r>
    </w:p>
    <w:bookmarkStart w:id="27" w:name="中东与能源运输"/>
    <w:p>
      <w:pPr>
        <w:pStyle w:val="Heading3"/>
      </w:pPr>
      <w:r>
        <w:t xml:space="preserve">🛢️ </w:t>
      </w:r>
      <w:r>
        <w:rPr>
          <w:rFonts w:hint="eastAsia"/>
        </w:rPr>
        <w:t xml:space="preserve">中东与能源运输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美国媒体称美国国防部要求为重启对伊朗大规模军事行动做好准备，但美国总统尚未作出最终决定。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伊朗方面表示将关闭霍尔木兹海峡内的“非法航道”，沙特与也门胡塞武装冲突继续升级。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IMF预计高油价可能持续至2027年；国际能源署成员国同意加快落实石油储备释放计划。</w:t>
      </w:r>
    </w:p>
    <w:p>
      <w:pPr>
        <w:pStyle w:val="FirstParagraph"/>
      </w:pPr>
      <w:r>
        <w:rPr>
          <w:rFonts w:hint="eastAsia"/>
          <w:b/>
          <w:bCs/>
        </w:rPr>
        <w:t xml:space="preserve">市场含义：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WTI原油最新报91.001美元，🟢📉下跌0.53%，说明地缘溢价与储备释放预期正在对冲。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航运、油气和煤炭仍有事件支撑，但油价并未同步上涨，今日不适合无条件追高。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若霍尔木兹海峡风险继续上升，油运、油气开采可能相对受益，航空、化工下游及高耗能制造成本压力上升。</w:t>
      </w:r>
    </w:p>
    <w:bookmarkEnd w:id="27"/>
    <w:bookmarkStart w:id="28" w:name="俄乌及中东外交"/>
    <w:p>
      <w:pPr>
        <w:pStyle w:val="Heading3"/>
      </w:pPr>
      <w:r>
        <w:t xml:space="preserve">⚔️ </w:t>
      </w:r>
      <w:r>
        <w:rPr>
          <w:rFonts w:hint="eastAsia"/>
        </w:rPr>
        <w:t xml:space="preserve">俄乌及中东外交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俄乌双方继续打击军工、能源设施和集结区域，地缘冲突没有明确降温信号。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以色列宣布关闭英国驻耶路撒冷领事馆，地区外交摩擦进一步增加。</w:t>
      </w:r>
    </w:p>
    <w:bookmarkEnd w:id="28"/>
    <w:bookmarkStart w:id="29" w:name="厄尔尼诺风险"/>
    <w:p>
      <w:pPr>
        <w:pStyle w:val="Heading3"/>
      </w:pPr>
      <w:r>
        <w:t xml:space="preserve">🌦️ </w:t>
      </w:r>
      <w:r>
        <w:rPr>
          <w:rFonts w:hint="eastAsia"/>
        </w:rPr>
        <w:t xml:space="preserve">厄尔尼诺风险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世界气象组织预计2026年10月至12月厄尔尼诺增强，并可能在12月达到峰值。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厄尔尼诺持续至2027年2月的可能性接近100%。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26"/>
        </w:numPr>
      </w:pPr>
      <w:r>
        <w:t xml:space="preserve">⚠️ </w:t>
      </w:r>
      <w:r>
        <w:rPr>
          <w:rFonts w:hint="eastAsia"/>
        </w:rPr>
        <w:t xml:space="preserve">农产品、种植业、水利防灾、电力需求及国际大宗商品可能出现阶段性波动。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昨日农产品加工主力净流入4.37亿元，但气候逻辑兑现周期较长，不宜仅凭单一事件追涨。</w:t>
      </w:r>
    </w:p>
    <w:bookmarkEnd w:id="29"/>
    <w:bookmarkEnd w:id="30"/>
    <w:bookmarkStart w:id="34" w:name="昨日市场复盘放量下跌科技成长承压"/>
    <w:p>
      <w:pPr>
        <w:pStyle w:val="Heading2"/>
      </w:pPr>
      <w:r>
        <w:t xml:space="preserve">📉 </w:t>
      </w:r>
      <w:r>
        <w:rPr>
          <w:rFonts w:hint="eastAsia"/>
        </w:rPr>
        <w:t xml:space="preserve">昨日市场复盘：放量下跌，科技成长承压</w:t>
      </w:r>
    </w:p>
    <w:bookmarkStart w:id="31" w:name="主要指数"/>
    <w:p>
      <w:pPr>
        <w:pStyle w:val="Heading3"/>
      </w:pPr>
      <w:r>
        <w:t xml:space="preserve">📈🔴🟢📉 </w:t>
      </w:r>
      <w:r>
        <w:rPr>
          <w:rFonts w:hint="eastAsia"/>
        </w:rPr>
        <w:t xml:space="preserve">主要指数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3811.9043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-0.7884%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8111.83亿元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12620.8970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-2.0696%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8709.26亿元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3036.6570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-3.1455%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4227.55亿元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1456.3239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-4.8158%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823.98亿元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4310.2765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-1.0864%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4462.08亿元</w:t>
            </w:r>
          </w:p>
        </w:tc>
      </w:tr>
    </w:tbl>
    <w:bookmarkEnd w:id="31"/>
    <w:bookmarkStart w:id="32" w:name="市场宽度与成交质量"/>
    <w:p>
      <w:pPr>
        <w:pStyle w:val="Heading3"/>
      </w:pPr>
      <w:r>
        <w:t xml:space="preserve">📊 </w:t>
      </w:r>
      <w:r>
        <w:rPr>
          <w:rFonts w:hint="eastAsia"/>
        </w:rPr>
        <w:t xml:space="preserve">市场宽度与成交质量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上涨1698家、下跌3748家、平盘111家，涨跌家数比为0.453。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全市场成交额16942.72亿元，较此前14500.49亿元增加2442.23亿元，增幅16.84%。</w:t>
      </w:r>
    </w:p>
    <w:p>
      <w:pPr>
        <w:pStyle w:val="Compact"/>
        <w:numPr>
          <w:ilvl w:val="0"/>
          <w:numId w:val="1027"/>
        </w:numPr>
      </w:pPr>
      <w:r>
        <w:rPr>
          <w:rStyle w:val="VerbatimChar"/>
        </w:rPr>
        <w:t xml:space="preserve">derived.market_turnover_quality</w:t>
      </w:r>
      <w:r>
        <w:rPr>
          <w:rFonts w:hint="eastAsia"/>
        </w:rPr>
        <w:t xml:space="preserve">判定为</w:t>
      </w:r>
      <w:r>
        <w:rPr>
          <w:rFonts w:hint="eastAsia"/>
          <w:b/>
          <w:bCs/>
        </w:rPr>
        <w:t xml:space="preserve">显著放量</w:t>
      </w:r>
      <w:r>
        <w:rPr>
          <w:rFonts w:hint="eastAsia"/>
        </w:rPr>
        <w:t xml:space="preserve">，但放量伴随科技成长大跌，属于分歧和风险释放，不是单纯增量做多。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TickFlow全市场快照因成交额与宽度校验不完整未采用；重点股趋势宽度仅覆盖10只样本，不能表述为全A股趋势宽度。</w:t>
      </w:r>
    </w:p>
    <w:bookmarkEnd w:id="32"/>
    <w:bookmarkStart w:id="33" w:name="行为金融观察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行为金融观察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风险评分为1，未触发FOMO、估值拥挤或高换手拥挤阈值。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但下跌家数显著多于上涨家数，科技核心股巨额双向成交，亏损厌恶和处置效应可能促使反弹时出现解套卖压。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今日最需要避免的偏差是“锚定历史高点后认为大跌必然便宜”，以及因宽基ETF流入而忽视个股趋势破位。</w:t>
      </w:r>
    </w:p>
    <w:bookmarkEnd w:id="33"/>
    <w:bookmarkEnd w:id="34"/>
    <w:bookmarkStart w:id="44" w:name="上一交易日资金四榜"/>
    <w:p>
      <w:pPr>
        <w:pStyle w:val="Heading2"/>
      </w:pPr>
      <w:r>
        <w:t xml:space="preserve">💰 </w:t>
      </w:r>
      <w:r>
        <w:rPr>
          <w:rFonts w:hint="eastAsia"/>
        </w:rPr>
        <w:t xml:space="preserve">上一交易日资金四榜</w:t>
      </w:r>
    </w:p>
    <w:p>
      <w:pPr>
        <w:pStyle w:val="BlockText"/>
      </w:pPr>
      <w:r>
        <w:rPr>
          <w:rFonts w:hint="eastAsia"/>
        </w:rPr>
        <w:t xml:space="preserve">交易日：2026-10-08｜时点：15:00｜口径：previous_close｜行业分类：申万二级行业｜来源：华泰skill</w:t>
      </w:r>
      <w:r>
        <w:br/>
      </w:r>
      <w:r>
        <w:rPr>
          <w:rFonts w:hint="eastAsia"/>
        </w:rPr>
        <w:t xml:space="preserve">以下仅展示上一交易日排名、名称、代码及主力净流入/净流出金额，不混入报告日盘中行情。</w:t>
      </w:r>
    </w:p>
    <w:bookmarkStart w:id="35" w:name="流出top10板块15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-159.85亿元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-97.31亿元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-20.80亿元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-20.49亿元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-18.89亿元</w:t>
            </w:r>
          </w:p>
        </w:tc>
      </w:tr>
    </w:tbl>
    <w:bookmarkEnd w:id="35"/>
    <w:bookmarkStart w:id="36" w:name="流出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-18.02亿元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-17.32亿元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-16.44亿元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电子化学品Ⅱ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-16.17亿元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-15.64亿元</w:t>
            </w:r>
          </w:p>
        </w:tc>
      </w:tr>
    </w:tbl>
    <w:bookmarkEnd w:id="36"/>
    <w:bookmarkStart w:id="37" w:name="流出top10个股15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-142.22亿元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-133.18亿元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-76.40亿元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-73.88亿元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</w:t>
            </w:r>
          </w:p>
        </w:tc>
        <w:tc>
          <w:tcPr/>
          <w:p>
            <w:pPr>
              <w:pStyle w:val="Compact"/>
            </w:pPr>
            <w:r>
              <w:t xml:space="preserve">688498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-69.08亿元</w:t>
            </w:r>
          </w:p>
        </w:tc>
      </w:tr>
    </w:tbl>
    <w:bookmarkEnd w:id="37"/>
    <w:bookmarkStart w:id="38" w:name="流出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-59.28亿元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</w:pPr>
            <w:r>
              <w:t xml:space="preserve">002384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-57.05亿元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300394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-49.80亿元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603986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-49.53亿元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</w:t>
            </w:r>
          </w:p>
        </w:tc>
        <w:tc>
          <w:tcPr/>
          <w:p>
            <w:pPr>
              <w:pStyle w:val="Compact"/>
            </w:pPr>
            <w:r>
              <w:t xml:space="preserve">600183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-35.92亿元</w:t>
            </w:r>
          </w:p>
        </w:tc>
      </w:tr>
    </w:tbl>
    <w:bookmarkEnd w:id="38"/>
    <w:bookmarkStart w:id="39" w:name="流入top10板块15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+29.19亿元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塑料制品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+8.44亿元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+7.04亿元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+4.63亿元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化学原料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+4.38亿元</w:t>
            </w:r>
          </w:p>
        </w:tc>
      </w:tr>
    </w:tbl>
    <w:bookmarkEnd w:id="39"/>
    <w:bookmarkStart w:id="40" w:name="流入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农产品加工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+4.37亿元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港口航运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+4.30亿元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煤炭开采加工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+4.26亿元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包装印刷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+3.76亿元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能源金属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+3.46亿元</w:t>
            </w:r>
          </w:p>
        </w:tc>
      </w:tr>
    </w:tbl>
    <w:bookmarkEnd w:id="40"/>
    <w:bookmarkStart w:id="41" w:name="流入top10个股15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+127.53亿元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+103.78亿元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+72.39亿元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+71.71亿元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</w:t>
            </w:r>
          </w:p>
        </w:tc>
        <w:tc>
          <w:tcPr/>
          <w:p>
            <w:pPr>
              <w:pStyle w:val="Compact"/>
            </w:pPr>
            <w:r>
              <w:t xml:space="preserve">688498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+69.17亿元</w:t>
            </w:r>
          </w:p>
        </w:tc>
      </w:tr>
    </w:tbl>
    <w:bookmarkEnd w:id="41"/>
    <w:bookmarkStart w:id="42" w:name="流入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+56.78亿元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</w:t>
            </w:r>
          </w:p>
        </w:tc>
        <w:tc>
          <w:tcPr/>
          <w:p>
            <w:pPr>
              <w:pStyle w:val="Compact"/>
            </w:pPr>
            <w:r>
              <w:t xml:space="preserve">600183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+39.85亿元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300394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+38.39亿元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</w:pPr>
            <w:r>
              <w:t xml:space="preserve">002384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+37.37亿元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澜起科技</w:t>
            </w:r>
          </w:p>
        </w:tc>
        <w:tc>
          <w:tcPr/>
          <w:p>
            <w:pPr>
              <w:pStyle w:val="Compact"/>
            </w:pPr>
            <w:r>
              <w:t xml:space="preserve">688008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+34.09亿元</w:t>
            </w:r>
          </w:p>
        </w:tc>
      </w:tr>
    </w:tbl>
    <w:bookmarkEnd w:id="42"/>
    <w:bookmarkStart w:id="43" w:name="资金结构解读"/>
    <w:p>
      <w:pPr>
        <w:pStyle w:val="Heading3"/>
      </w:pPr>
      <w:r>
        <w:t xml:space="preserve">💡 </w:t>
      </w:r>
      <w:r>
        <w:rPr>
          <w:rFonts w:hint="eastAsia"/>
        </w:rPr>
        <w:t xml:space="preserve">资金结构解读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中际旭创、长鑫科技、新易盛等同时进入流入和流出榜，说明高成交核心股发生巨额双向换手，不能把流入榜简单理解为净增仓确认。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半导体与通信设备板块净流出规模远高于其他行业，叠加隔夜美股半导体普跌，今日仍是主要风险源。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电池、电力、港口航运、煤炭获得净流入，显示资金向政策催化、能源安全和防御方向切换。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生益科技是核心成交股中少数昨日上涨的品种，但TickFlow技术评级仍为D，不能仅凭逆势上涨追入。</w:t>
      </w:r>
    </w:p>
    <w:bookmarkEnd w:id="43"/>
    <w:bookmarkEnd w:id="44"/>
    <w:bookmarkStart w:id="49" w:name="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两融·宽基ETF·成交额·恐慌联合信号</w:t>
      </w:r>
    </w:p>
    <w:bookmarkStart w:id="45" w:name="两融余额"/>
    <w:p>
      <w:pPr>
        <w:pStyle w:val="Heading3"/>
      </w:pPr>
      <w:r>
        <w:t xml:space="preserve">💳 </w:t>
      </w:r>
      <w:r>
        <w:rPr>
          <w:rFonts w:hint="eastAsia"/>
        </w:rPr>
        <w:t xml:space="preserve">两融余额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2026-09-30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2026-09-29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25698.53亿元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26089.90亿元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-391.38亿元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融资余额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25404.57亿元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25796.89亿元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-392.32亿元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融券余额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293.96亿元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293.01亿元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+0.94亿元</w:t>
            </w:r>
          </w:p>
        </w:tc>
      </w:tr>
    </w:tbl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实际最新结算日期为2026-09-30，数据显著早于报告日。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T+1滞后，报告日当日两融尚未发布。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两融余额下降主要由融资余额减少驱动，反映杠杆多头风险偏好收缩；融券余额小幅增加不是本轮总量变化的主要来源。</w:t>
      </w:r>
    </w:p>
    <w:bookmarkEnd w:id="45"/>
    <w:bookmarkStart w:id="46" w:name="宽基etf份额变化"/>
    <w:p>
      <w:pPr>
        <w:pStyle w:val="Heading3"/>
      </w:pPr>
      <w:r>
        <w:t xml:space="preserve">💰 </w:t>
      </w:r>
      <w:r>
        <w:rPr>
          <w:rFonts w:hint="eastAsia"/>
        </w:rPr>
        <w:t xml:space="preserve">宽基ETF份额变化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760"/>
        <w:gridCol w:w="1760"/>
        <w:gridCol w:w="17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最新日期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最新份额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份额变化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估算净申购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科创50ETF（588000）</w:t>
            </w:r>
          </w:p>
        </w:tc>
        <w:tc>
          <w:tcPr/>
          <w:p>
            <w:pPr>
              <w:pStyle w:val="Compact"/>
            </w:pPr>
            <w:r>
              <w:t xml:space="preserve">2026-10-08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605.426682亿份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+23.04亿份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+35.41248亿元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科创板50ETF（588080）</w:t>
            </w:r>
          </w:p>
        </w:tc>
        <w:tc>
          <w:tcPr/>
          <w:p>
            <w:pPr>
              <w:pStyle w:val="Compact"/>
            </w:pPr>
            <w:r>
              <w:t xml:space="preserve">2026-10-08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276.676281亿份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+5.64亿份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+8.40924亿元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创业板ETF（159915）</w:t>
            </w:r>
          </w:p>
        </w:tc>
        <w:tc>
          <w:tcPr/>
          <w:p>
            <w:pPr>
              <w:pStyle w:val="Compact"/>
            </w:pPr>
            <w:r>
              <w:t xml:space="preserve">2026-10-08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213.084549亿份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+6.99亿份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+21.34047亿元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沪深300ETF（510300）</w:t>
            </w:r>
          </w:p>
        </w:tc>
        <w:tc>
          <w:tcPr/>
          <w:p>
            <w:pPr>
              <w:pStyle w:val="Compact"/>
            </w:pPr>
            <w:r>
              <w:t xml:space="preserve">2026-10-08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240.637877亿份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-0.558亿份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-2.449062亿元</w:t>
            </w:r>
          </w:p>
        </w:tc>
      </w:tr>
    </w:tbl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科创50ETF、科创板50ETF均连续3个观察区间份额增加，并达到连续大额净申购标准。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创业板ETF最新区间转为净申购，但仅连续1个区间，尚未构成持续流入。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沪深300ETF连续区间净赎回，说明宽基资金并非全面流入，而是集中承接高波动科技宽基。</w:t>
      </w:r>
    </w:p>
    <w:bookmarkEnd w:id="46"/>
    <w:bookmarkStart w:id="47" w:name="成交额与恐慌指标"/>
    <w:p>
      <w:pPr>
        <w:pStyle w:val="Heading3"/>
      </w:pPr>
      <w:r>
        <w:t xml:space="preserve">📊 </w:t>
      </w:r>
      <w:r>
        <w:rPr>
          <w:rFonts w:hint="eastAsia"/>
        </w:rPr>
        <w:t xml:space="preserve">成交额与恐慌指标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上一交易日全市场成交额16942.72亿元，增加2442.23亿元，增幅16.84%，判定为显著放量。</w:t>
      </w:r>
    </w:p>
    <w:p>
      <w:pPr>
        <w:pStyle w:val="Compact"/>
        <w:numPr>
          <w:ilvl w:val="0"/>
          <w:numId w:val="1032"/>
        </w:numPr>
      </w:pPr>
      <w:r>
        <w:t xml:space="preserve">300ETF </w:t>
      </w:r>
      <w:r>
        <w:rPr>
          <w:rFonts w:hint="eastAsia"/>
        </w:rPr>
        <w:t xml:space="preserve">QVIX最新结算值15.96，结算日期为2026-09-30；前收盘17.20，下降7.2093%。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QVIX较20日峰值19.43回落17.8590%，并满足连续降温条件，但数据存在结算日期滞后。</w:t>
      </w:r>
    </w:p>
    <w:bookmarkEnd w:id="47"/>
    <w:bookmarkStart w:id="48" w:name="联合信号结论"/>
    <w:p>
      <w:pPr>
        <w:pStyle w:val="Heading3"/>
      </w:pPr>
      <w:r>
        <w:t xml:space="preserve">✅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 = confirmed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恐慌高位降温且宽基ETF持续流入已确认。</w:t>
      </w:r>
    </w:p>
    <w:p>
      <w:pPr>
        <w:pStyle w:val="BodyText"/>
      </w:pPr>
      <w:r>
        <w:rPr>
          <w:rFonts w:hint="eastAsia"/>
        </w:rPr>
        <w:t xml:space="preserve">但该信号代表系统性恐慌边际缓和，不代表半导体、CPO等已破位个股完成右侧反转。ETF承接与个股趋势修复必须分开判断。</w:t>
      </w:r>
    </w:p>
    <w:bookmarkEnd w:id="48"/>
    <w:bookmarkEnd w:id="49"/>
    <w:bookmarkStart w:id="51" w:name="市场风格预判偏价值偏权重偏防守"/>
    <w:p>
      <w:pPr>
        <w:pStyle w:val="Heading2"/>
      </w:pPr>
      <w:r>
        <w:t xml:space="preserve">🎨 </w:t>
      </w:r>
      <w:r>
        <w:rPr>
          <w:rFonts w:hint="eastAsia"/>
        </w:rPr>
        <w:t xml:space="preserve">市场风格预判：偏价值、偏权重、偏防守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上证指数跌幅小于创业板指和科创50，权重价值相对占优。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红利ETF昨日上涨1.4252%，而科创50ETF下跌4.8886%、芯片ETF下跌4.5584%。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隔夜道指上涨、纳指下跌，海外风格继续强化价值相对成长的优势。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今日基础预判为：</w:t>
      </w:r>
      <w:r>
        <w:rPr>
          <w:rFonts w:hint="eastAsia"/>
          <w:b/>
          <w:bCs/>
        </w:rPr>
        <w:t xml:space="preserve">红利价值与能源防御占优，科技成长先抑后分化，指数修复强于个股普涨。</w:t>
      </w:r>
    </w:p>
    <w:bookmarkStart w:id="50" w:name="风格切换确认条件"/>
    <w:p>
      <w:pPr>
        <w:pStyle w:val="Heading3"/>
      </w:pPr>
      <w:r>
        <w:t xml:space="preserve">💡 </w:t>
      </w:r>
      <w:r>
        <w:rPr>
          <w:rFonts w:hint="eastAsia"/>
        </w:rPr>
        <w:t xml:space="preserve">风格切换确认条件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若上证指数与沪深300率先企稳，而科创50继续弱势，维持权重防守。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若半导体、通信设备核心股止跌并出现板块资金同步回流，才考虑科技由退潮转向修复。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若上涨家数不能明显改善，即使指数翻红，也按权重护盘而非全面修复处理。</w:t>
      </w:r>
    </w:p>
    <w:bookmarkEnd w:id="50"/>
    <w:bookmarkEnd w:id="51"/>
    <w:bookmarkStart w:id="61" w:name="投资方向分层"/>
    <w:p>
      <w:pPr>
        <w:pStyle w:val="Heading2"/>
      </w:pPr>
      <w:r>
        <w:t xml:space="preserve">🧱 </w:t>
      </w:r>
      <w:r>
        <w:rPr>
          <w:rFonts w:hint="eastAsia"/>
        </w:rPr>
        <w:t xml:space="preserve">投资方向分层</w:t>
      </w:r>
    </w:p>
    <w:bookmarkStart w:id="54" w:name="可参与仅限触发后参与"/>
    <w:p>
      <w:pPr>
        <w:pStyle w:val="Heading3"/>
      </w:pPr>
      <w:r>
        <w:t xml:space="preserve">📈🔴 </w:t>
      </w:r>
      <w:r>
        <w:rPr>
          <w:rFonts w:hint="eastAsia"/>
        </w:rPr>
        <w:t xml:space="preserve">可参与：仅限触发后参与</w:t>
      </w:r>
    </w:p>
    <w:bookmarkStart w:id="52" w:name="红利电力与能源运输"/>
    <w:p>
      <w:pPr>
        <w:pStyle w:val="Heading4"/>
      </w:pPr>
      <w:r>
        <w:t xml:space="preserve">1. </w:t>
      </w:r>
      <w:r>
        <w:rPr>
          <w:rFonts w:hint="eastAsia"/>
        </w:rPr>
        <w:t xml:space="preserve">红利、电力与能源运输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红利ETF昨日上涨1.4252%，表现显著强于主要成长ETF。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电力、港口航运、煤炭开采加工分别主力净流入7.04亿元、4.30亿元、4.26亿元。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中东与霍尔木兹海峡风险提供能源安全和运输价格催化，但WTI原油当下仍下跌0.53%。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核心标的：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红利ETF（510880）：昨日收盘3.416，日内低点3.369。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港口航运、电力方向具体个股的TickFlow右侧评级未提供，个股级买点为</w:t>
      </w:r>
      <w:r>
        <w:rPr>
          <w:rFonts w:hint="eastAsia"/>
          <w:b/>
          <w:bCs/>
        </w:rPr>
        <w:t xml:space="preserve">暂缺确认</w:t>
      </w:r>
      <w:r>
        <w:t xml:space="preserve">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红利ETF回踩3.416附近承接有效，并保持在3.369上方。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电力、港口航运板块资金继续净流入，且不是单纯地缘消息高开回落。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红利ETF跌破3.369。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原油和航运价格未响应地缘风险，板块高开后放量回落。</w:t>
      </w:r>
    </w:p>
    <w:bookmarkEnd w:id="52"/>
    <w:bookmarkStart w:id="53" w:name="药明康德a评级但等待重新确认"/>
    <w:p>
      <w:pPr>
        <w:pStyle w:val="Heading4"/>
      </w:pPr>
      <w:r>
        <w:t xml:space="preserve">2. </w:t>
      </w:r>
      <w:r>
        <w:rPr>
          <w:rFonts w:hint="eastAsia"/>
        </w:rPr>
        <w:t xml:space="preserve">药明康德：A评级但等待重新确认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TickFlow截至2026-09-30给予药明康德A评级：收盘167.34，高于MA20的159.318和MA60的147.2483。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60日高点167.96，量比1.3709，距离60日高点仅0.37%，当时符合右侧趋势确认特征。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但2026-10-08最新收盘价为162.00，已低于167.96触发参考位，昨日跌幅3.19%，不能直接沿用9月30日的突破状态。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收盘重新站稳167.96，且量比不低于1.2；或缩量回踩MA20后重新放量。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不接受盘中瞬时突破，不追高。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41"/>
        </w:numPr>
      </w:pPr>
      <w:r>
        <w:t xml:space="preserve">TickFlow </w:t>
      </w:r>
      <w:r>
        <w:rPr>
          <w:rFonts w:hint="eastAsia"/>
        </w:rPr>
        <w:t xml:space="preserve">ATR证伪参考位156.241被有效跌破。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医药资金继续大幅流出，个股无法独立走强。</w:t>
      </w:r>
    </w:p>
    <w:bookmarkEnd w:id="53"/>
    <w:bookmarkEnd w:id="54"/>
    <w:bookmarkStart w:id="57" w:name="只观察政策和资金有支撑但趋势未确认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只观察：政策和资金有支撑，但趋势未确认</w:t>
      </w:r>
    </w:p>
    <w:bookmarkStart w:id="55" w:name="电池与循环经济"/>
    <w:p>
      <w:pPr>
        <w:pStyle w:val="Heading4"/>
      </w:pPr>
      <w:r>
        <w:t xml:space="preserve">1. </w:t>
      </w:r>
      <w:r>
        <w:rPr>
          <w:rFonts w:hint="eastAsia"/>
        </w:rPr>
        <w:t xml:space="preserve">电池与循环经济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电池板块昨日主力净流入29.19亿元，居板块流入榜第一。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新闻联播明确强化动力电池回收、充电基础设施和全链条循环经济。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宁德时代2026年中报营收同比增长54.8%、净利润同比增长45.31%，PE(TTM)为15.61倍。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核心标的与评级：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宁德时代（300750）：TickFlow</w:t>
      </w:r>
      <w:r>
        <w:t xml:space="preserve"> </w:t>
      </w:r>
      <w:r>
        <w:rPr>
          <w:rFonts w:hint="eastAsia"/>
        </w:rPr>
        <w:t xml:space="preserve">D评级。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截至2026-09-30，收盘291.11，MA20为318.461，MA60为361.148，趋势破位。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先收复MA20，再收复MA60，并出现缩量回踩不破后的放量确认。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当前不因政策利好或估值较低提前左侧买入。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电池板块主力资金由流入转为持续流出。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宁德时代无法收复MA20，或继续放量下跌。</w:t>
      </w:r>
    </w:p>
    <w:bookmarkEnd w:id="55"/>
    <w:bookmarkStart w:id="56" w:name="具身智能与自动化设备"/>
    <w:p>
      <w:pPr>
        <w:pStyle w:val="Heading4"/>
      </w:pPr>
      <w:r>
        <w:t xml:space="preserve">2. </w:t>
      </w:r>
      <w:r>
        <w:rPr>
          <w:rFonts w:hint="eastAsia"/>
        </w:rPr>
        <w:t xml:space="preserve">具身智能与自动化设备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具身智能训练场、行业标准与规模部署获得国家级产业信号。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但昨日通用设备净流出20.80亿元，自动化设备净流出20.49亿元。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政策方向明确，短线量价与资金方向不一致。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自动化设备与通用设备同时停止净流出。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具备业绩和订单支撑的中军率先站回MA20，而非小市值题材股单点冲高。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政策刺激仅形成高开低走。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板块继续放量下跌，资金承接没有改善。</w:t>
      </w:r>
    </w:p>
    <w:bookmarkEnd w:id="56"/>
    <w:bookmarkEnd w:id="57"/>
    <w:bookmarkStart w:id="60" w:name="应回避半导体cpo及高位异动股"/>
    <w:p>
      <w:pPr>
        <w:pStyle w:val="Heading3"/>
      </w:pPr>
      <w:r>
        <w:t xml:space="preserve">🟢📉 </w:t>
      </w:r>
      <w:r>
        <w:rPr>
          <w:rFonts w:hint="eastAsia"/>
        </w:rPr>
        <w:t xml:space="preserve">应回避：半导体、CPO及高位异动股</w:t>
      </w:r>
    </w:p>
    <w:bookmarkStart w:id="58" w:name="半导体存储与cpo"/>
    <w:p>
      <w:pPr>
        <w:pStyle w:val="Heading4"/>
      </w:pPr>
      <w:r>
        <w:t xml:space="preserve">1. </w:t>
      </w:r>
      <w:r>
        <w:rPr>
          <w:rFonts w:hint="eastAsia"/>
        </w:rPr>
        <w:t xml:space="preserve">半导体、存储与CPO</w:t>
      </w:r>
    </w:p>
    <w:p>
      <w:pPr>
        <w:pStyle w:val="FirstParagraph"/>
      </w:pPr>
      <w:r>
        <w:rPr>
          <w:rFonts w:hint="eastAsia"/>
          <w:b/>
          <w:bCs/>
        </w:rPr>
        <w:t xml:space="preserve">风险证据：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半导体、通信设备昨日分别净流出159.85亿元、97.31亿元。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英伟达、AMD、台积电、博通、美光隔夜全部下跌，美光跌幅达到4.79%。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重点股样本中，中际旭创、新易盛、兆易创新、天孚通信、生益科技、寒武纪、东山精密均为D评级。</w:t>
      </w:r>
    </w:p>
    <w:p>
      <w:pPr>
        <w:pStyle w:val="FirstParagraph"/>
      </w:pPr>
      <w:r>
        <w:rPr>
          <w:rFonts w:hint="eastAsia"/>
          <w:b/>
          <w:bCs/>
        </w:rPr>
        <w:t xml:space="preserve">重点股技术状态：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MA60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878.300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942.963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回避，等重新站回双均线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415.562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440.411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回避，趋势破位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377.832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422.846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回避，距60日高点较远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1077.2215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1145.7757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回避，未形成右侧确认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186.554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200.3382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回避，昨日跌停后不抄底</w:t>
            </w:r>
          </w:p>
        </w:tc>
      </w:tr>
    </w:tbl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上述技术指标截至2026-09-30，属于重点股日K校验，不是2026-10-09实时分时数据。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长鑫科技因MA60历史数据不足，评级因技术数据不足暂不评级，不做趋势判断。</w:t>
      </w:r>
    </w:p>
    <w:bookmarkEnd w:id="58"/>
    <w:bookmarkStart w:id="59" w:name="严重异常波动与监管风险股"/>
    <w:p>
      <w:pPr>
        <w:pStyle w:val="Heading4"/>
      </w:pPr>
      <w:r>
        <w:t xml:space="preserve">2. </w:t>
      </w:r>
      <w:r>
        <w:rPr>
          <w:rFonts w:hint="eastAsia"/>
        </w:rPr>
        <w:t xml:space="preserve">严重异常波动与监管风险股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新华传媒已发布严重异常波动风险提示，注意力交易和羊群效应风险突出。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金浦钛业、光正眼科涉及行政处罚事项。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减持、解禁、延期复牌及停产整改相关个股均不纳入今日主动进攻池。</w:t>
      </w:r>
    </w:p>
    <w:bookmarkEnd w:id="59"/>
    <w:bookmarkEnd w:id="60"/>
    <w:bookmarkEnd w:id="61"/>
    <w:bookmarkStart w:id="65" w:name="今日操作策略三档仓位"/>
    <w:p>
      <w:pPr>
        <w:pStyle w:val="Heading2"/>
      </w:pPr>
      <w:r>
        <w:t xml:space="preserve">💡 </w:t>
      </w:r>
      <w:r>
        <w:rPr>
          <w:rFonts w:hint="eastAsia"/>
        </w:rPr>
        <w:t xml:space="preserve">今日操作策略：三档仓位</w:t>
      </w:r>
    </w:p>
    <w:bookmarkStart w:id="62" w:name="保守档18"/>
    <w:p>
      <w:pPr>
        <w:pStyle w:val="Heading3"/>
      </w:pPr>
      <w:r>
        <w:t xml:space="preserve">🛡️ </w:t>
      </w:r>
      <w:r>
        <w:rPr>
          <w:rFonts w:hint="eastAsia"/>
        </w:rPr>
        <w:t xml:space="preserve">保守档：18%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半导体、通信继续领跌。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上涨家数没有明显改善。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A50期指维持弱势，科技宽基高开低走。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以红利、防御底仓为主。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不抄底D评级科技股。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保留82%现金等待午盘确认。</w:t>
      </w:r>
    </w:p>
    <w:bookmarkEnd w:id="62"/>
    <w:bookmarkStart w:id="63" w:name="平衡档33"/>
    <w:p>
      <w:pPr>
        <w:pStyle w:val="Heading3"/>
      </w:pPr>
      <w:r>
        <w:t xml:space="preserve">⚖️ </w:t>
      </w:r>
      <w:r>
        <w:rPr>
          <w:rFonts w:hint="eastAsia"/>
        </w:rPr>
        <w:t xml:space="preserve">平衡档：33%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上证指数与沪深300企稳。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宽基ETF承接继续存在。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电力、能源运输或消费方向出现资金持续流入。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防守方向20%，右侧确认方向13%。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单一方向不集中重仓。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药明康德必须重新站稳167.96后才进入候选。</w:t>
      </w:r>
    </w:p>
    <w:bookmarkEnd w:id="63"/>
    <w:bookmarkStart w:id="64" w:name="积极档43"/>
    <w:p>
      <w:pPr>
        <w:pStyle w:val="Heading3"/>
      </w:pPr>
      <w:r>
        <w:t xml:space="preserve">🚀 </w:t>
      </w:r>
      <w:r>
        <w:rPr>
          <w:rFonts w:hint="eastAsia"/>
        </w:rPr>
        <w:t xml:space="preserve">积极档：43%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指数放量修复，市场上涨家数明显改善。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科技成长不再扩大跌幅，核心股至少收复短期关键均线。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外资风险偏好、A50期指和离岸人民币同步改善。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仅在确认后由33%提高至43%。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不因盘中急拉一步加满。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即使满足积极条件，也不突破模型50%的仓位上限。</w:t>
      </w:r>
    </w:p>
    <w:bookmarkEnd w:id="64"/>
    <w:bookmarkEnd w:id="65"/>
    <w:bookmarkStart w:id="68" w:name="仓位模型量化推导"/>
    <w:p>
      <w:pPr>
        <w:pStyle w:val="Heading2"/>
      </w:pPr>
      <w:r>
        <w:t xml:space="preserve">🧮 </w:t>
      </w:r>
      <w:r>
        <w:rPr>
          <w:rFonts w:hint="eastAsia"/>
        </w:rPr>
        <w:t xml:space="preserve">仓位模型：量化推导</w:t>
      </w:r>
    </w:p>
    <w:p>
      <w:pPr>
        <w:pStyle w:val="FirstParagraph"/>
      </w:pPr>
      <w:r>
        <w:rPr>
          <w:rStyle w:val="VerbatimChar"/>
        </w:rPr>
        <w:t xml:space="preserve">derived.position_model</w:t>
      </w:r>
      <w:r>
        <w:rPr>
          <w:rFonts w:hint="eastAsia"/>
        </w:rPr>
        <w:t xml:space="preserve">输出：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档位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模型仓位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保守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平衡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积极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最大仓位上限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50%</w:t>
            </w:r>
          </w:p>
        </w:tc>
      </w:tr>
    </w:tbl>
    <w:bookmarkStart w:id="66" w:name="加减分依据"/>
    <w:p>
      <w:pPr>
        <w:pStyle w:val="Heading3"/>
      </w:pPr>
      <w:r>
        <w:t xml:space="preserve">📊 </w:t>
      </w:r>
      <w:r>
        <w:rPr>
          <w:rFonts w:hint="eastAsia"/>
        </w:rPr>
        <w:t xml:space="preserve">加减分依据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涨跌家数比0.453，对仓位模型贡献为-15分。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全市场成交额16942.72亿元，增加2442.23亿元、增幅16.84%，显著放量贡献+8分。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成交放量发生在指数和多数个股下跌背景下，因此不能将全部+8分视为进攻资金。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隔夜半导体普跌构成额外风险约束；科创宽基ETF连续净申购与QVIX降温则提供下方承接。</w:t>
      </w:r>
    </w:p>
    <w:bookmarkEnd w:id="66"/>
    <w:bookmarkStart w:id="67" w:name="最终仓位结论"/>
    <w:p>
      <w:pPr>
        <w:pStyle w:val="Heading3"/>
      </w:pPr>
      <w:r>
        <w:t xml:space="preserve">💡 </w:t>
      </w:r>
      <w:r>
        <w:rPr>
          <w:rFonts w:hint="eastAsia"/>
        </w:rPr>
        <w:t xml:space="preserve">最终仓位结论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  <w:b/>
          <w:bCs/>
        </w:rPr>
        <w:t xml:space="preserve">盘前基础仓位：18%—33%。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开盘后若仅指数权重稳定而个股宽度未改善，维持18%。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只有指数、宽度、资金和右侧结构共同改善，才提升至33%。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43%属于确认后的积极档，不是开盘默认仓位。</w:t>
      </w:r>
    </w:p>
    <w:bookmarkEnd w:id="67"/>
    <w:bookmarkEnd w:id="68"/>
    <w:bookmarkStart w:id="69" w:name="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回避清单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  <w:b/>
          <w:bCs/>
        </w:rPr>
        <w:t xml:space="preserve">半导体与CPO抄底：</w:t>
      </w:r>
      <w:r>
        <w:rPr>
          <w:rFonts w:hint="eastAsia"/>
        </w:rPr>
        <w:t xml:space="preserve">板块资金大幅流出，隔夜海外映射继续下跌。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  <w:b/>
          <w:bCs/>
        </w:rPr>
        <w:t xml:space="preserve">D评级重点股：</w:t>
      </w:r>
      <w:r>
        <w:rPr>
          <w:rFonts w:hint="eastAsia"/>
        </w:rPr>
        <w:t xml:space="preserve">中际旭创、新易盛、宁德时代、兆易创新、天孚通信、生益科技、寒武纪、东山精密。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  <w:b/>
          <w:bCs/>
        </w:rPr>
        <w:t xml:space="preserve">数据不足标的：</w:t>
      </w:r>
      <w:r>
        <w:rPr>
          <w:rFonts w:hint="eastAsia"/>
        </w:rPr>
        <w:t xml:space="preserve">长鑫科技MA60不足，技术评级因技术数据不足暂不评级，不依据单日跌幅做判断。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  <w:b/>
          <w:bCs/>
        </w:rPr>
        <w:t xml:space="preserve">严重异常波动股：</w:t>
      </w:r>
      <w:r>
        <w:rPr>
          <w:rFonts w:hint="eastAsia"/>
        </w:rPr>
        <w:t xml:space="preserve">新华传媒等已披露风险提示的高关注度品种。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  <w:b/>
          <w:bCs/>
        </w:rPr>
        <w:t xml:space="preserve">处罚与停产整改股：</w:t>
      </w:r>
      <w:r>
        <w:rPr>
          <w:rFonts w:hint="eastAsia"/>
        </w:rPr>
        <w:t xml:space="preserve">金浦钛业、光正眼科。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  <w:b/>
          <w:bCs/>
        </w:rPr>
        <w:t xml:space="preserve">减持与解禁股：</w:t>
      </w:r>
      <w:r>
        <w:rPr>
          <w:rFonts w:hint="eastAsia"/>
        </w:rPr>
        <w:t xml:space="preserve">未经开盘承接验证，不参与抢跑。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  <w:b/>
          <w:bCs/>
        </w:rPr>
        <w:t xml:space="preserve">纯地缘高开股：</w:t>
      </w:r>
      <w:r>
        <w:rPr>
          <w:rFonts w:hint="eastAsia"/>
        </w:rPr>
        <w:t xml:space="preserve">原油当下未同步上涨，油气和航运若大幅高开不追。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  <w:b/>
          <w:bCs/>
        </w:rPr>
        <w:t xml:space="preserve">政策新闻直接映射的小市值概念股：</w:t>
      </w:r>
      <w:r>
        <w:rPr>
          <w:rFonts w:hint="eastAsia"/>
        </w:rPr>
        <w:t xml:space="preserve">具身智能、循环经济必须先有资金和量价确认。</w:t>
      </w:r>
    </w:p>
    <w:bookmarkEnd w:id="69"/>
    <w:bookmarkStart w:id="71" w:name="风险日历"/>
    <w:p>
      <w:pPr>
        <w:pStyle w:val="Heading2"/>
      </w:pPr>
      <w:r>
        <w:t xml:space="preserve">⚠️ </w:t>
      </w:r>
      <w:r>
        <w:rPr>
          <w:rFonts w:hint="eastAsia"/>
        </w:rPr>
        <w:t xml:space="preserve">风险日历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日期/时点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风险事项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观察重点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2026-10-09盘前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美股半导体全线下跌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A股半导体、存储、CPO低开幅度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2026-10-09开盘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A50期指下跌0.31%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权重指数是否低开后企稳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2026-10-09盘中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中东及霍尔木兹海峡风险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油价、油运是否同步确认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2026-10-09盘中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大量业绩、回购、减持公告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个股是否高开低走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后续结算更新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两融与QVIX数据滞后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最新杠杆和波动率是否改变结论</w:t>
            </w:r>
          </w:p>
        </w:tc>
      </w:tr>
    </w:tbl>
    <w:bookmarkStart w:id="70" w:name="主要证伪点"/>
    <w:p>
      <w:pPr>
        <w:pStyle w:val="Heading3"/>
      </w:pPr>
      <w:r>
        <w:t xml:space="preserve">⚠️ </w:t>
      </w:r>
      <w:r>
        <w:rPr>
          <w:rFonts w:hint="eastAsia"/>
        </w:rPr>
        <w:t xml:space="preserve">主要证伪点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科创50ETF虽连续净申购，但科创50继续放量下跌，说明ETF承接仍不足以扭转趋势。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QVIX数据停留在2026-09-30，若后续波动率重新抬升，恐慌降温结论需要重评。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离岸人民币稳定但A50与港股继续下跌，说明汇率稳定未能转化为权益风险偏好。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红利和能源若高开低走，防守主线也需主动降仓。</w:t>
      </w:r>
    </w:p>
    <w:bookmarkEnd w:id="70"/>
    <w:bookmarkEnd w:id="71"/>
    <w:bookmarkStart w:id="73" w:name="外资与离岸风险偏好"/>
    <w:p>
      <w:pPr>
        <w:pStyle w:val="Heading2"/>
      </w:pPr>
      <w:r>
        <w:t xml:space="preserve">🌏 </w:t>
      </w:r>
      <w:r>
        <w:rPr>
          <w:rFonts w:hint="eastAsia"/>
        </w:rPr>
        <w:t xml:space="preserve">外资与离岸风险偏好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富时中国A50期指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13675.0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-0.31%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A股开盘偏谨慎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恒生指数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24130.5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-1.43%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港股风险偏好偏弱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美元兑离岸人民币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6.7030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人民币边际稳定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COMEX黄金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4168.657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+0.28%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避险需求仍在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伦铜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14304.4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🟢📉 -0.03%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全球增长预期中性偏弱</w:t>
            </w:r>
          </w:p>
        </w:tc>
      </w:tr>
    </w:tbl>
    <w:bookmarkStart w:id="72" w:name="综合判断"/>
    <w:p>
      <w:pPr>
        <w:pStyle w:val="Heading3"/>
      </w:pPr>
      <w:r>
        <w:t xml:space="preserve">💡 </w:t>
      </w:r>
      <w:r>
        <w:rPr>
          <w:rFonts w:hint="eastAsia"/>
        </w:rPr>
        <w:t xml:space="preserve">综合判断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人民币没有出现明显贬值压力，是A股的重要稳定因素。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A50期指与恒生指数偏弱，说明离岸权益资金仍然谨慎。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黄金上涨、科技股下跌，体现避险资产相对占优。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外资风险偏好尚未形成全面回升，今日以确认后交易为主，不预判大反攻。</w:t>
      </w:r>
    </w:p>
    <w:bookmarkEnd w:id="72"/>
    <w:bookmarkEnd w:id="73"/>
    <w:bookmarkStart w:id="74" w:name="今日观察顺序"/>
    <w:p>
      <w:pPr>
        <w:pStyle w:val="Heading2"/>
      </w:pPr>
      <w:r>
        <w:t xml:space="preserve">🎯 </w:t>
      </w:r>
      <w:r>
        <w:rPr>
          <w:rFonts w:hint="eastAsia"/>
        </w:rPr>
        <w:t xml:space="preserve">今日观察顺序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先看A50期指和离岸人民币是否继续稳定。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再看上证指数、沪深300能否率先止跌。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观察电力、港口航运、煤炭和红利是否延续资金流入。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检查半导体与CPO是否停止放量下跌，而不是只看跌幅。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药明康德只有重新站稳167.96才进入右侧候选。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若市场宽度没有改善，任何指数翻红均按权重护盘处理。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生成时间：2026-10-09</w:t>
      </w:r>
      <w:r>
        <w:t xml:space="preserve"> 08:34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74"/>
    <w:bookmarkEnd w:id="7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2026-10-09T01:04:00Z</dcterms:created>
  <dcterms:modified xsi:type="dcterms:W3CDTF">2026-10-09T01:04:00Z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