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71" w:name="奇迹早知道2026年10月8日盘前简报"/>
    <w:p>
      <w:pPr>
        <w:pStyle w:val="Heading1"/>
      </w:pPr>
      <w:r>
        <w:t xml:space="preserve">🌅 </w:t>
      </w:r>
      <w:r>
        <w:rPr>
          <w:rFonts w:hint="eastAsia"/>
        </w:rPr>
        <w:t xml:space="preserve">奇迹早知道｜2026年10月8日盘前简报</w:t>
      </w:r>
    </w:p>
    <w:bookmarkStart w:id="12" w:name="一隔夜全球市场风险偏好偏谨慎半导体内部显著分化"/>
    <w:p>
      <w:pPr>
        <w:pStyle w:val="Heading2"/>
      </w:pPr>
      <w:r>
        <w:t xml:space="preserve">🌍 </w:t>
      </w:r>
      <w:r>
        <w:rPr>
          <w:rFonts w:hint="eastAsia"/>
        </w:rPr>
        <w:t xml:space="preserve">一、隔夜全球市场：风险偏好偏谨慎，半导体内部显著分化</w:t>
      </w:r>
    </w:p>
    <w:bookmarkStart w:id="9" w:name="美股三大指数"/>
    <w:p>
      <w:pPr>
        <w:pStyle w:val="Heading3"/>
      </w:pPr>
      <w:r>
        <w:t xml:space="preserve">📉 </w:t>
      </w:r>
      <w:r>
        <w:rPr>
          <w:rFonts w:hint="eastAsia"/>
        </w:rPr>
        <w:t xml:space="preserve">美股三大指数</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指数</w:t>
            </w:r>
          </w:p>
        </w:tc>
        <w:tc>
          <w:tcPr/>
          <w:p>
            <w:pPr>
              <w:pStyle w:val="Compact"/>
              <w:jc w:val="right"/>
            </w:pPr>
            <w:r>
              <w:rPr>
                <w:rFonts w:hint="eastAsia"/>
              </w:rPr>
              <w:t xml:space="preserve">收盘点位</w:t>
            </w:r>
          </w:p>
        </w:tc>
        <w:tc>
          <w:tcPr/>
          <w:p>
            <w:pPr>
              <w:pStyle w:val="Compact"/>
              <w:jc w:val="right"/>
            </w:pPr>
            <w:r>
              <w:rPr>
                <w:rFonts w:hint="eastAsia"/>
              </w:rPr>
              <w:t xml:space="preserve">涨跌幅</w:t>
            </w:r>
          </w:p>
        </w:tc>
        <w:tc>
          <w:tcPr/>
          <w:p>
            <w:pPr>
              <w:pStyle w:val="Compact"/>
            </w:pPr>
            <w:r>
              <w:rPr>
                <w:rFonts w:hint="eastAsia"/>
              </w:rPr>
              <w:t xml:space="preserve">盘前含义</w:t>
            </w:r>
          </w:p>
        </w:tc>
      </w:tr>
      <w:tr>
        <w:tc>
          <w:tcPr/>
          <w:p>
            <w:pPr>
              <w:pStyle w:val="Compact"/>
            </w:pPr>
            <w:r>
              <w:rPr>
                <w:rFonts w:hint="eastAsia"/>
              </w:rPr>
              <w:t xml:space="preserve">道琼斯</w:t>
            </w:r>
          </w:p>
        </w:tc>
        <w:tc>
          <w:tcPr/>
          <w:p>
            <w:pPr>
              <w:pStyle w:val="Compact"/>
              <w:jc w:val="right"/>
            </w:pPr>
            <w:r>
              <w:t xml:space="preserve">51179.8711</w:t>
            </w:r>
          </w:p>
        </w:tc>
        <w:tc>
          <w:tcPr/>
          <w:p>
            <w:pPr>
              <w:pStyle w:val="Compact"/>
              <w:jc w:val="right"/>
            </w:pPr>
            <w:r>
              <w:t xml:space="preserve">🟢 -0.66%</w:t>
            </w:r>
          </w:p>
        </w:tc>
        <w:tc>
          <w:tcPr/>
          <w:p>
            <w:pPr>
              <w:pStyle w:val="Compact"/>
            </w:pPr>
            <w:r>
              <w:rPr>
                <w:rFonts w:hint="eastAsia"/>
              </w:rPr>
              <w:t xml:space="preserve">周期与权重承压</w:t>
            </w:r>
          </w:p>
        </w:tc>
      </w:tr>
      <w:tr>
        <w:tc>
          <w:tcPr/>
          <w:p>
            <w:pPr>
              <w:pStyle w:val="Compact"/>
            </w:pPr>
            <w:r>
              <w:rPr>
                <w:rFonts w:hint="eastAsia"/>
              </w:rPr>
              <w:t xml:space="preserve">纳斯达克</w:t>
            </w:r>
          </w:p>
        </w:tc>
        <w:tc>
          <w:tcPr/>
          <w:p>
            <w:pPr>
              <w:pStyle w:val="Compact"/>
              <w:jc w:val="right"/>
            </w:pPr>
            <w:r>
              <w:t xml:space="preserve">27538.6907</w:t>
            </w:r>
          </w:p>
        </w:tc>
        <w:tc>
          <w:tcPr/>
          <w:p>
            <w:pPr>
              <w:pStyle w:val="Compact"/>
              <w:jc w:val="right"/>
            </w:pPr>
            <w:r>
              <w:t xml:space="preserve">🟢 -0.22%</w:t>
            </w:r>
          </w:p>
        </w:tc>
        <w:tc>
          <w:tcPr/>
          <w:p>
            <w:pPr>
              <w:pStyle w:val="Compact"/>
            </w:pPr>
            <w:r>
              <w:rPr>
                <w:rFonts w:hint="eastAsia"/>
              </w:rPr>
              <w:t xml:space="preserve">科技风险偏好小幅降温</w:t>
            </w:r>
          </w:p>
        </w:tc>
      </w:tr>
      <w:tr>
        <w:tc>
          <w:tcPr/>
          <w:p>
            <w:pPr>
              <w:pStyle w:val="Compact"/>
            </w:pPr>
            <w:r>
              <w:rPr>
                <w:rFonts w:hint="eastAsia"/>
              </w:rPr>
              <w:t xml:space="preserve">标普500</w:t>
            </w:r>
          </w:p>
        </w:tc>
        <w:tc>
          <w:tcPr/>
          <w:p>
            <w:pPr>
              <w:pStyle w:val="Compact"/>
              <w:jc w:val="right"/>
            </w:pPr>
            <w:r>
              <w:t xml:space="preserve">7801.7700</w:t>
            </w:r>
          </w:p>
        </w:tc>
        <w:tc>
          <w:tcPr/>
          <w:p>
            <w:pPr>
              <w:pStyle w:val="Compact"/>
              <w:jc w:val="right"/>
            </w:pPr>
            <w:r>
              <w:t xml:space="preserve">🟢 -0.22%</w:t>
            </w:r>
          </w:p>
        </w:tc>
        <w:tc>
          <w:tcPr/>
          <w:p>
            <w:pPr>
              <w:pStyle w:val="Compact"/>
            </w:pPr>
            <w:r>
              <w:rPr>
                <w:rFonts w:hint="eastAsia"/>
              </w:rPr>
              <w:t xml:space="preserve">整体偏弱但未出现显著恐慌</w:t>
            </w:r>
          </w:p>
        </w:tc>
      </w:tr>
    </w:tbl>
    <w:bookmarkEnd w:id="9"/>
    <w:bookmarkStart w:id="10" w:name="五只核心半导体个股"/>
    <w:p>
      <w:pPr>
        <w:pStyle w:val="Heading3"/>
      </w:pPr>
      <w:r>
        <w:t xml:space="preserve">🧠 </w:t>
      </w:r>
      <w:r>
        <w:rPr>
          <w:rFonts w:hint="eastAsia"/>
        </w:rPr>
        <w:t xml:space="preserve">五只核心半导体个股</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个股</w:t>
            </w:r>
          </w:p>
        </w:tc>
        <w:tc>
          <w:tcPr/>
          <w:p>
            <w:pPr>
              <w:pStyle w:val="Compact"/>
              <w:jc w:val="right"/>
            </w:pPr>
            <w:r>
              <w:rPr>
                <w:rFonts w:hint="eastAsia"/>
              </w:rPr>
              <w:t xml:space="preserve">收盘价</w:t>
            </w:r>
          </w:p>
        </w:tc>
        <w:tc>
          <w:tcPr/>
          <w:p>
            <w:pPr>
              <w:pStyle w:val="Compact"/>
              <w:jc w:val="right"/>
            </w:pPr>
            <w:r>
              <w:rPr>
                <w:rFonts w:hint="eastAsia"/>
              </w:rPr>
              <w:t xml:space="preserve">涨跌幅</w:t>
            </w:r>
          </w:p>
        </w:tc>
        <w:tc>
          <w:tcPr/>
          <w:p>
            <w:pPr>
              <w:pStyle w:val="Compact"/>
            </w:pPr>
            <w:r>
              <w:rPr>
                <w:rFonts w:hint="eastAsia"/>
              </w:rPr>
              <w:t xml:space="preserve">映射判断</w:t>
            </w:r>
          </w:p>
        </w:tc>
      </w:tr>
      <w:tr>
        <w:tc>
          <w:tcPr/>
          <w:p>
            <w:pPr>
              <w:pStyle w:val="Compact"/>
            </w:pPr>
            <w:r>
              <w:rPr>
                <w:rFonts w:hint="eastAsia"/>
              </w:rPr>
              <w:t xml:space="preserve">英伟达</w:t>
            </w:r>
          </w:p>
        </w:tc>
        <w:tc>
          <w:tcPr/>
          <w:p>
            <w:pPr>
              <w:pStyle w:val="Compact"/>
              <w:jc w:val="right"/>
            </w:pPr>
            <w:r>
              <w:rPr>
                <w:rFonts w:hint="eastAsia"/>
              </w:rPr>
              <w:t xml:space="preserve">237.47美元</w:t>
            </w:r>
          </w:p>
        </w:tc>
        <w:tc>
          <w:tcPr/>
          <w:p>
            <w:pPr>
              <w:pStyle w:val="Compact"/>
              <w:jc w:val="right"/>
            </w:pPr>
            <w:r>
              <w:t xml:space="preserve">🟢 -0.74%</w:t>
            </w:r>
          </w:p>
        </w:tc>
        <w:tc>
          <w:tcPr/>
          <w:p>
            <w:pPr>
              <w:pStyle w:val="Compact"/>
            </w:pPr>
            <w:r>
              <w:rPr>
                <w:rFonts w:hint="eastAsia"/>
              </w:rPr>
              <w:t xml:space="preserve">AI算力链情绪偏弱</w:t>
            </w:r>
          </w:p>
        </w:tc>
      </w:tr>
      <w:tr>
        <w:tc>
          <w:tcPr/>
          <w:p>
            <w:pPr>
              <w:pStyle w:val="Compact"/>
            </w:pPr>
            <w:r>
              <w:t xml:space="preserve">AMD</w:t>
            </w:r>
          </w:p>
        </w:tc>
        <w:tc>
          <w:tcPr/>
          <w:p>
            <w:pPr>
              <w:pStyle w:val="Compact"/>
              <w:jc w:val="right"/>
            </w:pPr>
            <w:r>
              <w:rPr>
                <w:rFonts w:hint="eastAsia"/>
              </w:rPr>
              <w:t xml:space="preserve">645.86美元</w:t>
            </w:r>
          </w:p>
        </w:tc>
        <w:tc>
          <w:tcPr/>
          <w:p>
            <w:pPr>
              <w:pStyle w:val="Compact"/>
              <w:jc w:val="right"/>
            </w:pPr>
            <w:r>
              <w:t xml:space="preserve">🟢 -0.55%</w:t>
            </w:r>
          </w:p>
        </w:tc>
        <w:tc>
          <w:tcPr/>
          <w:p>
            <w:pPr>
              <w:pStyle w:val="Compact"/>
            </w:pPr>
            <w:r>
              <w:rPr>
                <w:rFonts w:hint="eastAsia"/>
              </w:rPr>
              <w:t xml:space="preserve">GPU方向缺少正向外部催化</w:t>
            </w:r>
          </w:p>
        </w:tc>
      </w:tr>
      <w:tr>
        <w:tc>
          <w:tcPr/>
          <w:p>
            <w:pPr>
              <w:pStyle w:val="Compact"/>
            </w:pPr>
            <w:r>
              <w:rPr>
                <w:rFonts w:hint="eastAsia"/>
              </w:rPr>
              <w:t xml:space="preserve">台积电</w:t>
            </w:r>
          </w:p>
        </w:tc>
        <w:tc>
          <w:tcPr/>
          <w:p>
            <w:pPr>
              <w:pStyle w:val="Compact"/>
              <w:jc w:val="right"/>
            </w:pPr>
            <w:r>
              <w:rPr>
                <w:rFonts w:hint="eastAsia"/>
              </w:rPr>
              <w:t xml:space="preserve">472.20美元</w:t>
            </w:r>
          </w:p>
        </w:tc>
        <w:tc>
          <w:tcPr/>
          <w:p>
            <w:pPr>
              <w:pStyle w:val="Compact"/>
              <w:jc w:val="right"/>
            </w:pPr>
            <w:r>
              <w:t xml:space="preserve">🟢 -2.09%</w:t>
            </w:r>
          </w:p>
        </w:tc>
        <w:tc>
          <w:tcPr/>
          <w:p>
            <w:pPr>
              <w:pStyle w:val="Compact"/>
            </w:pPr>
            <w:r>
              <w:rPr>
                <w:rFonts w:hint="eastAsia"/>
              </w:rPr>
              <w:t xml:space="preserve">晶圆制造及先进制程映射承压</w:t>
            </w:r>
          </w:p>
        </w:tc>
      </w:tr>
      <w:tr>
        <w:tc>
          <w:tcPr/>
          <w:p>
            <w:pPr>
              <w:pStyle w:val="Compact"/>
            </w:pPr>
            <w:r>
              <w:rPr>
                <w:rFonts w:hint="eastAsia"/>
              </w:rPr>
              <w:t xml:space="preserve">博通</w:t>
            </w:r>
          </w:p>
        </w:tc>
        <w:tc>
          <w:tcPr/>
          <w:p>
            <w:pPr>
              <w:pStyle w:val="Compact"/>
              <w:jc w:val="right"/>
            </w:pPr>
            <w:r>
              <w:rPr>
                <w:rFonts w:hint="eastAsia"/>
              </w:rPr>
              <w:t xml:space="preserve">376.51美元</w:t>
            </w:r>
          </w:p>
        </w:tc>
        <w:tc>
          <w:tcPr/>
          <w:p>
            <w:pPr>
              <w:pStyle w:val="Compact"/>
              <w:jc w:val="right"/>
            </w:pPr>
            <w:r>
              <w:t xml:space="preserve">🔴 +0.19%</w:t>
            </w:r>
          </w:p>
        </w:tc>
        <w:tc>
          <w:tcPr/>
          <w:p>
            <w:pPr>
              <w:pStyle w:val="Compact"/>
            </w:pPr>
            <w:r>
              <w:rPr>
                <w:rFonts w:hint="eastAsia"/>
              </w:rPr>
              <w:t xml:space="preserve">定制芯片、网络连接相对抗跌</w:t>
            </w:r>
          </w:p>
        </w:tc>
      </w:tr>
      <w:tr>
        <w:tc>
          <w:tcPr/>
          <w:p>
            <w:pPr>
              <w:pStyle w:val="Compact"/>
            </w:pPr>
            <w:r>
              <w:rPr>
                <w:rFonts w:hint="eastAsia"/>
              </w:rPr>
              <w:t xml:space="preserve">美光</w:t>
            </w:r>
          </w:p>
        </w:tc>
        <w:tc>
          <w:tcPr/>
          <w:p>
            <w:pPr>
              <w:pStyle w:val="Compact"/>
              <w:jc w:val="right"/>
            </w:pPr>
            <w:r>
              <w:rPr>
                <w:rFonts w:hint="eastAsia"/>
              </w:rPr>
              <w:t xml:space="preserve">1088.00美元</w:t>
            </w:r>
          </w:p>
        </w:tc>
        <w:tc>
          <w:tcPr/>
          <w:p>
            <w:pPr>
              <w:pStyle w:val="Compact"/>
              <w:jc w:val="right"/>
            </w:pPr>
            <w:r>
              <w:t xml:space="preserve">🔴 +4.06%</w:t>
            </w:r>
          </w:p>
        </w:tc>
        <w:tc>
          <w:tcPr/>
          <w:p>
            <w:pPr>
              <w:pStyle w:val="Compact"/>
            </w:pPr>
            <w:r>
              <w:rPr>
                <w:rFonts w:hint="eastAsia"/>
              </w:rPr>
              <w:t xml:space="preserve">存储方向形成独立正反馈</w:t>
            </w:r>
          </w:p>
        </w:tc>
      </w:tr>
    </w:tbl>
    <w:p>
      <w:pPr>
        <w:pStyle w:val="BodyText"/>
      </w:pPr>
      <w:r>
        <w:t xml:space="preserve">💡</w:t>
      </w:r>
      <w:r>
        <w:t xml:space="preserve"> </w:t>
      </w:r>
      <w:r>
        <w:rPr>
          <w:rFonts w:hint="eastAsia"/>
          <w:b/>
          <w:bCs/>
        </w:rPr>
        <w:t xml:space="preserve">A股映射结论</w:t>
      </w:r>
    </w:p>
    <w:p>
      <w:pPr>
        <w:pStyle w:val="Compact"/>
        <w:numPr>
          <w:ilvl w:val="0"/>
          <w:numId w:val="1001"/>
        </w:numPr>
      </w:pPr>
      <w:r>
        <w:rPr>
          <w:rFonts w:hint="eastAsia"/>
        </w:rPr>
        <w:t xml:space="preserve">美股半导体不是普涨结构，而是</w:t>
      </w:r>
      <w:r>
        <w:rPr>
          <w:rFonts w:hint="eastAsia"/>
          <w:b/>
          <w:bCs/>
        </w:rPr>
        <w:t xml:space="preserve">存储强、晶圆制造弱、AI芯片偏弱</w:t>
      </w:r>
      <w:r>
        <w:t xml:space="preserve">。</w:t>
      </w:r>
    </w:p>
    <w:p>
      <w:pPr>
        <w:pStyle w:val="Compact"/>
        <w:numPr>
          <w:ilvl w:val="0"/>
          <w:numId w:val="1001"/>
        </w:numPr>
      </w:pPr>
      <w:r>
        <w:rPr>
          <w:rFonts w:hint="eastAsia"/>
        </w:rPr>
        <w:t xml:space="preserve">美光上涨4.06%，对存储芯片构成情绪支持，但A股半导体上一交易日主力净流出101.92亿元，不能据此直接追涨。</w:t>
      </w:r>
    </w:p>
    <w:p>
      <w:pPr>
        <w:pStyle w:val="Compact"/>
        <w:numPr>
          <w:ilvl w:val="0"/>
          <w:numId w:val="1001"/>
        </w:numPr>
      </w:pPr>
      <w:r>
        <w:rPr>
          <w:rFonts w:hint="eastAsia"/>
        </w:rPr>
        <w:t xml:space="preserve">台积电下跌2.09%，叠加A股科技核心股多数处于MA20下方，半导体和光模块更适合等待止跌确认。</w:t>
      </w:r>
    </w:p>
    <w:p>
      <w:pPr>
        <w:pStyle w:val="Compact"/>
        <w:numPr>
          <w:ilvl w:val="0"/>
          <w:numId w:val="1001"/>
        </w:numPr>
      </w:pPr>
      <w:r>
        <w:rPr>
          <w:rFonts w:hint="eastAsia"/>
        </w:rPr>
        <w:t xml:space="preserve">今日科技方向优先观察“能否高开后承接”，不以隔夜单一个股上涨替代A股自身趋势确认。</w:t>
      </w:r>
    </w:p>
    <w:bookmarkEnd w:id="10"/>
    <w:bookmarkStart w:id="11" w:name="其他主要资产"/>
    <w:p>
      <w:pPr>
        <w:pStyle w:val="Heading3"/>
      </w:pPr>
      <w:r>
        <w:t xml:space="preserve">🌐 </w:t>
      </w:r>
      <w:r>
        <w:rPr>
          <w:rFonts w:hint="eastAsia"/>
        </w:rPr>
        <w:t xml:space="preserve">其他主要资产</w:t>
      </w:r>
    </w:p>
    <w:p>
      <w:pPr>
        <w:pStyle w:val="Compact"/>
        <w:numPr>
          <w:ilvl w:val="0"/>
          <w:numId w:val="1002"/>
        </w:numPr>
      </w:pPr>
      <w:r>
        <w:rPr>
          <w:rFonts w:hint="eastAsia"/>
        </w:rPr>
        <w:t xml:space="preserve">富时中国A50期指报13818.4点，🟢下跌0.11%，对A股开盘指引中性偏弱。</w:t>
      </w:r>
    </w:p>
    <w:p>
      <w:pPr>
        <w:pStyle w:val="Compact"/>
        <w:numPr>
          <w:ilvl w:val="0"/>
          <w:numId w:val="1002"/>
        </w:numPr>
      </w:pPr>
      <w:r>
        <w:rPr>
          <w:rFonts w:hint="eastAsia"/>
        </w:rPr>
        <w:t xml:space="preserve">离岸人民币报6.7007，较前值变动-0.03%，人民币汇率环境总体稳定。</w:t>
      </w:r>
    </w:p>
    <w:p>
      <w:pPr>
        <w:pStyle w:val="Compact"/>
        <w:numPr>
          <w:ilvl w:val="0"/>
          <w:numId w:val="1002"/>
        </w:numPr>
      </w:pPr>
      <w:r>
        <w:rPr>
          <w:rFonts w:hint="eastAsia"/>
        </w:rPr>
        <w:t xml:space="preserve">COMEX黄金报4131.376美元，🟢下跌0.23%。</w:t>
      </w:r>
    </w:p>
    <w:p>
      <w:pPr>
        <w:pStyle w:val="Compact"/>
        <w:numPr>
          <w:ilvl w:val="0"/>
          <w:numId w:val="1002"/>
        </w:numPr>
      </w:pPr>
      <w:r>
        <w:rPr>
          <w:rFonts w:hint="eastAsia"/>
        </w:rPr>
        <w:t xml:space="preserve">WTI原油报89.107美元，🔴上涨0.94%，能源与运输成本预期边际上升。</w:t>
      </w:r>
    </w:p>
    <w:p>
      <w:pPr>
        <w:pStyle w:val="Compact"/>
        <w:numPr>
          <w:ilvl w:val="0"/>
          <w:numId w:val="1002"/>
        </w:numPr>
      </w:pPr>
      <w:r>
        <w:rPr>
          <w:rFonts w:hint="eastAsia"/>
        </w:rPr>
        <w:t xml:space="preserve">伦铜报14457.1，🟢下跌0.13%，有色方向缺少隔夜价格推动。</w:t>
      </w:r>
    </w:p>
    <w:p>
      <w:pPr>
        <w:pStyle w:val="Compact"/>
        <w:numPr>
          <w:ilvl w:val="0"/>
          <w:numId w:val="1002"/>
        </w:numPr>
      </w:pPr>
      <w:r>
        <w:rPr>
          <w:rFonts w:hint="eastAsia"/>
        </w:rPr>
        <w:t xml:space="preserve">恒生指数最新采集值为24280.561点，🟢下跌0.62%；该数据不是今日港股开盘实时值。</w:t>
      </w:r>
    </w:p>
    <w:p>
      <w:r>
        <w:pict>
          <v:rect style="width:0;height:1.5pt" o:hralign="center" o:hrstd="t" o:hr="t"/>
        </w:pict>
      </w:r>
    </w:p>
    <w:bookmarkEnd w:id="11"/>
    <w:bookmarkEnd w:id="12"/>
    <w:bookmarkStart w:id="22" w:name="二新闻联播政策面文化消费物流网络与入境旅游是主要增量线索"/>
    <w:p>
      <w:pPr>
        <w:pStyle w:val="Heading2"/>
      </w:pPr>
      <w:r>
        <w:t xml:space="preserve">📺 </w:t>
      </w:r>
      <w:r>
        <w:rPr>
          <w:rFonts w:hint="eastAsia"/>
        </w:rPr>
        <w:t xml:space="preserve">二、新闻联播政策面：文化消费、物流网络与入境旅游是主要增量线索</w:t>
      </w:r>
    </w:p>
    <w:bookmarkStart w:id="13" w:name="文化强国与文化产业体系"/>
    <w:p>
      <w:pPr>
        <w:pStyle w:val="Heading3"/>
      </w:pPr>
      <w:r>
        <w:t xml:space="preserve">🎭 1. </w:t>
      </w:r>
      <w:r>
        <w:rPr>
          <w:rFonts w:hint="eastAsia"/>
        </w:rPr>
        <w:t xml:space="preserve">文化强国与文化产业体系</w:t>
      </w:r>
    </w:p>
    <w:p>
      <w:pPr>
        <w:pStyle w:val="FirstParagraph"/>
      </w:pPr>
      <w:r>
        <w:rPr>
          <w:rFonts w:hint="eastAsia"/>
        </w:rPr>
        <w:t xml:space="preserve">10月7日《新闻联播》重点强调文化强国建设、中华优秀传统文化创造性转化与创新性发展，并披露：</w:t>
      </w:r>
    </w:p>
    <w:p>
      <w:pPr>
        <w:pStyle w:val="Compact"/>
        <w:numPr>
          <w:ilvl w:val="0"/>
          <w:numId w:val="1003"/>
        </w:numPr>
      </w:pPr>
      <w:r>
        <w:rPr>
          <w:rFonts w:hint="eastAsia"/>
        </w:rPr>
        <w:t xml:space="preserve">全国已形成4万多个新型公共文化空间。</w:t>
      </w:r>
    </w:p>
    <w:p>
      <w:pPr>
        <w:pStyle w:val="Compact"/>
        <w:numPr>
          <w:ilvl w:val="0"/>
          <w:numId w:val="1003"/>
        </w:numPr>
      </w:pPr>
      <w:r>
        <w:rPr>
          <w:rFonts w:hint="eastAsia"/>
        </w:rPr>
        <w:t xml:space="preserve">我国世界遗产总数达到61项。</w:t>
      </w:r>
    </w:p>
    <w:p>
      <w:pPr>
        <w:pStyle w:val="Compact"/>
        <w:numPr>
          <w:ilvl w:val="0"/>
          <w:numId w:val="1003"/>
        </w:numPr>
      </w:pPr>
      <w:r>
        <w:rPr>
          <w:rFonts w:hint="eastAsia"/>
        </w:rPr>
        <w:t xml:space="preserve">列入联合国教科文组织非遗名录名册项目达到45个。</w:t>
      </w:r>
    </w:p>
    <w:p>
      <w:pPr>
        <w:pStyle w:val="Compact"/>
        <w:numPr>
          <w:ilvl w:val="0"/>
          <w:numId w:val="1003"/>
        </w:numPr>
      </w:pPr>
      <w:r>
        <w:rPr>
          <w:rFonts w:hint="eastAsia"/>
        </w:rPr>
        <w:t xml:space="preserve">网络文学、网络影视剧、网络游戏被明确为文化出海“新三样”。</w:t>
      </w:r>
    </w:p>
    <w:p>
      <w:pPr>
        <w:pStyle w:val="FirstParagraph"/>
      </w:pPr>
      <w:r>
        <w:t xml:space="preserve">📈</w:t>
      </w:r>
      <w:r>
        <w:t xml:space="preserve"> </w:t>
      </w:r>
      <w:r>
        <w:rPr>
          <w:rFonts w:hint="eastAsia"/>
          <w:b/>
          <w:bCs/>
        </w:rPr>
        <w:t xml:space="preserve">A股映射</w:t>
      </w:r>
    </w:p>
    <w:p>
      <w:pPr>
        <w:pStyle w:val="Compact"/>
        <w:numPr>
          <w:ilvl w:val="0"/>
          <w:numId w:val="1004"/>
        </w:numPr>
      </w:pPr>
      <w:r>
        <w:rPr>
          <w:rFonts w:hint="eastAsia"/>
        </w:rPr>
        <w:t xml:space="preserve">直接受益链条：文化传媒、出版、影视制作、网络游戏、文旅演艺、文博数字化。</w:t>
      </w:r>
    </w:p>
    <w:p>
      <w:pPr>
        <w:pStyle w:val="Compact"/>
        <w:numPr>
          <w:ilvl w:val="0"/>
          <w:numId w:val="1004"/>
        </w:numPr>
      </w:pPr>
      <w:r>
        <w:rPr>
          <w:rFonts w:hint="eastAsia"/>
        </w:rPr>
        <w:t xml:space="preserve">中期逻辑是公共文化投入、优质内容供给和文化出海共同扩容，不等同于所有传媒股同步受益。</w:t>
      </w:r>
    </w:p>
    <w:p>
      <w:pPr>
        <w:pStyle w:val="Compact"/>
        <w:numPr>
          <w:ilvl w:val="0"/>
          <w:numId w:val="1004"/>
        </w:numPr>
      </w:pPr>
      <w:r>
        <w:rPr>
          <w:rFonts w:hint="eastAsia"/>
        </w:rPr>
        <w:t xml:space="preserve">交易上只观察具有内容资产、版权、渠道或出海收入支撑的公司，回避纯概念炒作和连续加速标的。</w:t>
      </w:r>
    </w:p>
    <w:bookmarkEnd w:id="13"/>
    <w:bookmarkStart w:id="14" w:name="假日公园消费与文旅场景扩容"/>
    <w:p>
      <w:pPr>
        <w:pStyle w:val="Heading3"/>
      </w:pPr>
      <w:r>
        <w:t xml:space="preserve">🏞️ 2. </w:t>
      </w:r>
      <w:r>
        <w:rPr>
          <w:rFonts w:hint="eastAsia"/>
        </w:rPr>
        <w:t xml:space="preserve">假日公园消费与文旅场景扩容</w:t>
      </w:r>
    </w:p>
    <w:p>
      <w:pPr>
        <w:pStyle w:val="FirstParagraph"/>
      </w:pPr>
      <w:r>
        <w:rPr>
          <w:rFonts w:hint="eastAsia"/>
        </w:rPr>
        <w:t xml:space="preserve">国庆假期各地城市公园：</w:t>
      </w:r>
    </w:p>
    <w:p>
      <w:pPr>
        <w:pStyle w:val="Compact"/>
        <w:numPr>
          <w:ilvl w:val="0"/>
          <w:numId w:val="1005"/>
        </w:numPr>
      </w:pPr>
      <w:r>
        <w:rPr>
          <w:rFonts w:hint="eastAsia"/>
        </w:rPr>
        <w:t xml:space="preserve">举办特色活动1.1万场。</w:t>
      </w:r>
    </w:p>
    <w:p>
      <w:pPr>
        <w:pStyle w:val="Compact"/>
        <w:numPr>
          <w:ilvl w:val="0"/>
          <w:numId w:val="1005"/>
        </w:numPr>
      </w:pPr>
      <w:r>
        <w:rPr>
          <w:rFonts w:hint="eastAsia"/>
        </w:rPr>
        <w:t xml:space="preserve">接待游客超过2.1亿人次。</w:t>
      </w:r>
    </w:p>
    <w:p>
      <w:pPr>
        <w:pStyle w:val="Compact"/>
        <w:numPr>
          <w:ilvl w:val="0"/>
          <w:numId w:val="1005"/>
        </w:numPr>
      </w:pPr>
      <w:r>
        <w:rPr>
          <w:rFonts w:hint="eastAsia"/>
        </w:rPr>
        <w:t xml:space="preserve">带动消费超过52亿元。</w:t>
      </w:r>
    </w:p>
    <w:p>
      <w:pPr>
        <w:pStyle w:val="Compact"/>
        <w:numPr>
          <w:ilvl w:val="0"/>
          <w:numId w:val="1005"/>
        </w:numPr>
      </w:pPr>
      <w:r>
        <w:rPr>
          <w:rFonts w:hint="eastAsia"/>
        </w:rPr>
        <w:t xml:space="preserve">潮人公园假期接待游客超过24万人次。</w:t>
      </w:r>
    </w:p>
    <w:p>
      <w:pPr>
        <w:pStyle w:val="FirstParagraph"/>
      </w:pPr>
      <w:r>
        <w:t xml:space="preserve">📈</w:t>
      </w:r>
      <w:r>
        <w:t xml:space="preserve"> </w:t>
      </w:r>
      <w:r>
        <w:rPr>
          <w:rFonts w:hint="eastAsia"/>
          <w:b/>
          <w:bCs/>
        </w:rPr>
        <w:t xml:space="preserve">A股映射</w:t>
      </w:r>
    </w:p>
    <w:p>
      <w:pPr>
        <w:pStyle w:val="Compact"/>
        <w:numPr>
          <w:ilvl w:val="0"/>
          <w:numId w:val="1006"/>
        </w:numPr>
      </w:pPr>
      <w:r>
        <w:rPr>
          <w:rFonts w:hint="eastAsia"/>
        </w:rPr>
        <w:t xml:space="preserve">利好景区运营、文旅演艺、商业零售、餐饮酒店、户外照明及城市更新服务。</w:t>
      </w:r>
    </w:p>
    <w:p>
      <w:pPr>
        <w:pStyle w:val="Compact"/>
        <w:numPr>
          <w:ilvl w:val="0"/>
          <w:numId w:val="1006"/>
        </w:numPr>
      </w:pPr>
      <w:r>
        <w:rPr>
          <w:rFonts w:hint="eastAsia"/>
        </w:rPr>
        <w:t xml:space="preserve">“夜游+非遗+轻消费”显示文旅消费由门票模式向场景运营和二次消费延伸。</w:t>
      </w:r>
    </w:p>
    <w:p>
      <w:pPr>
        <w:pStyle w:val="Compact"/>
        <w:numPr>
          <w:ilvl w:val="0"/>
          <w:numId w:val="1006"/>
        </w:numPr>
      </w:pPr>
      <w:r>
        <w:rPr>
          <w:rFonts w:hint="eastAsia"/>
        </w:rPr>
        <w:t xml:space="preserve">关注收入能否真正落到上市公司报表，客流增长但客单价、利润率不改善的公司不宜高估。</w:t>
      </w:r>
    </w:p>
    <w:bookmarkEnd w:id="14"/>
    <w:bookmarkStart w:id="15" w:name="假日出行与新能源车流量增长"/>
    <w:p>
      <w:pPr>
        <w:pStyle w:val="Heading3"/>
      </w:pPr>
      <w:r>
        <w:t xml:space="preserve">✈️ 3. </w:t>
      </w:r>
      <w:r>
        <w:rPr>
          <w:rFonts w:hint="eastAsia"/>
        </w:rPr>
        <w:t xml:space="preserve">假日出行与新能源车流量增长</w:t>
      </w:r>
    </w:p>
    <w:p>
      <w:pPr>
        <w:pStyle w:val="FirstParagraph"/>
      </w:pPr>
      <w:r>
        <w:rPr>
          <w:rFonts w:hint="eastAsia"/>
        </w:rPr>
        <w:t xml:space="preserve">国庆七天假期：</w:t>
      </w:r>
    </w:p>
    <w:p>
      <w:pPr>
        <w:pStyle w:val="Compact"/>
        <w:numPr>
          <w:ilvl w:val="0"/>
          <w:numId w:val="1007"/>
        </w:numPr>
      </w:pPr>
      <w:r>
        <w:rPr>
          <w:rFonts w:hint="eastAsia"/>
        </w:rPr>
        <w:t xml:space="preserve">全社会跨区域人员流动量预计21.44亿人次，同比增长0.7%。</w:t>
      </w:r>
    </w:p>
    <w:p>
      <w:pPr>
        <w:pStyle w:val="Compact"/>
        <w:numPr>
          <w:ilvl w:val="0"/>
          <w:numId w:val="1007"/>
        </w:numPr>
      </w:pPr>
      <w:r>
        <w:rPr>
          <w:rFonts w:hint="eastAsia"/>
        </w:rPr>
        <w:t xml:space="preserve">公路出行超过19.6亿人次。</w:t>
      </w:r>
    </w:p>
    <w:p>
      <w:pPr>
        <w:pStyle w:val="Compact"/>
        <w:numPr>
          <w:ilvl w:val="0"/>
          <w:numId w:val="1007"/>
        </w:numPr>
      </w:pPr>
      <w:r>
        <w:rPr>
          <w:rFonts w:hint="eastAsia"/>
        </w:rPr>
        <w:t xml:space="preserve">新能源车流量同比增长35%。</w:t>
      </w:r>
    </w:p>
    <w:p>
      <w:pPr>
        <w:pStyle w:val="Compact"/>
        <w:numPr>
          <w:ilvl w:val="0"/>
          <w:numId w:val="1007"/>
        </w:numPr>
      </w:pPr>
      <w:r>
        <w:rPr>
          <w:rFonts w:hint="eastAsia"/>
        </w:rPr>
        <w:t xml:space="preserve">全国高速公路10公里以上严重拥堵路段数量同比下降70%。</w:t>
      </w:r>
    </w:p>
    <w:p>
      <w:pPr>
        <w:pStyle w:val="Compact"/>
        <w:numPr>
          <w:ilvl w:val="0"/>
          <w:numId w:val="1007"/>
        </w:numPr>
      </w:pPr>
      <w:r>
        <w:rPr>
          <w:rFonts w:hint="eastAsia"/>
        </w:rPr>
        <w:t xml:space="preserve">汽车租赁日均租车率同比增长25%。</w:t>
      </w:r>
    </w:p>
    <w:p>
      <w:pPr>
        <w:pStyle w:val="Compact"/>
        <w:numPr>
          <w:ilvl w:val="0"/>
          <w:numId w:val="1007"/>
        </w:numPr>
      </w:pPr>
      <w:r>
        <w:rPr>
          <w:rFonts w:hint="eastAsia"/>
        </w:rPr>
        <w:t xml:space="preserve">民航旅客运输量日均240万人次。</w:t>
      </w:r>
    </w:p>
    <w:p>
      <w:pPr>
        <w:pStyle w:val="FirstParagraph"/>
      </w:pPr>
      <w:r>
        <w:t xml:space="preserve">📈</w:t>
      </w:r>
      <w:r>
        <w:t xml:space="preserve"> </w:t>
      </w:r>
      <w:r>
        <w:rPr>
          <w:rFonts w:hint="eastAsia"/>
          <w:b/>
          <w:bCs/>
        </w:rPr>
        <w:t xml:space="preserve">A股映射</w:t>
      </w:r>
    </w:p>
    <w:p>
      <w:pPr>
        <w:pStyle w:val="Compact"/>
        <w:numPr>
          <w:ilvl w:val="0"/>
          <w:numId w:val="1008"/>
        </w:numPr>
      </w:pPr>
      <w:r>
        <w:rPr>
          <w:rFonts w:hint="eastAsia"/>
        </w:rPr>
        <w:t xml:space="preserve">利好铁路公路运营、航空机场、在线旅游、汽车租赁、充换电服务和新能源车后市场。</w:t>
      </w:r>
    </w:p>
    <w:p>
      <w:pPr>
        <w:pStyle w:val="Compact"/>
        <w:numPr>
          <w:ilvl w:val="0"/>
          <w:numId w:val="1008"/>
        </w:numPr>
      </w:pPr>
      <w:r>
        <w:rPr>
          <w:rFonts w:hint="eastAsia"/>
        </w:rPr>
        <w:t xml:space="preserve">新能源车流量增长35%，对高速充电、目的地充电及运维服务形成需求验证。</w:t>
      </w:r>
    </w:p>
    <w:p>
      <w:pPr>
        <w:pStyle w:val="Compact"/>
        <w:numPr>
          <w:ilvl w:val="0"/>
          <w:numId w:val="1008"/>
        </w:numPr>
      </w:pPr>
      <w:r>
        <w:rPr>
          <w:rFonts w:hint="eastAsia"/>
        </w:rPr>
        <w:t xml:space="preserve">航空机场还需同时考虑WTI原油上涨0.94%带来的燃油成本扰动，客流利好不能直接等同于利润同步增长。</w:t>
      </w:r>
    </w:p>
    <w:bookmarkEnd w:id="15"/>
    <w:bookmarkStart w:id="16" w:name="入境游持续升温"/>
    <w:p>
      <w:pPr>
        <w:pStyle w:val="Heading3"/>
      </w:pPr>
      <w:r>
        <w:t xml:space="preserve">🌏 4. </w:t>
      </w:r>
      <w:r>
        <w:rPr>
          <w:rFonts w:hint="eastAsia"/>
        </w:rPr>
        <w:t xml:space="preserve">入境游持续升温</w:t>
      </w:r>
    </w:p>
    <w:p>
      <w:pPr>
        <w:pStyle w:val="Compact"/>
        <w:numPr>
          <w:ilvl w:val="0"/>
          <w:numId w:val="1009"/>
        </w:numPr>
      </w:pPr>
      <w:r>
        <w:rPr>
          <w:rFonts w:hint="eastAsia"/>
        </w:rPr>
        <w:t xml:space="preserve">北京假期前6天接待入境游客11.2万人次，同比增长24.6%。</w:t>
      </w:r>
    </w:p>
    <w:p>
      <w:pPr>
        <w:pStyle w:val="Compact"/>
        <w:numPr>
          <w:ilvl w:val="0"/>
          <w:numId w:val="1009"/>
        </w:numPr>
      </w:pPr>
      <w:r>
        <w:rPr>
          <w:rFonts w:hint="eastAsia"/>
        </w:rPr>
        <w:t xml:space="preserve">四川接待入境游客47903人次，同比增长9.2%。</w:t>
      </w:r>
    </w:p>
    <w:p>
      <w:pPr>
        <w:pStyle w:val="Compact"/>
        <w:numPr>
          <w:ilvl w:val="0"/>
          <w:numId w:val="1009"/>
        </w:numPr>
      </w:pPr>
      <w:r>
        <w:rPr>
          <w:rFonts w:hint="eastAsia"/>
        </w:rPr>
        <w:t xml:space="preserve">2026年前8个月，全国口岸查验出入境外国人6128.7万人次，同比增长19.5%。</w:t>
      </w:r>
    </w:p>
    <w:p>
      <w:pPr>
        <w:pStyle w:val="Compact"/>
        <w:numPr>
          <w:ilvl w:val="0"/>
          <w:numId w:val="1009"/>
        </w:numPr>
      </w:pPr>
      <w:r>
        <w:rPr>
          <w:rFonts w:hint="eastAsia"/>
        </w:rPr>
        <w:t xml:space="preserve">入境游客在中国境内平均停留5.1天，同比提升11%。</w:t>
      </w:r>
    </w:p>
    <w:p>
      <w:pPr>
        <w:pStyle w:val="FirstParagraph"/>
      </w:pPr>
      <w:r>
        <w:t xml:space="preserve">📈</w:t>
      </w:r>
      <w:r>
        <w:t xml:space="preserve"> </w:t>
      </w:r>
      <w:r>
        <w:rPr>
          <w:rFonts w:hint="eastAsia"/>
          <w:b/>
          <w:bCs/>
        </w:rPr>
        <w:t xml:space="preserve">A股映射</w:t>
      </w:r>
    </w:p>
    <w:p>
      <w:pPr>
        <w:pStyle w:val="Compact"/>
        <w:numPr>
          <w:ilvl w:val="0"/>
          <w:numId w:val="1010"/>
        </w:numPr>
      </w:pPr>
      <w:r>
        <w:rPr>
          <w:rFonts w:hint="eastAsia"/>
        </w:rPr>
        <w:t xml:space="preserve">受益方向包括机场、酒店、景区、免税、跨境支付、旅游平台及入境服务数字化。</w:t>
      </w:r>
    </w:p>
    <w:p>
      <w:pPr>
        <w:pStyle w:val="Compact"/>
        <w:numPr>
          <w:ilvl w:val="0"/>
          <w:numId w:val="1010"/>
        </w:numPr>
      </w:pPr>
      <w:r>
        <w:rPr>
          <w:rFonts w:hint="eastAsia"/>
        </w:rPr>
        <w:t xml:space="preserve">上海和浙江升级入境旅游服务平台，释放智慧旅游、票务系统、跨境支付和退税服务需求。</w:t>
      </w:r>
    </w:p>
    <w:p>
      <w:pPr>
        <w:pStyle w:val="Compact"/>
        <w:numPr>
          <w:ilvl w:val="0"/>
          <w:numId w:val="1010"/>
        </w:numPr>
      </w:pPr>
      <w:r>
        <w:rPr>
          <w:rFonts w:hint="eastAsia"/>
        </w:rPr>
        <w:t xml:space="preserve">中国中免今日披露H股月报表，不构成经营业绩催化；免税方向仍需等待销售额和利润率数据验证。</w:t>
      </w:r>
    </w:p>
    <w:bookmarkEnd w:id="16"/>
    <w:bookmarkStart w:id="17" w:name="物流网由布点畅线转向成链成网"/>
    <w:p>
      <w:pPr>
        <w:pStyle w:val="Heading3"/>
      </w:pPr>
      <w:r>
        <w:t xml:space="preserve">🚚 5. </w:t>
      </w:r>
      <w:r>
        <w:rPr>
          <w:rFonts w:hint="eastAsia"/>
        </w:rPr>
        <w:t xml:space="preserve">物流网由“布点畅线”转向“成链成网”</w:t>
      </w:r>
    </w:p>
    <w:p>
      <w:pPr>
        <w:pStyle w:val="FirstParagraph"/>
      </w:pPr>
      <w:r>
        <w:rPr>
          <w:rFonts w:hint="eastAsia"/>
        </w:rPr>
        <w:t xml:space="preserve">《物流网建设实施方案》推动物流基础设施升级：</w:t>
      </w:r>
    </w:p>
    <w:p>
      <w:pPr>
        <w:pStyle w:val="Compact"/>
        <w:numPr>
          <w:ilvl w:val="0"/>
          <w:numId w:val="1011"/>
        </w:numPr>
      </w:pPr>
      <w:r>
        <w:rPr>
          <w:rFonts w:hint="eastAsia"/>
        </w:rPr>
        <w:t xml:space="preserve">四川彭州农产品集散枢纽每天交易果蔬超过1.5万吨。</w:t>
      </w:r>
    </w:p>
    <w:p>
      <w:pPr>
        <w:pStyle w:val="Compact"/>
        <w:numPr>
          <w:ilvl w:val="0"/>
          <w:numId w:val="1011"/>
        </w:numPr>
      </w:pPr>
      <w:r>
        <w:rPr>
          <w:rFonts w:hint="eastAsia"/>
        </w:rPr>
        <w:t xml:space="preserve">市场连接31个省级地区、340座城市。</w:t>
      </w:r>
    </w:p>
    <w:p>
      <w:pPr>
        <w:pStyle w:val="Compact"/>
        <w:numPr>
          <w:ilvl w:val="0"/>
          <w:numId w:val="1011"/>
        </w:numPr>
      </w:pPr>
      <w:r>
        <w:rPr>
          <w:rFonts w:hint="eastAsia"/>
        </w:rPr>
        <w:t xml:space="preserve">数字化供应链平台最快3分钟生成配送方案。</w:t>
      </w:r>
    </w:p>
    <w:p>
      <w:pPr>
        <w:pStyle w:val="Compact"/>
        <w:numPr>
          <w:ilvl w:val="0"/>
          <w:numId w:val="1011"/>
        </w:numPr>
      </w:pPr>
      <w:r>
        <w:rPr>
          <w:rFonts w:hint="eastAsia"/>
        </w:rPr>
        <w:t xml:space="preserve">“十五五”时期，181个国家物流枢纽将进一步互联成网。</w:t>
      </w:r>
    </w:p>
    <w:p>
      <w:pPr>
        <w:pStyle w:val="Compact"/>
        <w:numPr>
          <w:ilvl w:val="0"/>
          <w:numId w:val="1011"/>
        </w:numPr>
      </w:pPr>
      <w:r>
        <w:rPr>
          <w:rFonts w:hint="eastAsia"/>
        </w:rPr>
        <w:t xml:space="preserve">1000个主要货运节点将提升多式联运功能。</w:t>
      </w:r>
    </w:p>
    <w:p>
      <w:pPr>
        <w:pStyle w:val="FirstParagraph"/>
      </w:pPr>
      <w:r>
        <w:t xml:space="preserve">📈</w:t>
      </w:r>
      <w:r>
        <w:t xml:space="preserve"> </w:t>
      </w:r>
      <w:r>
        <w:rPr>
          <w:rFonts w:hint="eastAsia"/>
          <w:b/>
          <w:bCs/>
        </w:rPr>
        <w:t xml:space="preserve">A股映射</w:t>
      </w:r>
    </w:p>
    <w:p>
      <w:pPr>
        <w:pStyle w:val="Compact"/>
        <w:numPr>
          <w:ilvl w:val="0"/>
          <w:numId w:val="1012"/>
        </w:numPr>
      </w:pPr>
      <w:r>
        <w:rPr>
          <w:rFonts w:hint="eastAsia"/>
        </w:rPr>
        <w:t xml:space="preserve">明确受益方向：物流信息化、智能仓储、冷链物流、多式联运、新能源物流装备。</w:t>
      </w:r>
    </w:p>
    <w:p>
      <w:pPr>
        <w:pStyle w:val="Compact"/>
        <w:numPr>
          <w:ilvl w:val="0"/>
          <w:numId w:val="1012"/>
        </w:numPr>
      </w:pPr>
      <w:r>
        <w:rPr>
          <w:rFonts w:hint="eastAsia"/>
        </w:rPr>
        <w:t xml:space="preserve">核心增量来自订单组织、仓储配送、线路优化和数据联通，不只是传统基建扩张。</w:t>
      </w:r>
    </w:p>
    <w:p>
      <w:pPr>
        <w:pStyle w:val="Compact"/>
        <w:numPr>
          <w:ilvl w:val="0"/>
          <w:numId w:val="1012"/>
        </w:numPr>
      </w:pPr>
      <w:r>
        <w:rPr>
          <w:rFonts w:hint="eastAsia"/>
        </w:rPr>
        <w:t xml:space="preserve">优先选择拥有真实物流系统订单、仓储自动化产品或运营网络的公司。</w:t>
      </w:r>
    </w:p>
    <w:bookmarkEnd w:id="17"/>
    <w:bookmarkStart w:id="18" w:name="秋粮收获农机与粮食仓储"/>
    <w:p>
      <w:pPr>
        <w:pStyle w:val="Heading3"/>
      </w:pPr>
      <w:r>
        <w:t xml:space="preserve">🌾 6. </w:t>
      </w:r>
      <w:r>
        <w:rPr>
          <w:rFonts w:hint="eastAsia"/>
        </w:rPr>
        <w:t xml:space="preserve">秋粮收获、农机与粮食仓储</w:t>
      </w:r>
    </w:p>
    <w:p>
      <w:pPr>
        <w:pStyle w:val="Compact"/>
        <w:numPr>
          <w:ilvl w:val="0"/>
          <w:numId w:val="1013"/>
        </w:numPr>
      </w:pPr>
      <w:r>
        <w:rPr>
          <w:rFonts w:hint="eastAsia"/>
        </w:rPr>
        <w:t xml:space="preserve">全国秋粮收获已超过四成。</w:t>
      </w:r>
    </w:p>
    <w:p>
      <w:pPr>
        <w:pStyle w:val="Compact"/>
        <w:numPr>
          <w:ilvl w:val="0"/>
          <w:numId w:val="1013"/>
        </w:numPr>
      </w:pPr>
      <w:r>
        <w:rPr>
          <w:rFonts w:hint="eastAsia"/>
        </w:rPr>
        <w:t xml:space="preserve">黑龙江粮食收获超过6800万亩。</w:t>
      </w:r>
    </w:p>
    <w:p>
      <w:pPr>
        <w:pStyle w:val="Compact"/>
        <w:numPr>
          <w:ilvl w:val="0"/>
          <w:numId w:val="1013"/>
        </w:numPr>
      </w:pPr>
      <w:r>
        <w:rPr>
          <w:rFonts w:hint="eastAsia"/>
        </w:rPr>
        <w:t xml:space="preserve">河北玉米收获接近3100万亩，全省调配农机具81万台。</w:t>
      </w:r>
    </w:p>
    <w:p>
      <w:pPr>
        <w:pStyle w:val="Compact"/>
        <w:numPr>
          <w:ilvl w:val="0"/>
          <w:numId w:val="1013"/>
        </w:numPr>
      </w:pPr>
      <w:r>
        <w:rPr>
          <w:rFonts w:hint="eastAsia"/>
        </w:rPr>
        <w:t xml:space="preserve">安徽秋粮收获面积超过三成。</w:t>
      </w:r>
    </w:p>
    <w:p>
      <w:pPr>
        <w:pStyle w:val="FirstParagraph"/>
      </w:pPr>
      <w:r>
        <w:t xml:space="preserve">📈</w:t>
      </w:r>
      <w:r>
        <w:t xml:space="preserve"> </w:t>
      </w:r>
      <w:r>
        <w:rPr>
          <w:rFonts w:hint="eastAsia"/>
          <w:b/>
          <w:bCs/>
        </w:rPr>
        <w:t xml:space="preserve">A股映射</w:t>
      </w:r>
    </w:p>
    <w:p>
      <w:pPr>
        <w:pStyle w:val="Compact"/>
        <w:numPr>
          <w:ilvl w:val="0"/>
          <w:numId w:val="1014"/>
        </w:numPr>
      </w:pPr>
      <w:r>
        <w:rPr>
          <w:rFonts w:hint="eastAsia"/>
        </w:rPr>
        <w:t xml:space="preserve">利好农机、粮食烘干、仓储设备、种业和农业社会化服务。</w:t>
      </w:r>
    </w:p>
    <w:p>
      <w:pPr>
        <w:pStyle w:val="Compact"/>
        <w:numPr>
          <w:ilvl w:val="0"/>
          <w:numId w:val="1014"/>
        </w:numPr>
      </w:pPr>
      <w:r>
        <w:rPr>
          <w:rFonts w:hint="eastAsia"/>
        </w:rPr>
        <w:t xml:space="preserve">政策重点是机械化收获、减损增收和“机收—烘干—仓储”一体化。</w:t>
      </w:r>
    </w:p>
    <w:p>
      <w:pPr>
        <w:pStyle w:val="Compact"/>
        <w:numPr>
          <w:ilvl w:val="0"/>
          <w:numId w:val="1014"/>
        </w:numPr>
      </w:pPr>
      <w:r>
        <w:rPr>
          <w:rFonts w:hint="eastAsia"/>
        </w:rPr>
        <w:t xml:space="preserve">农产品价格方向还需结合实际价格与供需数据，不能仅凭收获进度判断涨跌。</w:t>
      </w:r>
    </w:p>
    <w:bookmarkEnd w:id="18"/>
    <w:bookmarkStart w:id="19" w:name="养老设施设计标准修订"/>
    <w:p>
      <w:pPr>
        <w:pStyle w:val="Heading3"/>
      </w:pPr>
      <w:r>
        <w:t xml:space="preserve">🏥 7. </w:t>
      </w:r>
      <w:r>
        <w:rPr>
          <w:rFonts w:hint="eastAsia"/>
        </w:rPr>
        <w:t xml:space="preserve">养老设施设计标准修订</w:t>
      </w:r>
    </w:p>
    <w:p>
      <w:pPr>
        <w:pStyle w:val="FirstParagraph"/>
      </w:pPr>
      <w:r>
        <w:rPr>
          <w:rFonts w:hint="eastAsia"/>
        </w:rPr>
        <w:t xml:space="preserve">《老年人照料设施建筑设计标准》局部修订版将于2027年1月1日起实施，强化医养结合、康养结合、防疫设计和日间照料设施要求。</w:t>
      </w:r>
    </w:p>
    <w:p>
      <w:pPr>
        <w:pStyle w:val="BodyText"/>
      </w:pPr>
      <w:r>
        <w:t xml:space="preserve">📈</w:t>
      </w:r>
      <w:r>
        <w:t xml:space="preserve"> </w:t>
      </w:r>
      <w:r>
        <w:rPr>
          <w:rFonts w:hint="eastAsia"/>
          <w:b/>
          <w:bCs/>
        </w:rPr>
        <w:t xml:space="preserve">A股映射</w:t>
      </w:r>
    </w:p>
    <w:p>
      <w:pPr>
        <w:pStyle w:val="Compact"/>
        <w:numPr>
          <w:ilvl w:val="0"/>
          <w:numId w:val="1015"/>
        </w:numPr>
      </w:pPr>
      <w:r>
        <w:rPr>
          <w:rFonts w:hint="eastAsia"/>
        </w:rPr>
        <w:t xml:space="preserve">中期利好养老设施改造、医疗建筑设计、适老化家居、康复设备及养老运营。</w:t>
      </w:r>
    </w:p>
    <w:p>
      <w:pPr>
        <w:pStyle w:val="Compact"/>
        <w:numPr>
          <w:ilvl w:val="0"/>
          <w:numId w:val="1015"/>
        </w:numPr>
      </w:pPr>
      <w:r>
        <w:rPr>
          <w:rFonts w:hint="eastAsia"/>
        </w:rPr>
        <w:t xml:space="preserve">实施日期尚有时间，短线更可能表现为主题预期，实际订单与财政投入是后续验证条件。</w:t>
      </w:r>
    </w:p>
    <w:bookmarkEnd w:id="19"/>
    <w:bookmarkStart w:id="20" w:name="三北工程与生态治理"/>
    <w:p>
      <w:pPr>
        <w:pStyle w:val="Heading3"/>
      </w:pPr>
      <w:r>
        <w:t xml:space="preserve">🌲 8. </w:t>
      </w:r>
      <w:r>
        <w:rPr>
          <w:rFonts w:hint="eastAsia"/>
        </w:rPr>
        <w:t xml:space="preserve">“三北”工程与生态治理</w:t>
      </w:r>
    </w:p>
    <w:p>
      <w:pPr>
        <w:pStyle w:val="Compact"/>
        <w:numPr>
          <w:ilvl w:val="0"/>
          <w:numId w:val="1016"/>
        </w:numPr>
      </w:pPr>
      <w:r>
        <w:rPr>
          <w:rFonts w:hint="eastAsia"/>
        </w:rPr>
        <w:t xml:space="preserve">“三北”工程攻坚战3年多累计完成建设任务2.65亿亩。</w:t>
      </w:r>
    </w:p>
    <w:p>
      <w:pPr>
        <w:pStyle w:val="Compact"/>
        <w:numPr>
          <w:ilvl w:val="0"/>
          <w:numId w:val="1016"/>
        </w:numPr>
      </w:pPr>
      <w:r>
        <w:rPr>
          <w:rFonts w:hint="eastAsia"/>
        </w:rPr>
        <w:t xml:space="preserve">目标为2027年完成70%建设任务，2030年全面完成攻坚任务。</w:t>
      </w:r>
    </w:p>
    <w:p>
      <w:pPr>
        <w:pStyle w:val="FirstParagraph"/>
      </w:pPr>
      <w:r>
        <w:t xml:space="preserve">📈</w:t>
      </w:r>
      <w:r>
        <w:t xml:space="preserve"> </w:t>
      </w:r>
      <w:r>
        <w:rPr>
          <w:rFonts w:hint="eastAsia"/>
          <w:b/>
          <w:bCs/>
        </w:rPr>
        <w:t xml:space="preserve">A股映射</w:t>
      </w:r>
    </w:p>
    <w:p>
      <w:pPr>
        <w:pStyle w:val="Compact"/>
        <w:numPr>
          <w:ilvl w:val="0"/>
          <w:numId w:val="1017"/>
        </w:numPr>
      </w:pPr>
      <w:r>
        <w:rPr>
          <w:rFonts w:hint="eastAsia"/>
        </w:rPr>
        <w:t xml:space="preserve">关注生态修复、节水灌溉、林业种苗、防沙治沙及相关工程服务。</w:t>
      </w:r>
    </w:p>
    <w:p>
      <w:pPr>
        <w:pStyle w:val="Compact"/>
        <w:numPr>
          <w:ilvl w:val="0"/>
          <w:numId w:val="1017"/>
        </w:numPr>
      </w:pPr>
      <w:r>
        <w:rPr>
          <w:rFonts w:hint="eastAsia"/>
        </w:rPr>
        <w:t xml:space="preserve">工程类公司需重点核验回款、应收账款和经营现金流，订单增长不能替代现金流质量。</w:t>
      </w:r>
    </w:p>
    <w:bookmarkEnd w:id="20"/>
    <w:bookmarkStart w:id="21" w:name="政策面约束与负面信号"/>
    <w:p>
      <w:pPr>
        <w:pStyle w:val="Heading3"/>
      </w:pPr>
      <w:r>
        <w:t xml:space="preserve">⚠️ </w:t>
      </w:r>
      <w:r>
        <w:rPr>
          <w:rFonts w:hint="eastAsia"/>
        </w:rPr>
        <w:t xml:space="preserve">政策面约束与负面信号</w:t>
      </w:r>
    </w:p>
    <w:p>
      <w:pPr>
        <w:pStyle w:val="Compact"/>
        <w:numPr>
          <w:ilvl w:val="0"/>
          <w:numId w:val="1018"/>
        </w:numPr>
      </w:pPr>
      <w:r>
        <w:rPr>
          <w:rFonts w:hint="eastAsia"/>
        </w:rPr>
        <w:t xml:space="preserve">新闻联播未披露针对A股的新增总量货币或资本市场政策，指数级催化有限。</w:t>
      </w:r>
    </w:p>
    <w:p>
      <w:pPr>
        <w:pStyle w:val="Compact"/>
        <w:numPr>
          <w:ilvl w:val="0"/>
          <w:numId w:val="1018"/>
        </w:numPr>
      </w:pPr>
      <w:r>
        <w:rPr>
          <w:rFonts w:hint="eastAsia"/>
        </w:rPr>
        <w:t xml:space="preserve">国际冲突涉及黑海商船遇袭、也门与沙特周边军事冲突、欧洲核威慑升级，可能推升航运、能源和保险风险溢价。</w:t>
      </w:r>
    </w:p>
    <w:p>
      <w:pPr>
        <w:pStyle w:val="Compact"/>
        <w:numPr>
          <w:ilvl w:val="0"/>
          <w:numId w:val="1018"/>
        </w:numPr>
      </w:pPr>
      <w:r>
        <w:rPr>
          <w:rFonts w:hint="eastAsia"/>
        </w:rPr>
        <w:t xml:space="preserve">因此今日更适合围绕确定性产业线索做结构选择，不宜预设全面普涨。</w:t>
      </w:r>
    </w:p>
    <w:p>
      <w:r>
        <w:pict>
          <v:rect style="width:0;height:1.5pt" o:hralign="center" o:hrstd="t" o:hr="t"/>
        </w:pict>
      </w:r>
    </w:p>
    <w:bookmarkEnd w:id="21"/>
    <w:bookmarkEnd w:id="22"/>
    <w:bookmarkStart w:id="26" w:name="三今日公告官方公告源已取得完整结果"/>
    <w:p>
      <w:pPr>
        <w:pStyle w:val="Heading2"/>
      </w:pPr>
      <w:r>
        <w:t xml:space="preserve">📢 </w:t>
      </w:r>
      <w:r>
        <w:rPr>
          <w:rFonts w:hint="eastAsia"/>
        </w:rPr>
        <w:t xml:space="preserve">三、今日公告：官方公告源已取得完整结果</w:t>
      </w:r>
    </w:p>
    <w:p>
      <w:pPr>
        <w:pStyle w:val="FirstParagraph"/>
      </w:pPr>
      <w:r>
        <w:rPr>
          <w:rFonts w:hint="eastAsia"/>
        </w:rPr>
        <w:t xml:space="preserve">公告直连主接口出现HTTP</w:t>
      </w:r>
      <w:r>
        <w:t xml:space="preserve"> </w:t>
      </w:r>
      <w:r>
        <w:rPr>
          <w:rFonts w:hint="eastAsia"/>
        </w:rPr>
        <w:t xml:space="preserve">567错误后，采集程序通过巨潮资讯历史公告官方接口完成沪深两市16页抓取，共取得474条公告，结果未截断。以下只列对盘前风险与交易影响更明确的事项。</w:t>
      </w:r>
    </w:p>
    <w:bookmarkStart w:id="23" w:name="正向或事件驱动公告"/>
    <w:p>
      <w:pPr>
        <w:pStyle w:val="Heading3"/>
      </w:pPr>
      <w:r>
        <w:t xml:space="preserve">📈 </w:t>
      </w:r>
      <w:r>
        <w:rPr>
          <w:rFonts w:hint="eastAsia"/>
        </w:rPr>
        <w:t xml:space="preserve">正向或事件驱动公告</w:t>
      </w:r>
    </w:p>
    <w:p>
      <w:pPr>
        <w:pStyle w:val="Compact"/>
        <w:numPr>
          <w:ilvl w:val="0"/>
          <w:numId w:val="1019"/>
        </w:numPr>
      </w:pPr>
      <w:r>
        <w:rPr>
          <w:rFonts w:hint="eastAsia"/>
          <w:b/>
          <w:bCs/>
        </w:rPr>
        <w:t xml:space="preserve">艾力斯（688578）</w:t>
      </w:r>
      <w:r>
        <w:rPr>
          <w:rFonts w:hint="eastAsia"/>
        </w:rPr>
        <w:t xml:space="preserve">：实际控制人、董事长兼总经理提议公司回购股份。</w:t>
      </w:r>
    </w:p>
    <w:p>
      <w:pPr>
        <w:pStyle w:val="Compact"/>
        <w:numPr>
          <w:ilvl w:val="0"/>
          <w:numId w:val="1019"/>
        </w:numPr>
      </w:pPr>
      <w:r>
        <w:rPr>
          <w:rFonts w:hint="eastAsia"/>
          <w:b/>
          <w:bCs/>
        </w:rPr>
        <w:t xml:space="preserve">五洲交通（600368）</w:t>
      </w:r>
      <w:r>
        <w:rPr>
          <w:rFonts w:hint="eastAsia"/>
        </w:rPr>
        <w:t xml:space="preserve">：控股股东披露增持股份计划。</w:t>
      </w:r>
    </w:p>
    <w:p>
      <w:pPr>
        <w:pStyle w:val="Compact"/>
        <w:numPr>
          <w:ilvl w:val="0"/>
          <w:numId w:val="1019"/>
        </w:numPr>
      </w:pPr>
      <w:r>
        <w:rPr>
          <w:rFonts w:hint="eastAsia"/>
          <w:b/>
          <w:bCs/>
        </w:rPr>
        <w:t xml:space="preserve">洁美科技（002859）</w:t>
      </w:r>
      <w:r>
        <w:rPr>
          <w:rFonts w:hint="eastAsia"/>
        </w:rPr>
        <w:t xml:space="preserve">：发行股份购买资产并募集配套资金申请获深交所受理。</w:t>
      </w:r>
    </w:p>
    <w:p>
      <w:pPr>
        <w:pStyle w:val="Compact"/>
        <w:numPr>
          <w:ilvl w:val="0"/>
          <w:numId w:val="1019"/>
        </w:numPr>
      </w:pPr>
      <w:r>
        <w:rPr>
          <w:rFonts w:hint="eastAsia"/>
          <w:b/>
          <w:bCs/>
        </w:rPr>
        <w:t xml:space="preserve">石基信息（002153）</w:t>
      </w:r>
      <w:r>
        <w:rPr>
          <w:rFonts w:hint="eastAsia"/>
        </w:rPr>
        <w:t xml:space="preserve">：发行股份购买资产实施并披露新增股份上市相关文件。</w:t>
      </w:r>
    </w:p>
    <w:p>
      <w:pPr>
        <w:pStyle w:val="Compact"/>
        <w:numPr>
          <w:ilvl w:val="0"/>
          <w:numId w:val="1019"/>
        </w:numPr>
      </w:pPr>
      <w:r>
        <w:rPr>
          <w:rFonts w:hint="eastAsia"/>
          <w:b/>
          <w:bCs/>
        </w:rPr>
        <w:t xml:space="preserve">景旺电子（603228）</w:t>
      </w:r>
      <w:r>
        <w:rPr>
          <w:rFonts w:hint="eastAsia"/>
        </w:rPr>
        <w:t xml:space="preserve">：H股调入港股通标的证券名单。</w:t>
      </w:r>
    </w:p>
    <w:p>
      <w:pPr>
        <w:pStyle w:val="Compact"/>
        <w:numPr>
          <w:ilvl w:val="0"/>
          <w:numId w:val="1019"/>
        </w:numPr>
      </w:pPr>
      <w:r>
        <w:rPr>
          <w:rFonts w:hint="eastAsia"/>
          <w:b/>
          <w:bCs/>
        </w:rPr>
        <w:t xml:space="preserve">红塔证券（601236）</w:t>
      </w:r>
      <w:r>
        <w:rPr>
          <w:rFonts w:hint="eastAsia"/>
        </w:rPr>
        <w:t xml:space="preserve">：控股股东及一致行动人出具特定期间不减持承诺。</w:t>
      </w:r>
    </w:p>
    <w:bookmarkEnd w:id="23"/>
    <w:bookmarkStart w:id="24" w:name="风险与不确定性公告"/>
    <w:p>
      <w:pPr>
        <w:pStyle w:val="Heading3"/>
      </w:pPr>
      <w:r>
        <w:t xml:space="preserve">⚠️ </w:t>
      </w:r>
      <w:r>
        <w:rPr>
          <w:rFonts w:hint="eastAsia"/>
        </w:rPr>
        <w:t xml:space="preserve">风险与不确定性公告</w:t>
      </w:r>
    </w:p>
    <w:p>
      <w:pPr>
        <w:pStyle w:val="Compact"/>
        <w:numPr>
          <w:ilvl w:val="0"/>
          <w:numId w:val="1020"/>
        </w:numPr>
      </w:pPr>
      <w:r>
        <w:rPr>
          <w:rFonts w:hint="eastAsia"/>
          <w:b/>
          <w:bCs/>
        </w:rPr>
        <w:t xml:space="preserve">光华科技（002741）</w:t>
      </w:r>
      <w:r>
        <w:rPr>
          <w:rFonts w:hint="eastAsia"/>
        </w:rPr>
        <w:t xml:space="preserve">：大股东披露减持股份预案。</w:t>
      </w:r>
    </w:p>
    <w:p>
      <w:pPr>
        <w:pStyle w:val="Compact"/>
        <w:numPr>
          <w:ilvl w:val="0"/>
          <w:numId w:val="1020"/>
        </w:numPr>
      </w:pPr>
      <w:r>
        <w:rPr>
          <w:rFonts w:hint="eastAsia"/>
          <w:b/>
          <w:bCs/>
        </w:rPr>
        <w:t xml:space="preserve">中亚股份（300512）</w:t>
      </w:r>
      <w:r>
        <w:rPr>
          <w:rFonts w:hint="eastAsia"/>
        </w:rPr>
        <w:t xml:space="preserve">：董事长、实际控制人及一致行动人披露减持预案。</w:t>
      </w:r>
    </w:p>
    <w:p>
      <w:pPr>
        <w:pStyle w:val="Compact"/>
        <w:numPr>
          <w:ilvl w:val="0"/>
          <w:numId w:val="1020"/>
        </w:numPr>
      </w:pPr>
      <w:r>
        <w:rPr>
          <w:rFonts w:hint="eastAsia"/>
          <w:b/>
          <w:bCs/>
        </w:rPr>
        <w:t xml:space="preserve">绿通科技（301322）</w:t>
      </w:r>
      <w:r>
        <w:rPr>
          <w:rFonts w:hint="eastAsia"/>
        </w:rPr>
        <w:t xml:space="preserve">：部分董事、高级管理人员披露减持预案。</w:t>
      </w:r>
    </w:p>
    <w:p>
      <w:pPr>
        <w:pStyle w:val="Compact"/>
        <w:numPr>
          <w:ilvl w:val="0"/>
          <w:numId w:val="1020"/>
        </w:numPr>
      </w:pPr>
      <w:r>
        <w:rPr>
          <w:rFonts w:hint="eastAsia"/>
          <w:b/>
          <w:bCs/>
        </w:rPr>
        <w:t xml:space="preserve">飞龙股份（002536）</w:t>
      </w:r>
      <w:r>
        <w:rPr>
          <w:rFonts w:hint="eastAsia"/>
        </w:rPr>
        <w:t xml:space="preserve">：披露2026年前三季度业绩预告，具体业绩区间未在当前结构化字段中展开，影响方向需阅读公告原文后判断。</w:t>
      </w:r>
    </w:p>
    <w:p>
      <w:pPr>
        <w:pStyle w:val="Compact"/>
        <w:numPr>
          <w:ilvl w:val="0"/>
          <w:numId w:val="1020"/>
        </w:numPr>
      </w:pPr>
      <w:r>
        <w:rPr>
          <w:rFonts w:hint="eastAsia"/>
          <w:b/>
          <w:bCs/>
        </w:rPr>
        <w:t xml:space="preserve">西部材料（002149）</w:t>
      </w:r>
      <w:r>
        <w:rPr>
          <w:rFonts w:hint="eastAsia"/>
        </w:rPr>
        <w:t xml:space="preserve">：披露最近五年被监管部门和交易所处罚或采取监管措施及整改情况。</w:t>
      </w:r>
    </w:p>
    <w:p>
      <w:pPr>
        <w:pStyle w:val="Compact"/>
        <w:numPr>
          <w:ilvl w:val="0"/>
          <w:numId w:val="1020"/>
        </w:numPr>
      </w:pPr>
      <w:r>
        <w:rPr>
          <w:rFonts w:hint="eastAsia"/>
          <w:b/>
          <w:bCs/>
        </w:rPr>
        <w:t xml:space="preserve">金科股份（000656）</w:t>
      </w:r>
      <w:r>
        <w:rPr>
          <w:rFonts w:hint="eastAsia"/>
        </w:rPr>
        <w:t xml:space="preserve">：披露重整投资人受让资本公积转增部分限售股上市流通事项，需关注供给压力。</w:t>
      </w:r>
    </w:p>
    <w:bookmarkEnd w:id="24"/>
    <w:bookmarkStart w:id="25" w:name="停牌与重组事项"/>
    <w:p>
      <w:pPr>
        <w:pStyle w:val="Heading3"/>
      </w:pPr>
      <w:r>
        <w:t xml:space="preserve">⏸️ </w:t>
      </w:r>
      <w:r>
        <w:rPr>
          <w:rFonts w:hint="eastAsia"/>
        </w:rPr>
        <w:t xml:space="preserve">停牌与重组事项</w:t>
      </w:r>
    </w:p>
    <w:p>
      <w:pPr>
        <w:pStyle w:val="Compact"/>
        <w:numPr>
          <w:ilvl w:val="0"/>
          <w:numId w:val="1021"/>
        </w:numPr>
      </w:pPr>
      <w:r>
        <w:rPr>
          <w:rFonts w:hint="eastAsia"/>
          <w:b/>
          <w:bCs/>
        </w:rPr>
        <w:t xml:space="preserve">新亚制程（002388）</w:t>
      </w:r>
      <w:r>
        <w:rPr>
          <w:rFonts w:hint="eastAsia"/>
        </w:rPr>
        <w:t xml:space="preserve">：因筹划发行股份及支付现金购买资产并募集配套资金停牌。</w:t>
      </w:r>
    </w:p>
    <w:p>
      <w:pPr>
        <w:pStyle w:val="Compact"/>
        <w:numPr>
          <w:ilvl w:val="0"/>
          <w:numId w:val="1021"/>
        </w:numPr>
      </w:pPr>
      <w:r>
        <w:rPr>
          <w:rFonts w:hint="eastAsia"/>
          <w:b/>
          <w:bCs/>
        </w:rPr>
        <w:t xml:space="preserve">荣丰控股（000668）</w:t>
      </w:r>
      <w:r>
        <w:rPr>
          <w:rFonts w:hint="eastAsia"/>
        </w:rPr>
        <w:t xml:space="preserve">：因控股股东筹划控制权变更停牌。</w:t>
      </w:r>
    </w:p>
    <w:p>
      <w:pPr>
        <w:pStyle w:val="Compact"/>
        <w:numPr>
          <w:ilvl w:val="0"/>
          <w:numId w:val="1021"/>
        </w:numPr>
      </w:pPr>
      <w:r>
        <w:rPr>
          <w:rFonts w:hint="eastAsia"/>
          <w:b/>
          <w:bCs/>
        </w:rPr>
        <w:t xml:space="preserve">北部湾港（000582）</w:t>
      </w:r>
      <w:r>
        <w:rPr>
          <w:rFonts w:hint="eastAsia"/>
        </w:rPr>
        <w:t xml:space="preserve">：因筹划发行股份及支付现金购买资产并募集配套资金暨关联交易停牌。</w:t>
      </w:r>
    </w:p>
    <w:p>
      <w:pPr>
        <w:pStyle w:val="Compact"/>
        <w:numPr>
          <w:ilvl w:val="0"/>
          <w:numId w:val="1021"/>
        </w:numPr>
      </w:pPr>
      <w:r>
        <w:rPr>
          <w:rFonts w:hint="eastAsia"/>
          <w:b/>
          <w:bCs/>
        </w:rPr>
        <w:t xml:space="preserve">锦龙股份（000712）</w:t>
      </w:r>
      <w:r>
        <w:t xml:space="preserve">、</w:t>
      </w:r>
      <w:r>
        <w:rPr>
          <w:rFonts w:hint="eastAsia"/>
          <w:b/>
          <w:bCs/>
        </w:rPr>
        <w:t xml:space="preserve">汇绿生态（001267）</w:t>
      </w:r>
      <w:r>
        <w:rPr>
          <w:rFonts w:hint="eastAsia"/>
        </w:rPr>
        <w:t xml:space="preserve">：披露重大资产重组进展。</w:t>
      </w:r>
    </w:p>
    <w:p>
      <w:pPr>
        <w:pStyle w:val="FirstParagraph"/>
      </w:pPr>
      <w:r>
        <w:t xml:space="preserve">💡 </w:t>
      </w:r>
      <w:r>
        <w:rPr>
          <w:rFonts w:hint="eastAsia"/>
        </w:rPr>
        <w:t xml:space="preserve">回购、增持和重组受理属于事件催化，不代表趋势已经确认；减持、解禁与监管事项应优先纳入回避和仓位约束。</w:t>
      </w:r>
    </w:p>
    <w:p>
      <w:r>
        <w:pict>
          <v:rect style="width:0;height:1.5pt" o:hralign="center" o:hrstd="t" o:hr="t"/>
        </w:pict>
      </w:r>
    </w:p>
    <w:bookmarkEnd w:id="25"/>
    <w:bookmarkEnd w:id="26"/>
    <w:bookmarkStart w:id="27" w:name="四今日经济数据与重要事件"/>
    <w:p>
      <w:pPr>
        <w:pStyle w:val="Heading2"/>
      </w:pPr>
      <w:r>
        <w:t xml:space="preserve">🗓️ </w:t>
      </w:r>
      <w:r>
        <w:rPr>
          <w:rFonts w:hint="eastAsia"/>
        </w:rPr>
        <w:t xml:space="preserve">四、今日经济数据与重要事件</w:t>
      </w:r>
    </w:p>
    <w:p>
      <w:pPr>
        <w:pStyle w:val="FirstParagraph"/>
      </w:pPr>
      <w:r>
        <w:rPr>
          <w:rFonts w:hint="eastAsia"/>
        </w:rPr>
        <w:t xml:space="preserve">当前采集JSON未提供可核验的10月8日国内外宏观经济数据发布时间表，具体公布项目、时间和市场预期均记为</w:t>
      </w:r>
      <w:r>
        <w:rPr>
          <w:rFonts w:hint="eastAsia"/>
          <w:b/>
          <w:bCs/>
        </w:rPr>
        <w:t xml:space="preserve">暂缺确认</w:t>
      </w:r>
      <w:r>
        <w:rPr>
          <w:rFonts w:hint="eastAsia"/>
        </w:rPr>
        <w:t xml:space="preserve">，不补数。</w:t>
      </w:r>
    </w:p>
    <w:p>
      <w:pPr>
        <w:pStyle w:val="BodyText"/>
      </w:pPr>
      <w:r>
        <w:rPr>
          <w:rFonts w:hint="eastAsia"/>
        </w:rPr>
        <w:t xml:space="preserve">盘前可确认的事件线索：</w:t>
      </w:r>
    </w:p>
    <w:p>
      <w:pPr>
        <w:pStyle w:val="Compact"/>
        <w:numPr>
          <w:ilvl w:val="0"/>
          <w:numId w:val="1022"/>
        </w:numPr>
      </w:pPr>
      <w:r>
        <w:rPr>
          <w:rFonts w:hint="eastAsia"/>
        </w:rPr>
        <w:t xml:space="preserve">A股在国庆假期后恢复交易，上一有效交易日为2026年9月30日。</w:t>
      </w:r>
    </w:p>
    <w:p>
      <w:pPr>
        <w:pStyle w:val="Compact"/>
        <w:numPr>
          <w:ilvl w:val="0"/>
          <w:numId w:val="1022"/>
        </w:numPr>
      </w:pPr>
      <w:r>
        <w:rPr>
          <w:rFonts w:hint="eastAsia"/>
        </w:rPr>
        <w:t xml:space="preserve">国内进入三季度业绩预告与公告密集期，个股定价将更重视盈利兑现。</w:t>
      </w:r>
    </w:p>
    <w:p>
      <w:pPr>
        <w:pStyle w:val="Compact"/>
        <w:numPr>
          <w:ilvl w:val="0"/>
          <w:numId w:val="1022"/>
        </w:numPr>
      </w:pPr>
      <w:r>
        <w:rPr>
          <w:rFonts w:hint="eastAsia"/>
        </w:rPr>
        <w:t xml:space="preserve">海外需关注利率路径、美债收益率及地缘冲突对风险资产的扰动，但本轮未采集到可核验的具体会议或数据发布时间。</w:t>
      </w:r>
    </w:p>
    <w:p>
      <w:pPr>
        <w:pStyle w:val="FirstParagraph"/>
      </w:pPr>
      <w:r>
        <w:t xml:space="preserve">⚠️ </w:t>
      </w:r>
      <w:r>
        <w:rPr>
          <w:rFonts w:hint="eastAsia"/>
        </w:rPr>
        <w:t xml:space="preserve">盘中如遇未经当前数据链核验的宏观消息，不基于标题直接追单，至少等待官方来源、价格反应和成交量三项确认。</w:t>
      </w:r>
    </w:p>
    <w:p>
      <w:r>
        <w:pict>
          <v:rect style="width:0;height:1.5pt" o:hralign="center" o:hrstd="t" o:hr="t"/>
        </w:pict>
      </w:r>
    </w:p>
    <w:bookmarkEnd w:id="27"/>
    <w:bookmarkStart w:id="31" w:name="五全球事件能源与航运风险升温"/>
    <w:p>
      <w:pPr>
        <w:pStyle w:val="Heading2"/>
      </w:pPr>
      <w:r>
        <w:t xml:space="preserve">🌐 </w:t>
      </w:r>
      <w:r>
        <w:rPr>
          <w:rFonts w:hint="eastAsia"/>
        </w:rPr>
        <w:t xml:space="preserve">五、全球事件：能源与航运风险升温</w:t>
      </w:r>
    </w:p>
    <w:bookmarkStart w:id="28" w:name="欧洲核威慑升级"/>
    <w:p>
      <w:pPr>
        <w:pStyle w:val="Heading3"/>
      </w:pPr>
      <w:r>
        <w:t xml:space="preserve">⚠️ </w:t>
      </w:r>
      <w:r>
        <w:rPr>
          <w:rFonts w:hint="eastAsia"/>
        </w:rPr>
        <w:t xml:space="preserve">欧洲核威慑升级</w:t>
      </w:r>
    </w:p>
    <w:p>
      <w:pPr>
        <w:pStyle w:val="Compact"/>
        <w:numPr>
          <w:ilvl w:val="0"/>
          <w:numId w:val="1023"/>
        </w:numPr>
      </w:pPr>
      <w:r>
        <w:rPr>
          <w:rFonts w:hint="eastAsia"/>
        </w:rPr>
        <w:t xml:space="preserve">立陶宛议会就解除境内部署核武器禁令举行首轮表决。</w:t>
      </w:r>
    </w:p>
    <w:p>
      <w:pPr>
        <w:pStyle w:val="Compact"/>
        <w:numPr>
          <w:ilvl w:val="0"/>
          <w:numId w:val="1023"/>
        </w:numPr>
      </w:pPr>
      <w:r>
        <w:rPr>
          <w:rFonts w:hint="eastAsia"/>
        </w:rPr>
        <w:t xml:space="preserve">法国成功试射M51.3潜射洲际导弹。</w:t>
      </w:r>
    </w:p>
    <w:p>
      <w:pPr>
        <w:pStyle w:val="Compact"/>
        <w:numPr>
          <w:ilvl w:val="0"/>
          <w:numId w:val="1023"/>
        </w:numPr>
      </w:pPr>
      <w:r>
        <w:rPr>
          <w:rFonts w:hint="eastAsia"/>
        </w:rPr>
        <w:t xml:space="preserve">瑞典计划于12月向波兰部署“爱国者”防空系统。</w:t>
      </w:r>
    </w:p>
    <w:p>
      <w:pPr>
        <w:pStyle w:val="FirstParagraph"/>
      </w:pPr>
      <w:r>
        <w:rPr>
          <w:rFonts w:hint="eastAsia"/>
          <w:b/>
          <w:bCs/>
        </w:rPr>
        <w:t xml:space="preserve">市场影响：</w:t>
      </w:r>
      <w:r>
        <w:rPr>
          <w:rFonts w:hint="eastAsia"/>
        </w:rPr>
        <w:t xml:space="preserve">军工、防空系统和战略资源可能获得事件溢价，但欧洲地缘紧张也会抬升全球风险资产折价。</w:t>
      </w:r>
    </w:p>
    <w:bookmarkEnd w:id="28"/>
    <w:bookmarkStart w:id="29" w:name="中东冲突扰动"/>
    <w:p>
      <w:pPr>
        <w:pStyle w:val="Heading3"/>
      </w:pPr>
      <w:r>
        <w:t xml:space="preserve">⚠️ </w:t>
      </w:r>
      <w:r>
        <w:rPr>
          <w:rFonts w:hint="eastAsia"/>
        </w:rPr>
        <w:t xml:space="preserve">中东冲突扰动</w:t>
      </w:r>
    </w:p>
    <w:p>
      <w:pPr>
        <w:pStyle w:val="Compact"/>
        <w:numPr>
          <w:ilvl w:val="0"/>
          <w:numId w:val="1024"/>
        </w:numPr>
      </w:pPr>
      <w:r>
        <w:rPr>
          <w:rFonts w:hint="eastAsia"/>
        </w:rPr>
        <w:t xml:space="preserve">也门胡塞武装称打击沙特主要机场和空军基地。</w:t>
      </w:r>
    </w:p>
    <w:p>
      <w:pPr>
        <w:pStyle w:val="Compact"/>
        <w:numPr>
          <w:ilvl w:val="0"/>
          <w:numId w:val="1024"/>
        </w:numPr>
      </w:pPr>
      <w:r>
        <w:rPr>
          <w:rFonts w:hint="eastAsia"/>
        </w:rPr>
        <w:t xml:space="preserve">沙特主导的多国联军称拦截来袭导弹。</w:t>
      </w:r>
    </w:p>
    <w:p>
      <w:pPr>
        <w:pStyle w:val="Compact"/>
        <w:numPr>
          <w:ilvl w:val="0"/>
          <w:numId w:val="1024"/>
        </w:numPr>
      </w:pPr>
      <w:r>
        <w:rPr>
          <w:rFonts w:hint="eastAsia"/>
        </w:rPr>
        <w:t xml:space="preserve">加沙地带冲突持续。</w:t>
      </w:r>
    </w:p>
    <w:p>
      <w:pPr>
        <w:pStyle w:val="FirstParagraph"/>
      </w:pPr>
      <w:r>
        <w:rPr>
          <w:rFonts w:hint="eastAsia"/>
          <w:b/>
          <w:bCs/>
        </w:rPr>
        <w:t xml:space="preserve">市场影响：</w:t>
      </w:r>
      <w:r>
        <w:rPr>
          <w:rFonts w:hint="eastAsia"/>
        </w:rPr>
        <w:t xml:space="preserve">WTI原油上涨0.94%与事件方向一致。油气开采可能受益，航空、化工下游和物流企业面临成本压力。</w:t>
      </w:r>
    </w:p>
    <w:bookmarkEnd w:id="29"/>
    <w:bookmarkStart w:id="30" w:name="黑海航运安全风险"/>
    <w:p>
      <w:pPr>
        <w:pStyle w:val="Heading3"/>
      </w:pPr>
      <w:r>
        <w:t xml:space="preserve">⚠️ </w:t>
      </w:r>
      <w:r>
        <w:rPr>
          <w:rFonts w:hint="eastAsia"/>
        </w:rPr>
        <w:t xml:space="preserve">黑海航运安全风险</w:t>
      </w:r>
    </w:p>
    <w:p>
      <w:pPr>
        <w:pStyle w:val="Compact"/>
        <w:numPr>
          <w:ilvl w:val="0"/>
          <w:numId w:val="1025"/>
        </w:numPr>
      </w:pPr>
      <w:r>
        <w:rPr>
          <w:rFonts w:hint="eastAsia"/>
        </w:rPr>
        <w:t xml:space="preserve">多艘商船在黑海遭袭，其中一艘沉没。</w:t>
      </w:r>
    </w:p>
    <w:p>
      <w:pPr>
        <w:pStyle w:val="Compact"/>
        <w:numPr>
          <w:ilvl w:val="0"/>
          <w:numId w:val="1025"/>
        </w:numPr>
      </w:pPr>
      <w:r>
        <w:rPr>
          <w:rFonts w:hint="eastAsia"/>
        </w:rPr>
        <w:t xml:space="preserve">无人艇及无人机来源尚未确认。</w:t>
      </w:r>
    </w:p>
    <w:p>
      <w:pPr>
        <w:pStyle w:val="FirstParagraph"/>
      </w:pPr>
      <w:r>
        <w:rPr>
          <w:rFonts w:hint="eastAsia"/>
          <w:b/>
          <w:bCs/>
        </w:rPr>
        <w:t xml:space="preserve">市场影响：</w:t>
      </w:r>
      <w:r>
        <w:rPr>
          <w:rFonts w:hint="eastAsia"/>
        </w:rPr>
        <w:t xml:space="preserve">航运、油运、粮运和保险费率存在上升可能；但事件持续性和航线实际受阻程度尚暂缺确认，不追逐单日脉冲。</w:t>
      </w:r>
    </w:p>
    <w:p>
      <w:r>
        <w:pict>
          <v:rect style="width:0;height:1.5pt" o:hralign="center" o:hrstd="t" o:hr="t"/>
        </w:pict>
      </w:r>
    </w:p>
    <w:bookmarkEnd w:id="30"/>
    <w:bookmarkEnd w:id="31"/>
    <w:bookmarkStart w:id="37" w:name="六上一交易日复盘权重稳定科技资金分歧加剧"/>
    <w:p>
      <w:pPr>
        <w:pStyle w:val="Heading2"/>
      </w:pPr>
      <w:r>
        <w:t xml:space="preserve">📊 </w:t>
      </w:r>
      <w:r>
        <w:rPr>
          <w:rFonts w:hint="eastAsia"/>
        </w:rPr>
        <w:t xml:space="preserve">六、上一交易日复盘：权重稳定，科技资金分歧加剧</w:t>
      </w:r>
    </w:p>
    <w:p>
      <w:pPr>
        <w:pStyle w:val="FirstParagraph"/>
      </w:pPr>
      <w:r>
        <w:rPr>
          <w:rFonts w:hint="eastAsia"/>
        </w:rPr>
        <w:t xml:space="preserve">上一交易日为2026年9月30日。</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指数</w:t>
            </w:r>
          </w:p>
        </w:tc>
        <w:tc>
          <w:tcPr/>
          <w:p>
            <w:pPr>
              <w:pStyle w:val="Compact"/>
              <w:jc w:val="right"/>
            </w:pPr>
            <w:r>
              <w:rPr>
                <w:rFonts w:hint="eastAsia"/>
              </w:rPr>
              <w:t xml:space="preserve">收盘点位</w:t>
            </w:r>
          </w:p>
        </w:tc>
        <w:tc>
          <w:tcPr/>
          <w:p>
            <w:pPr>
              <w:pStyle w:val="Compact"/>
              <w:jc w:val="right"/>
            </w:pPr>
            <w:r>
              <w:rPr>
                <w:rFonts w:hint="eastAsia"/>
              </w:rPr>
              <w:t xml:space="preserve">涨跌幅</w:t>
            </w:r>
          </w:p>
        </w:tc>
      </w:tr>
      <w:tr>
        <w:tc>
          <w:tcPr/>
          <w:p>
            <w:pPr>
              <w:pStyle w:val="Compact"/>
            </w:pPr>
            <w:r>
              <w:rPr>
                <w:rFonts w:hint="eastAsia"/>
              </w:rPr>
              <w:t xml:space="preserve">上证指数</w:t>
            </w:r>
          </w:p>
        </w:tc>
        <w:tc>
          <w:tcPr/>
          <w:p>
            <w:pPr>
              <w:pStyle w:val="Compact"/>
              <w:jc w:val="right"/>
            </w:pPr>
            <w:r>
              <w:t xml:space="preserve">3842.1946</w:t>
            </w:r>
          </w:p>
        </w:tc>
        <w:tc>
          <w:tcPr/>
          <w:p>
            <w:pPr>
              <w:pStyle w:val="Compact"/>
              <w:jc w:val="right"/>
            </w:pPr>
            <w:r>
              <w:t xml:space="preserve">📈🔴 +0.3066%</w:t>
            </w:r>
          </w:p>
        </w:tc>
      </w:tr>
      <w:tr>
        <w:tc>
          <w:tcPr/>
          <w:p>
            <w:pPr>
              <w:pStyle w:val="Compact"/>
            </w:pPr>
            <w:r>
              <w:rPr>
                <w:rFonts w:hint="eastAsia"/>
              </w:rPr>
              <w:t xml:space="preserve">深证成指</w:t>
            </w:r>
          </w:p>
        </w:tc>
        <w:tc>
          <w:tcPr/>
          <w:p>
            <w:pPr>
              <w:pStyle w:val="Compact"/>
              <w:jc w:val="right"/>
            </w:pPr>
            <w:r>
              <w:t xml:space="preserve">12887.6200</w:t>
            </w:r>
          </w:p>
        </w:tc>
        <w:tc>
          <w:tcPr/>
          <w:p>
            <w:pPr>
              <w:pStyle w:val="Compact"/>
              <w:jc w:val="right"/>
            </w:pPr>
            <w:r>
              <w:t xml:space="preserve">📉🟢 -0.1110%</w:t>
            </w:r>
          </w:p>
        </w:tc>
      </w:tr>
      <w:tr>
        <w:tc>
          <w:tcPr/>
          <w:p>
            <w:pPr>
              <w:pStyle w:val="Compact"/>
            </w:pPr>
            <w:r>
              <w:rPr>
                <w:rFonts w:hint="eastAsia"/>
              </w:rPr>
              <w:t xml:space="preserve">创业板指</w:t>
            </w:r>
          </w:p>
        </w:tc>
        <w:tc>
          <w:tcPr/>
          <w:p>
            <w:pPr>
              <w:pStyle w:val="Compact"/>
              <w:jc w:val="right"/>
            </w:pPr>
            <w:r>
              <w:t xml:space="preserve">3135.2770</w:t>
            </w:r>
          </w:p>
        </w:tc>
        <w:tc>
          <w:tcPr/>
          <w:p>
            <w:pPr>
              <w:pStyle w:val="Compact"/>
              <w:jc w:val="right"/>
            </w:pPr>
            <w:r>
              <w:t xml:space="preserve">📉🟢 -0.2318%</w:t>
            </w:r>
          </w:p>
        </w:tc>
      </w:tr>
      <w:tr>
        <w:tc>
          <w:tcPr/>
          <w:p>
            <w:pPr>
              <w:pStyle w:val="Compact"/>
            </w:pPr>
            <w:r>
              <w:rPr>
                <w:rFonts w:hint="eastAsia"/>
              </w:rPr>
              <w:t xml:space="preserve">科创50</w:t>
            </w:r>
          </w:p>
        </w:tc>
        <w:tc>
          <w:tcPr/>
          <w:p>
            <w:pPr>
              <w:pStyle w:val="Compact"/>
              <w:jc w:val="right"/>
            </w:pPr>
            <w:r>
              <w:t xml:space="preserve">1530.0057</w:t>
            </w:r>
          </w:p>
        </w:tc>
        <w:tc>
          <w:tcPr/>
          <w:p>
            <w:pPr>
              <w:pStyle w:val="Compact"/>
              <w:jc w:val="right"/>
            </w:pPr>
            <w:r>
              <w:t xml:space="preserve">📉🟢 -2.5063%</w:t>
            </w:r>
          </w:p>
        </w:tc>
      </w:tr>
      <w:tr>
        <w:tc>
          <w:tcPr/>
          <w:p>
            <w:pPr>
              <w:pStyle w:val="Compact"/>
            </w:pPr>
            <w:r>
              <w:rPr>
                <w:rFonts w:hint="eastAsia"/>
              </w:rPr>
              <w:t xml:space="preserve">沪深300</w:t>
            </w:r>
          </w:p>
        </w:tc>
        <w:tc>
          <w:tcPr/>
          <w:p>
            <w:pPr>
              <w:pStyle w:val="Compact"/>
              <w:jc w:val="right"/>
            </w:pPr>
            <w:r>
              <w:t xml:space="preserve">4357.6155</w:t>
            </w:r>
          </w:p>
        </w:tc>
        <w:tc>
          <w:tcPr/>
          <w:p>
            <w:pPr>
              <w:pStyle w:val="Compact"/>
              <w:jc w:val="right"/>
            </w:pPr>
            <w:r>
              <w:t xml:space="preserve">📈🔴 +0.2855%</w:t>
            </w:r>
          </w:p>
        </w:tc>
      </w:tr>
    </w:tbl>
    <w:p>
      <w:pPr>
        <w:pStyle w:val="Compact"/>
        <w:numPr>
          <w:ilvl w:val="0"/>
          <w:numId w:val="1026"/>
        </w:numPr>
      </w:pPr>
      <w:r>
        <w:rPr>
          <w:rFonts w:hint="eastAsia"/>
        </w:rPr>
        <w:t xml:space="preserve">上证指数和沪深300收红，创业板与科创50走弱，市场明显偏向权重和价值。</w:t>
      </w:r>
    </w:p>
    <w:p>
      <w:pPr>
        <w:pStyle w:val="Compact"/>
        <w:numPr>
          <w:ilvl w:val="0"/>
          <w:numId w:val="1026"/>
        </w:numPr>
      </w:pPr>
      <w:r>
        <w:rPr>
          <w:rFonts w:hint="eastAsia"/>
        </w:rPr>
        <w:t xml:space="preserve">科创50下跌2.5063%，显著弱于沪深300，科技成长承受集中抛压。</w:t>
      </w:r>
    </w:p>
    <w:p>
      <w:pPr>
        <w:pStyle w:val="Compact"/>
        <w:numPr>
          <w:ilvl w:val="0"/>
          <w:numId w:val="1026"/>
        </w:numPr>
      </w:pPr>
      <w:r>
        <w:rPr>
          <w:rFonts w:hint="eastAsia"/>
        </w:rPr>
        <w:t xml:space="preserve">全市场成交额14500.49亿元，较前一交易日14215.97亿元增加284.53亿元，增幅2.00%。</w:t>
      </w:r>
    </w:p>
    <w:p>
      <w:pPr>
        <w:pStyle w:val="Compact"/>
        <w:numPr>
          <w:ilvl w:val="0"/>
          <w:numId w:val="1026"/>
        </w:numPr>
      </w:pPr>
      <w:r>
        <w:rPr>
          <w:rFonts w:hint="eastAsia"/>
        </w:rPr>
        <w:t xml:space="preserve">成交额有所增加，但新增量未推动科技指数走强，说明放量中包含较明显的高位换手和资金迁移。</w:t>
      </w:r>
    </w:p>
    <w:p>
      <w:pPr>
        <w:pStyle w:val="Compact"/>
        <w:numPr>
          <w:ilvl w:val="0"/>
          <w:numId w:val="1026"/>
        </w:numPr>
      </w:pPr>
      <w:r>
        <w:rPr>
          <w:rFonts w:hint="eastAsia"/>
        </w:rPr>
        <w:t xml:space="preserve">TickFlow全市场日线显示，上涨2557只、下跌2833只、平盘171只；MA20上方股票占32.1885%，MA60上方占47.0239%，中期趋势修复仍不充分。</w:t>
      </w:r>
    </w:p>
    <w:bookmarkStart w:id="32" w:name="上一交易日资金四榜"/>
    <w:p>
      <w:pPr>
        <w:pStyle w:val="Heading3"/>
      </w:pPr>
      <w:r>
        <w:t xml:space="preserve">💰 </w:t>
      </w:r>
      <w:r>
        <w:rPr>
          <w:rFonts w:hint="eastAsia"/>
        </w:rPr>
        <w:t xml:space="preserve">上一交易日资金四榜</w:t>
      </w:r>
    </w:p>
    <w:p>
      <w:pPr>
        <w:pStyle w:val="FirstParagraph"/>
      </w:pPr>
      <w:r>
        <w:rPr>
          <w:rFonts w:hint="eastAsia"/>
          <w:b/>
          <w:bCs/>
        </w:rPr>
        <w:t xml:space="preserve">统一口径：交易日2026年9月30日，15:00，previous_close，申万二级行业；来源：华泰skill。个股榜金额为上一交易日主力买入或卖出金额，不展示报告日盘中价格及涨跌幅。</w:t>
      </w:r>
    </w:p>
    <w:bookmarkEnd w:id="32"/>
    <w:bookmarkStart w:id="33" w:name="流出top10板块"/>
    <w:p>
      <w:pPr>
        <w:pStyle w:val="Heading3"/>
      </w:pPr>
      <w:r>
        <w:t xml:space="preserve">💰 1. </w:t>
      </w:r>
      <w:r>
        <w:rPr>
          <w:rFonts w:hint="eastAsia"/>
        </w:rPr>
        <w:t xml:space="preserve">流出TOP10板块</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主力净流出</w:t>
            </w:r>
          </w:p>
        </w:tc>
      </w:tr>
      <w:tr>
        <w:tc>
          <w:tcPr/>
          <w:p>
            <w:pPr>
              <w:pStyle w:val="Compact"/>
              <w:jc w:val="right"/>
            </w:pPr>
            <w:r>
              <w:t xml:space="preserve">1</w:t>
            </w:r>
          </w:p>
        </w:tc>
        <w:tc>
          <w:tcPr/>
          <w:p>
            <w:pPr>
              <w:pStyle w:val="Compact"/>
            </w:pPr>
            <w:r>
              <w:rPr>
                <w:rFonts w:hint="eastAsia"/>
              </w:rPr>
              <w:t xml:space="preserve">半导体</w:t>
            </w:r>
          </w:p>
        </w:tc>
        <w:tc>
          <w:tcPr/>
          <w:p>
            <w:pPr>
              <w:pStyle w:val="Compact"/>
              <w:jc w:val="right"/>
            </w:pPr>
            <w:r>
              <w:rPr>
                <w:rFonts w:hint="eastAsia"/>
              </w:rPr>
              <w:t xml:space="preserve">-101.92亿元</w:t>
            </w:r>
          </w:p>
        </w:tc>
      </w:tr>
      <w:tr>
        <w:tc>
          <w:tcPr/>
          <w:p>
            <w:pPr>
              <w:pStyle w:val="Compact"/>
              <w:jc w:val="right"/>
            </w:pPr>
            <w:r>
              <w:t xml:space="preserve">2</w:t>
            </w:r>
          </w:p>
        </w:tc>
        <w:tc>
          <w:tcPr/>
          <w:p>
            <w:pPr>
              <w:pStyle w:val="Compact"/>
            </w:pPr>
            <w:r>
              <w:rPr>
                <w:rFonts w:hint="eastAsia"/>
              </w:rPr>
              <w:t xml:space="preserve">元件</w:t>
            </w:r>
          </w:p>
        </w:tc>
        <w:tc>
          <w:tcPr/>
          <w:p>
            <w:pPr>
              <w:pStyle w:val="Compact"/>
              <w:jc w:val="right"/>
            </w:pPr>
            <w:r>
              <w:rPr>
                <w:rFonts w:hint="eastAsia"/>
              </w:rPr>
              <w:t xml:space="preserve">-39.33亿元</w:t>
            </w:r>
          </w:p>
        </w:tc>
      </w:tr>
      <w:tr>
        <w:tc>
          <w:tcPr/>
          <w:p>
            <w:pPr>
              <w:pStyle w:val="Compact"/>
              <w:jc w:val="right"/>
            </w:pPr>
            <w:r>
              <w:t xml:space="preserve">3</w:t>
            </w:r>
          </w:p>
        </w:tc>
        <w:tc>
          <w:tcPr/>
          <w:p>
            <w:pPr>
              <w:pStyle w:val="Compact"/>
            </w:pPr>
            <w:r>
              <w:rPr>
                <w:rFonts w:hint="eastAsia"/>
              </w:rPr>
              <w:t xml:space="preserve">通用设备</w:t>
            </w:r>
          </w:p>
        </w:tc>
        <w:tc>
          <w:tcPr/>
          <w:p>
            <w:pPr>
              <w:pStyle w:val="Compact"/>
              <w:jc w:val="right"/>
            </w:pPr>
            <w:r>
              <w:rPr>
                <w:rFonts w:hint="eastAsia"/>
              </w:rPr>
              <w:t xml:space="preserve">-14.58亿元</w:t>
            </w:r>
          </w:p>
        </w:tc>
      </w:tr>
      <w:tr>
        <w:tc>
          <w:tcPr/>
          <w:p>
            <w:pPr>
              <w:pStyle w:val="Compact"/>
              <w:jc w:val="right"/>
            </w:pPr>
            <w:r>
              <w:t xml:space="preserve">4</w:t>
            </w:r>
          </w:p>
        </w:tc>
        <w:tc>
          <w:tcPr/>
          <w:p>
            <w:pPr>
              <w:pStyle w:val="Compact"/>
            </w:pPr>
            <w:r>
              <w:rPr>
                <w:rFonts w:hint="eastAsia"/>
              </w:rPr>
              <w:t xml:space="preserve">IT服务Ⅱ</w:t>
            </w:r>
          </w:p>
        </w:tc>
        <w:tc>
          <w:tcPr/>
          <w:p>
            <w:pPr>
              <w:pStyle w:val="Compact"/>
              <w:jc w:val="right"/>
            </w:pPr>
            <w:r>
              <w:rPr>
                <w:rFonts w:hint="eastAsia"/>
              </w:rPr>
              <w:t xml:space="preserve">-10.46亿元</w:t>
            </w:r>
          </w:p>
        </w:tc>
      </w:tr>
      <w:tr>
        <w:tc>
          <w:tcPr/>
          <w:p>
            <w:pPr>
              <w:pStyle w:val="Compact"/>
              <w:jc w:val="right"/>
            </w:pPr>
            <w:r>
              <w:t xml:space="preserve">5</w:t>
            </w:r>
          </w:p>
        </w:tc>
        <w:tc>
          <w:tcPr/>
          <w:p>
            <w:pPr>
              <w:pStyle w:val="Compact"/>
            </w:pPr>
            <w:r>
              <w:rPr>
                <w:rFonts w:hint="eastAsia"/>
              </w:rPr>
              <w:t xml:space="preserve">软件开发</w:t>
            </w:r>
          </w:p>
        </w:tc>
        <w:tc>
          <w:tcPr/>
          <w:p>
            <w:pPr>
              <w:pStyle w:val="Compact"/>
              <w:jc w:val="right"/>
            </w:pPr>
            <w:r>
              <w:rPr>
                <w:rFonts w:hint="eastAsia"/>
              </w:rPr>
              <w:t xml:space="preserve">-10.29亿元</w:t>
            </w: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主力净流出</w:t>
            </w:r>
          </w:p>
        </w:tc>
      </w:tr>
      <w:tr>
        <w:tc>
          <w:tcPr/>
          <w:p>
            <w:pPr>
              <w:pStyle w:val="Compact"/>
              <w:jc w:val="right"/>
            </w:pPr>
            <w:r>
              <w:t xml:space="preserve">6</w:t>
            </w:r>
          </w:p>
        </w:tc>
        <w:tc>
          <w:tcPr/>
          <w:p>
            <w:pPr>
              <w:pStyle w:val="Compact"/>
            </w:pPr>
            <w:r>
              <w:rPr>
                <w:rFonts w:hint="eastAsia"/>
              </w:rPr>
              <w:t xml:space="preserve">广告营销</w:t>
            </w:r>
          </w:p>
        </w:tc>
        <w:tc>
          <w:tcPr/>
          <w:p>
            <w:pPr>
              <w:pStyle w:val="Compact"/>
              <w:jc w:val="right"/>
            </w:pPr>
            <w:r>
              <w:rPr>
                <w:rFonts w:hint="eastAsia"/>
              </w:rPr>
              <w:t xml:space="preserve">-8.61亿元</w:t>
            </w:r>
          </w:p>
        </w:tc>
      </w:tr>
      <w:tr>
        <w:tc>
          <w:tcPr/>
          <w:p>
            <w:pPr>
              <w:pStyle w:val="Compact"/>
              <w:jc w:val="right"/>
            </w:pPr>
            <w:r>
              <w:t xml:space="preserve">7</w:t>
            </w:r>
          </w:p>
        </w:tc>
        <w:tc>
          <w:tcPr/>
          <w:p>
            <w:pPr>
              <w:pStyle w:val="Compact"/>
            </w:pPr>
            <w:r>
              <w:rPr>
                <w:rFonts w:hint="eastAsia"/>
              </w:rPr>
              <w:t xml:space="preserve">计算机设备</w:t>
            </w:r>
          </w:p>
        </w:tc>
        <w:tc>
          <w:tcPr/>
          <w:p>
            <w:pPr>
              <w:pStyle w:val="Compact"/>
              <w:jc w:val="right"/>
            </w:pPr>
            <w:r>
              <w:rPr>
                <w:rFonts w:hint="eastAsia"/>
              </w:rPr>
              <w:t xml:space="preserve">-8.58亿元</w:t>
            </w:r>
          </w:p>
        </w:tc>
      </w:tr>
      <w:tr>
        <w:tc>
          <w:tcPr/>
          <w:p>
            <w:pPr>
              <w:pStyle w:val="Compact"/>
              <w:jc w:val="right"/>
            </w:pPr>
            <w:r>
              <w:t xml:space="preserve">8</w:t>
            </w:r>
          </w:p>
        </w:tc>
        <w:tc>
          <w:tcPr/>
          <w:p>
            <w:pPr>
              <w:pStyle w:val="Compact"/>
            </w:pPr>
            <w:r>
              <w:rPr>
                <w:rFonts w:hint="eastAsia"/>
              </w:rPr>
              <w:t xml:space="preserve">专用设备</w:t>
            </w:r>
          </w:p>
        </w:tc>
        <w:tc>
          <w:tcPr/>
          <w:p>
            <w:pPr>
              <w:pStyle w:val="Compact"/>
              <w:jc w:val="right"/>
            </w:pPr>
            <w:r>
              <w:rPr>
                <w:rFonts w:hint="eastAsia"/>
              </w:rPr>
              <w:t xml:space="preserve">-8.50亿元</w:t>
            </w:r>
          </w:p>
        </w:tc>
      </w:tr>
      <w:tr>
        <w:tc>
          <w:tcPr/>
          <w:p>
            <w:pPr>
              <w:pStyle w:val="Compact"/>
              <w:jc w:val="right"/>
            </w:pPr>
            <w:r>
              <w:t xml:space="preserve">9</w:t>
            </w:r>
          </w:p>
        </w:tc>
        <w:tc>
          <w:tcPr/>
          <w:p>
            <w:pPr>
              <w:pStyle w:val="Compact"/>
            </w:pPr>
            <w:r>
              <w:rPr>
                <w:rFonts w:hint="eastAsia"/>
              </w:rPr>
              <w:t xml:space="preserve">消费电子</w:t>
            </w:r>
          </w:p>
        </w:tc>
        <w:tc>
          <w:tcPr/>
          <w:p>
            <w:pPr>
              <w:pStyle w:val="Compact"/>
              <w:jc w:val="right"/>
            </w:pPr>
            <w:r>
              <w:rPr>
                <w:rFonts w:hint="eastAsia"/>
              </w:rPr>
              <w:t xml:space="preserve">-7.25亿元</w:t>
            </w:r>
          </w:p>
        </w:tc>
      </w:tr>
      <w:tr>
        <w:tc>
          <w:tcPr/>
          <w:p>
            <w:pPr>
              <w:pStyle w:val="Compact"/>
              <w:jc w:val="right"/>
            </w:pPr>
            <w:r>
              <w:t xml:space="preserve">10</w:t>
            </w:r>
          </w:p>
        </w:tc>
        <w:tc>
          <w:tcPr/>
          <w:p>
            <w:pPr>
              <w:pStyle w:val="Compact"/>
            </w:pPr>
            <w:r>
              <w:rPr>
                <w:rFonts w:hint="eastAsia"/>
              </w:rPr>
              <w:t xml:space="preserve">玻璃玻纤</w:t>
            </w:r>
          </w:p>
        </w:tc>
        <w:tc>
          <w:tcPr/>
          <w:p>
            <w:pPr>
              <w:pStyle w:val="Compact"/>
              <w:jc w:val="right"/>
            </w:pPr>
            <w:r>
              <w:rPr>
                <w:rFonts w:hint="eastAsia"/>
              </w:rPr>
              <w:t xml:space="preserve">-6.82亿元</w:t>
            </w:r>
          </w:p>
        </w:tc>
      </w:tr>
    </w:tbl>
    <w:bookmarkEnd w:id="33"/>
    <w:bookmarkStart w:id="34" w:name="流出top10个股"/>
    <w:p>
      <w:pPr>
        <w:pStyle w:val="Heading3"/>
      </w:pPr>
      <w:r>
        <w:t xml:space="preserve">💰 2. </w:t>
      </w:r>
      <w:r>
        <w:rPr>
          <w:rFonts w:hint="eastAsia"/>
        </w:rPr>
        <w:t xml:space="preserve">流出TOP10个股</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jc w:val="right"/>
            </w:pPr>
            <w:r>
              <w:rPr>
                <w:rFonts w:hint="eastAsia"/>
              </w:rPr>
              <w:t xml:space="preserve">主力净流出</w:t>
            </w:r>
          </w:p>
        </w:tc>
      </w:tr>
      <w:tr>
        <w:tc>
          <w:tcPr/>
          <w:p>
            <w:pPr>
              <w:pStyle w:val="Compact"/>
              <w:jc w:val="right"/>
            </w:pPr>
            <w:r>
              <w:t xml:space="preserve">1</w:t>
            </w:r>
          </w:p>
        </w:tc>
        <w:tc>
          <w:tcPr/>
          <w:p>
            <w:pPr>
              <w:pStyle w:val="Compact"/>
            </w:pPr>
            <w:r>
              <w:rPr>
                <w:rFonts w:hint="eastAsia"/>
              </w:rPr>
              <w:t xml:space="preserve">寒武纪(688256)</w:t>
            </w:r>
          </w:p>
        </w:tc>
        <w:tc>
          <w:tcPr/>
          <w:p>
            <w:pPr>
              <w:pStyle w:val="Compact"/>
              <w:jc w:val="right"/>
            </w:pPr>
            <w:r>
              <w:rPr>
                <w:rFonts w:hint="eastAsia"/>
              </w:rPr>
              <w:t xml:space="preserve">-82.37亿</w:t>
            </w:r>
          </w:p>
        </w:tc>
      </w:tr>
      <w:tr>
        <w:tc>
          <w:tcPr/>
          <w:p>
            <w:pPr>
              <w:pStyle w:val="Compact"/>
              <w:jc w:val="right"/>
            </w:pPr>
            <w:r>
              <w:t xml:space="preserve">2</w:t>
            </w:r>
          </w:p>
        </w:tc>
        <w:tc>
          <w:tcPr/>
          <w:p>
            <w:pPr>
              <w:pStyle w:val="Compact"/>
            </w:pPr>
            <w:r>
              <w:rPr>
                <w:rFonts w:hint="eastAsia"/>
              </w:rPr>
              <w:t xml:space="preserve">中际旭创(300308)</w:t>
            </w:r>
          </w:p>
        </w:tc>
        <w:tc>
          <w:tcPr/>
          <w:p>
            <w:pPr>
              <w:pStyle w:val="Compact"/>
              <w:jc w:val="right"/>
            </w:pPr>
            <w:r>
              <w:rPr>
                <w:rFonts w:hint="eastAsia"/>
              </w:rPr>
              <w:t xml:space="preserve">-75.83亿</w:t>
            </w:r>
          </w:p>
        </w:tc>
      </w:tr>
      <w:tr>
        <w:tc>
          <w:tcPr/>
          <w:p>
            <w:pPr>
              <w:pStyle w:val="Compact"/>
              <w:jc w:val="right"/>
            </w:pPr>
            <w:r>
              <w:t xml:space="preserve">3</w:t>
            </w:r>
          </w:p>
        </w:tc>
        <w:tc>
          <w:tcPr/>
          <w:p>
            <w:pPr>
              <w:pStyle w:val="Compact"/>
            </w:pPr>
            <w:r>
              <w:rPr>
                <w:rFonts w:hint="eastAsia"/>
              </w:rPr>
              <w:t xml:space="preserve">新易盛(300502)</w:t>
            </w:r>
          </w:p>
        </w:tc>
        <w:tc>
          <w:tcPr/>
          <w:p>
            <w:pPr>
              <w:pStyle w:val="Compact"/>
              <w:jc w:val="right"/>
            </w:pPr>
            <w:r>
              <w:rPr>
                <w:rFonts w:hint="eastAsia"/>
              </w:rPr>
              <w:t xml:space="preserve">-48.10亿</w:t>
            </w:r>
          </w:p>
        </w:tc>
      </w:tr>
      <w:tr>
        <w:tc>
          <w:tcPr/>
          <w:p>
            <w:pPr>
              <w:pStyle w:val="Compact"/>
              <w:jc w:val="right"/>
            </w:pPr>
            <w:r>
              <w:t xml:space="preserve">4</w:t>
            </w:r>
          </w:p>
        </w:tc>
        <w:tc>
          <w:tcPr/>
          <w:p>
            <w:pPr>
              <w:pStyle w:val="Compact"/>
            </w:pPr>
            <w:r>
              <w:rPr>
                <w:rFonts w:hint="eastAsia"/>
              </w:rPr>
              <w:t xml:space="preserve">宁德时代(300750)</w:t>
            </w:r>
          </w:p>
        </w:tc>
        <w:tc>
          <w:tcPr/>
          <w:p>
            <w:pPr>
              <w:pStyle w:val="Compact"/>
              <w:jc w:val="right"/>
            </w:pPr>
            <w:r>
              <w:rPr>
                <w:rFonts w:hint="eastAsia"/>
              </w:rPr>
              <w:t xml:space="preserve">-40.15亿</w:t>
            </w:r>
          </w:p>
        </w:tc>
      </w:tr>
      <w:tr>
        <w:tc>
          <w:tcPr/>
          <w:p>
            <w:pPr>
              <w:pStyle w:val="Compact"/>
              <w:jc w:val="right"/>
            </w:pPr>
            <w:r>
              <w:t xml:space="preserve">5</w:t>
            </w:r>
          </w:p>
        </w:tc>
        <w:tc>
          <w:tcPr/>
          <w:p>
            <w:pPr>
              <w:pStyle w:val="Compact"/>
            </w:pPr>
            <w:r>
              <w:rPr>
                <w:rFonts w:hint="eastAsia"/>
              </w:rPr>
              <w:t xml:space="preserve">长鑫科技(688825)</w:t>
            </w:r>
          </w:p>
        </w:tc>
        <w:tc>
          <w:tcPr/>
          <w:p>
            <w:pPr>
              <w:pStyle w:val="Compact"/>
              <w:jc w:val="right"/>
            </w:pPr>
            <w:r>
              <w:rPr>
                <w:rFonts w:hint="eastAsia"/>
              </w:rPr>
              <w:t xml:space="preserve">-39.94亿</w:t>
            </w:r>
          </w:p>
        </w:tc>
      </w:tr>
      <w:tr>
        <w:tc>
          <w:tcPr/>
          <w:p>
            <w:pPr>
              <w:pStyle w:val="Compact"/>
              <w:jc w:val="right"/>
            </w:pPr>
            <w:r>
              <w:t xml:space="preserve">6</w:t>
            </w:r>
          </w:p>
        </w:tc>
        <w:tc>
          <w:tcPr/>
          <w:p>
            <w:pPr>
              <w:pStyle w:val="Compact"/>
            </w:pPr>
            <w:r>
              <w:rPr>
                <w:rFonts w:hint="eastAsia"/>
              </w:rPr>
              <w:t xml:space="preserve">兆易创新(603986)</w:t>
            </w:r>
          </w:p>
        </w:tc>
        <w:tc>
          <w:tcPr/>
          <w:p>
            <w:pPr>
              <w:pStyle w:val="Compact"/>
              <w:jc w:val="right"/>
            </w:pPr>
            <w:r>
              <w:rPr>
                <w:rFonts w:hint="eastAsia"/>
              </w:rPr>
              <w:t xml:space="preserve">-38.19亿</w:t>
            </w:r>
          </w:p>
        </w:tc>
      </w:tr>
      <w:tr>
        <w:tc>
          <w:tcPr/>
          <w:p>
            <w:pPr>
              <w:pStyle w:val="Compact"/>
              <w:jc w:val="right"/>
            </w:pPr>
            <w:r>
              <w:t xml:space="preserve">7</w:t>
            </w:r>
          </w:p>
        </w:tc>
        <w:tc>
          <w:tcPr/>
          <w:p>
            <w:pPr>
              <w:pStyle w:val="Compact"/>
            </w:pPr>
            <w:r>
              <w:rPr>
                <w:rFonts w:hint="eastAsia"/>
              </w:rPr>
              <w:t xml:space="preserve">亨通光电(600487)</w:t>
            </w:r>
          </w:p>
        </w:tc>
        <w:tc>
          <w:tcPr/>
          <w:p>
            <w:pPr>
              <w:pStyle w:val="Compact"/>
              <w:jc w:val="right"/>
            </w:pPr>
            <w:r>
              <w:rPr>
                <w:rFonts w:hint="eastAsia"/>
              </w:rPr>
              <w:t xml:space="preserve">-37.28亿</w:t>
            </w:r>
          </w:p>
        </w:tc>
      </w:tr>
      <w:tr>
        <w:tc>
          <w:tcPr/>
          <w:p>
            <w:pPr>
              <w:pStyle w:val="Compact"/>
              <w:jc w:val="right"/>
            </w:pPr>
            <w:r>
              <w:t xml:space="preserve">8</w:t>
            </w:r>
          </w:p>
        </w:tc>
        <w:tc>
          <w:tcPr/>
          <w:p>
            <w:pPr>
              <w:pStyle w:val="Compact"/>
            </w:pPr>
            <w:r>
              <w:rPr>
                <w:rFonts w:hint="eastAsia"/>
              </w:rPr>
              <w:t xml:space="preserve">天孚通信(300394)</w:t>
            </w:r>
          </w:p>
        </w:tc>
        <w:tc>
          <w:tcPr/>
          <w:p>
            <w:pPr>
              <w:pStyle w:val="Compact"/>
              <w:jc w:val="right"/>
            </w:pPr>
            <w:r>
              <w:rPr>
                <w:rFonts w:hint="eastAsia"/>
              </w:rPr>
              <w:t xml:space="preserve">-31.74亿</w:t>
            </w:r>
          </w:p>
        </w:tc>
      </w:tr>
      <w:tr>
        <w:tc>
          <w:tcPr/>
          <w:p>
            <w:pPr>
              <w:pStyle w:val="Compact"/>
              <w:jc w:val="right"/>
            </w:pPr>
            <w:r>
              <w:t xml:space="preserve">9</w:t>
            </w:r>
          </w:p>
        </w:tc>
        <w:tc>
          <w:tcPr/>
          <w:p>
            <w:pPr>
              <w:pStyle w:val="Compact"/>
            </w:pPr>
            <w:r>
              <w:rPr>
                <w:rFonts w:hint="eastAsia"/>
              </w:rPr>
              <w:t xml:space="preserve">芯原股份(688521)</w:t>
            </w:r>
          </w:p>
        </w:tc>
        <w:tc>
          <w:tcPr/>
          <w:p>
            <w:pPr>
              <w:pStyle w:val="Compact"/>
              <w:jc w:val="right"/>
            </w:pPr>
            <w:r>
              <w:rPr>
                <w:rFonts w:hint="eastAsia"/>
              </w:rPr>
              <w:t xml:space="preserve">-31.26亿</w:t>
            </w:r>
          </w:p>
        </w:tc>
      </w:tr>
      <w:tr>
        <w:tc>
          <w:tcPr/>
          <w:p>
            <w:pPr>
              <w:pStyle w:val="Compact"/>
              <w:jc w:val="right"/>
            </w:pPr>
            <w:r>
              <w:t xml:space="preserve">10</w:t>
            </w:r>
          </w:p>
        </w:tc>
        <w:tc>
          <w:tcPr/>
          <w:p>
            <w:pPr>
              <w:pStyle w:val="Compact"/>
            </w:pPr>
            <w:r>
              <w:rPr>
                <w:rFonts w:hint="eastAsia"/>
              </w:rPr>
              <w:t xml:space="preserve">江淮汽车(600418)</w:t>
            </w:r>
          </w:p>
        </w:tc>
        <w:tc>
          <w:tcPr/>
          <w:p>
            <w:pPr>
              <w:pStyle w:val="Compact"/>
              <w:jc w:val="right"/>
            </w:pPr>
            <w:r>
              <w:rPr>
                <w:rFonts w:hint="eastAsia"/>
              </w:rPr>
              <w:t xml:space="preserve">-30.61亿</w:t>
            </w:r>
          </w:p>
        </w:tc>
      </w:tr>
    </w:tbl>
    <w:bookmarkEnd w:id="34"/>
    <w:bookmarkStart w:id="35" w:name="流入top10板块"/>
    <w:p>
      <w:pPr>
        <w:pStyle w:val="Heading3"/>
      </w:pPr>
      <w:r>
        <w:t xml:space="preserve">💰 3. </w:t>
      </w:r>
      <w:r>
        <w:rPr>
          <w:rFonts w:hint="eastAsia"/>
        </w:rPr>
        <w:t xml:space="preserve">流入TOP10板块</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主力净流入</w:t>
            </w:r>
          </w:p>
        </w:tc>
      </w:tr>
      <w:tr>
        <w:tc>
          <w:tcPr/>
          <w:p>
            <w:pPr>
              <w:pStyle w:val="Compact"/>
              <w:jc w:val="right"/>
            </w:pPr>
            <w:r>
              <w:t xml:space="preserve">1</w:t>
            </w:r>
          </w:p>
        </w:tc>
        <w:tc>
          <w:tcPr/>
          <w:p>
            <w:pPr>
              <w:pStyle w:val="Compact"/>
            </w:pPr>
            <w:r>
              <w:rPr>
                <w:rFonts w:hint="eastAsia"/>
              </w:rPr>
              <w:t xml:space="preserve">医疗服务</w:t>
            </w:r>
          </w:p>
        </w:tc>
        <w:tc>
          <w:tcPr/>
          <w:p>
            <w:pPr>
              <w:pStyle w:val="Compact"/>
              <w:jc w:val="right"/>
            </w:pPr>
            <w:r>
              <w:rPr>
                <w:rFonts w:hint="eastAsia"/>
              </w:rPr>
              <w:t xml:space="preserve">+26.03亿元</w:t>
            </w:r>
          </w:p>
        </w:tc>
      </w:tr>
      <w:tr>
        <w:tc>
          <w:tcPr/>
          <w:p>
            <w:pPr>
              <w:pStyle w:val="Compact"/>
              <w:jc w:val="right"/>
            </w:pPr>
            <w:r>
              <w:t xml:space="preserve">2</w:t>
            </w:r>
          </w:p>
        </w:tc>
        <w:tc>
          <w:tcPr/>
          <w:p>
            <w:pPr>
              <w:pStyle w:val="Compact"/>
            </w:pPr>
            <w:r>
              <w:rPr>
                <w:rFonts w:hint="eastAsia"/>
              </w:rPr>
              <w:t xml:space="preserve">化学制药</w:t>
            </w:r>
          </w:p>
        </w:tc>
        <w:tc>
          <w:tcPr/>
          <w:p>
            <w:pPr>
              <w:pStyle w:val="Compact"/>
              <w:jc w:val="right"/>
            </w:pPr>
            <w:r>
              <w:rPr>
                <w:rFonts w:hint="eastAsia"/>
              </w:rPr>
              <w:t xml:space="preserve">+19.45亿元</w:t>
            </w:r>
          </w:p>
        </w:tc>
      </w:tr>
      <w:tr>
        <w:tc>
          <w:tcPr/>
          <w:p>
            <w:pPr>
              <w:pStyle w:val="Compact"/>
              <w:jc w:val="right"/>
            </w:pPr>
            <w:r>
              <w:t xml:space="preserve">3</w:t>
            </w:r>
          </w:p>
        </w:tc>
        <w:tc>
          <w:tcPr/>
          <w:p>
            <w:pPr>
              <w:pStyle w:val="Compact"/>
            </w:pPr>
            <w:r>
              <w:rPr>
                <w:rFonts w:hint="eastAsia"/>
              </w:rPr>
              <w:t xml:space="preserve">能源金属</w:t>
            </w:r>
          </w:p>
        </w:tc>
        <w:tc>
          <w:tcPr/>
          <w:p>
            <w:pPr>
              <w:pStyle w:val="Compact"/>
              <w:jc w:val="right"/>
            </w:pPr>
            <w:r>
              <w:rPr>
                <w:rFonts w:hint="eastAsia"/>
              </w:rPr>
              <w:t xml:space="preserve">+15.71亿元</w:t>
            </w:r>
          </w:p>
        </w:tc>
      </w:tr>
      <w:tr>
        <w:tc>
          <w:tcPr/>
          <w:p>
            <w:pPr>
              <w:pStyle w:val="Compact"/>
              <w:jc w:val="right"/>
            </w:pPr>
            <w:r>
              <w:t xml:space="preserve">4</w:t>
            </w:r>
          </w:p>
        </w:tc>
        <w:tc>
          <w:tcPr/>
          <w:p>
            <w:pPr>
              <w:pStyle w:val="Compact"/>
            </w:pPr>
            <w:r>
              <w:rPr>
                <w:rFonts w:hint="eastAsia"/>
              </w:rPr>
              <w:t xml:space="preserve">生物制品</w:t>
            </w:r>
          </w:p>
        </w:tc>
        <w:tc>
          <w:tcPr/>
          <w:p>
            <w:pPr>
              <w:pStyle w:val="Compact"/>
              <w:jc w:val="right"/>
            </w:pPr>
            <w:r>
              <w:rPr>
                <w:rFonts w:hint="eastAsia"/>
              </w:rPr>
              <w:t xml:space="preserve">+13.52亿元</w:t>
            </w:r>
          </w:p>
        </w:tc>
      </w:tr>
      <w:tr>
        <w:tc>
          <w:tcPr/>
          <w:p>
            <w:pPr>
              <w:pStyle w:val="Compact"/>
              <w:jc w:val="right"/>
            </w:pPr>
            <w:r>
              <w:t xml:space="preserve">5</w:t>
            </w:r>
          </w:p>
        </w:tc>
        <w:tc>
          <w:tcPr/>
          <w:p>
            <w:pPr>
              <w:pStyle w:val="Compact"/>
            </w:pPr>
            <w:r>
              <w:rPr>
                <w:rFonts w:hint="eastAsia"/>
              </w:rPr>
              <w:t xml:space="preserve">电池</w:t>
            </w:r>
          </w:p>
        </w:tc>
        <w:tc>
          <w:tcPr/>
          <w:p>
            <w:pPr>
              <w:pStyle w:val="Compact"/>
              <w:jc w:val="right"/>
            </w:pPr>
            <w:r>
              <w:rPr>
                <w:rFonts w:hint="eastAsia"/>
              </w:rPr>
              <w:t xml:space="preserve">+9.98亿元</w:t>
            </w: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主力净流入</w:t>
            </w:r>
          </w:p>
        </w:tc>
      </w:tr>
      <w:tr>
        <w:tc>
          <w:tcPr/>
          <w:p>
            <w:pPr>
              <w:pStyle w:val="Compact"/>
              <w:jc w:val="right"/>
            </w:pPr>
            <w:r>
              <w:t xml:space="preserve">6</w:t>
            </w:r>
          </w:p>
        </w:tc>
        <w:tc>
          <w:tcPr/>
          <w:p>
            <w:pPr>
              <w:pStyle w:val="Compact"/>
            </w:pPr>
            <w:r>
              <w:rPr>
                <w:rFonts w:hint="eastAsia"/>
              </w:rPr>
              <w:t xml:space="preserve">白酒Ⅱ</w:t>
            </w:r>
          </w:p>
        </w:tc>
        <w:tc>
          <w:tcPr/>
          <w:p>
            <w:pPr>
              <w:pStyle w:val="Compact"/>
              <w:jc w:val="right"/>
            </w:pPr>
            <w:r>
              <w:rPr>
                <w:rFonts w:hint="eastAsia"/>
              </w:rPr>
              <w:t xml:space="preserve">+9.60亿元</w:t>
            </w:r>
          </w:p>
        </w:tc>
      </w:tr>
      <w:tr>
        <w:tc>
          <w:tcPr/>
          <w:p>
            <w:pPr>
              <w:pStyle w:val="Compact"/>
              <w:jc w:val="right"/>
            </w:pPr>
            <w:r>
              <w:t xml:space="preserve">7</w:t>
            </w:r>
          </w:p>
        </w:tc>
        <w:tc>
          <w:tcPr/>
          <w:p>
            <w:pPr>
              <w:pStyle w:val="Compact"/>
            </w:pPr>
            <w:r>
              <w:rPr>
                <w:rFonts w:hint="eastAsia"/>
              </w:rPr>
              <w:t xml:space="preserve">光学光电子</w:t>
            </w:r>
          </w:p>
        </w:tc>
        <w:tc>
          <w:tcPr/>
          <w:p>
            <w:pPr>
              <w:pStyle w:val="Compact"/>
              <w:jc w:val="right"/>
            </w:pPr>
            <w:r>
              <w:rPr>
                <w:rFonts w:hint="eastAsia"/>
              </w:rPr>
              <w:t xml:space="preserve">+7.49亿元</w:t>
            </w:r>
          </w:p>
        </w:tc>
      </w:tr>
      <w:tr>
        <w:tc>
          <w:tcPr/>
          <w:p>
            <w:pPr>
              <w:pStyle w:val="Compact"/>
              <w:jc w:val="right"/>
            </w:pPr>
            <w:r>
              <w:t xml:space="preserve">8</w:t>
            </w:r>
          </w:p>
        </w:tc>
        <w:tc>
          <w:tcPr/>
          <w:p>
            <w:pPr>
              <w:pStyle w:val="Compact"/>
            </w:pPr>
            <w:r>
              <w:rPr>
                <w:rFonts w:hint="eastAsia"/>
              </w:rPr>
              <w:t xml:space="preserve">汽车零部件</w:t>
            </w:r>
          </w:p>
        </w:tc>
        <w:tc>
          <w:tcPr/>
          <w:p>
            <w:pPr>
              <w:pStyle w:val="Compact"/>
              <w:jc w:val="right"/>
            </w:pPr>
            <w:r>
              <w:rPr>
                <w:rFonts w:hint="eastAsia"/>
              </w:rPr>
              <w:t xml:space="preserve">+7.43亿元</w:t>
            </w:r>
          </w:p>
        </w:tc>
      </w:tr>
      <w:tr>
        <w:tc>
          <w:tcPr/>
          <w:p>
            <w:pPr>
              <w:pStyle w:val="Compact"/>
              <w:jc w:val="right"/>
            </w:pPr>
            <w:r>
              <w:t xml:space="preserve">9</w:t>
            </w:r>
          </w:p>
        </w:tc>
        <w:tc>
          <w:tcPr/>
          <w:p>
            <w:pPr>
              <w:pStyle w:val="Compact"/>
            </w:pPr>
            <w:r>
              <w:rPr>
                <w:rFonts w:hint="eastAsia"/>
              </w:rPr>
              <w:t xml:space="preserve">种植业</w:t>
            </w:r>
          </w:p>
        </w:tc>
        <w:tc>
          <w:tcPr/>
          <w:p>
            <w:pPr>
              <w:pStyle w:val="Compact"/>
              <w:jc w:val="right"/>
            </w:pPr>
            <w:r>
              <w:rPr>
                <w:rFonts w:hint="eastAsia"/>
              </w:rPr>
              <w:t xml:space="preserve">+5.00亿元</w:t>
            </w:r>
          </w:p>
        </w:tc>
      </w:tr>
      <w:tr>
        <w:tc>
          <w:tcPr/>
          <w:p>
            <w:pPr>
              <w:pStyle w:val="Compact"/>
              <w:jc w:val="right"/>
            </w:pPr>
            <w:r>
              <w:t xml:space="preserve">10</w:t>
            </w:r>
          </w:p>
        </w:tc>
        <w:tc>
          <w:tcPr/>
          <w:p>
            <w:pPr>
              <w:pStyle w:val="Compact"/>
            </w:pPr>
            <w:r>
              <w:rPr>
                <w:rFonts w:hint="eastAsia"/>
              </w:rPr>
              <w:t xml:space="preserve">医疗器械</w:t>
            </w:r>
          </w:p>
        </w:tc>
        <w:tc>
          <w:tcPr/>
          <w:p>
            <w:pPr>
              <w:pStyle w:val="Compact"/>
              <w:jc w:val="right"/>
            </w:pPr>
            <w:r>
              <w:rPr>
                <w:rFonts w:hint="eastAsia"/>
              </w:rPr>
              <w:t xml:space="preserve">+4.27亿元</w:t>
            </w:r>
          </w:p>
        </w:tc>
      </w:tr>
    </w:tbl>
    <w:bookmarkEnd w:id="35"/>
    <w:bookmarkStart w:id="36" w:name="流入top10个股"/>
    <w:p>
      <w:pPr>
        <w:pStyle w:val="Heading3"/>
      </w:pPr>
      <w:r>
        <w:t xml:space="preserve">💰 4. </w:t>
      </w:r>
      <w:r>
        <w:rPr>
          <w:rFonts w:hint="eastAsia"/>
        </w:rPr>
        <w:t xml:space="preserve">流入TOP10个股</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代码</w:t>
            </w:r>
          </w:p>
        </w:tc>
        <w:tc>
          <w:tcPr/>
          <w:p>
            <w:pPr>
              <w:pStyle w:val="Compact"/>
              <w:jc w:val="right"/>
            </w:pPr>
            <w:r>
              <w:rPr>
                <w:rFonts w:hint="eastAsia"/>
              </w:rPr>
              <w:t xml:space="preserve">主力买入金额</w:t>
            </w:r>
          </w:p>
        </w:tc>
      </w:tr>
      <w:tr>
        <w:tc>
          <w:tcPr/>
          <w:p>
            <w:pPr>
              <w:pStyle w:val="Compact"/>
              <w:jc w:val="right"/>
            </w:pPr>
            <w:r>
              <w:t xml:space="preserve">1</w:t>
            </w:r>
          </w:p>
        </w:tc>
        <w:tc>
          <w:tcPr/>
          <w:p>
            <w:pPr>
              <w:pStyle w:val="Compact"/>
            </w:pPr>
            <w:r>
              <w:rPr>
                <w:rFonts w:hint="eastAsia"/>
              </w:rPr>
              <w:t xml:space="preserve">寒武纪</w:t>
            </w:r>
          </w:p>
        </w:tc>
        <w:tc>
          <w:tcPr/>
          <w:p>
            <w:pPr>
              <w:pStyle w:val="Compact"/>
            </w:pPr>
            <w:r>
              <w:t xml:space="preserve">688256</w:t>
            </w:r>
          </w:p>
        </w:tc>
        <w:tc>
          <w:tcPr/>
          <w:p>
            <w:pPr>
              <w:pStyle w:val="Compact"/>
              <w:jc w:val="right"/>
            </w:pPr>
            <w:r>
              <w:rPr>
                <w:rFonts w:hint="eastAsia"/>
              </w:rPr>
              <w:t xml:space="preserve">+83.20亿元</w:t>
            </w:r>
          </w:p>
        </w:tc>
      </w:tr>
      <w:tr>
        <w:tc>
          <w:tcPr/>
          <w:p>
            <w:pPr>
              <w:pStyle w:val="Compact"/>
              <w:jc w:val="right"/>
            </w:pPr>
            <w:r>
              <w:t xml:space="preserve">2</w:t>
            </w:r>
          </w:p>
        </w:tc>
        <w:tc>
          <w:tcPr/>
          <w:p>
            <w:pPr>
              <w:pStyle w:val="Compact"/>
            </w:pPr>
            <w:r>
              <w:rPr>
                <w:rFonts w:hint="eastAsia"/>
              </w:rPr>
              <w:t xml:space="preserve">中际旭创</w:t>
            </w:r>
          </w:p>
        </w:tc>
        <w:tc>
          <w:tcPr/>
          <w:p>
            <w:pPr>
              <w:pStyle w:val="Compact"/>
            </w:pPr>
            <w:r>
              <w:t xml:space="preserve">300308</w:t>
            </w:r>
          </w:p>
        </w:tc>
        <w:tc>
          <w:tcPr/>
          <w:p>
            <w:pPr>
              <w:pStyle w:val="Compact"/>
              <w:jc w:val="right"/>
            </w:pPr>
            <w:r>
              <w:rPr>
                <w:rFonts w:hint="eastAsia"/>
              </w:rPr>
              <w:t xml:space="preserve">+71.31亿元</w:t>
            </w:r>
          </w:p>
        </w:tc>
      </w:tr>
      <w:tr>
        <w:tc>
          <w:tcPr/>
          <w:p>
            <w:pPr>
              <w:pStyle w:val="Compact"/>
              <w:jc w:val="right"/>
            </w:pPr>
            <w:r>
              <w:t xml:space="preserve">3</w:t>
            </w:r>
          </w:p>
        </w:tc>
        <w:tc>
          <w:tcPr/>
          <w:p>
            <w:pPr>
              <w:pStyle w:val="Compact"/>
            </w:pPr>
            <w:r>
              <w:rPr>
                <w:rFonts w:hint="eastAsia"/>
              </w:rPr>
              <w:t xml:space="preserve">新易盛</w:t>
            </w:r>
          </w:p>
        </w:tc>
        <w:tc>
          <w:tcPr/>
          <w:p>
            <w:pPr>
              <w:pStyle w:val="Compact"/>
            </w:pPr>
            <w:r>
              <w:t xml:space="preserve">300502</w:t>
            </w:r>
          </w:p>
        </w:tc>
        <w:tc>
          <w:tcPr/>
          <w:p>
            <w:pPr>
              <w:pStyle w:val="Compact"/>
              <w:jc w:val="right"/>
            </w:pPr>
            <w:r>
              <w:rPr>
                <w:rFonts w:hint="eastAsia"/>
              </w:rPr>
              <w:t xml:space="preserve">+47.02亿元</w:t>
            </w:r>
          </w:p>
        </w:tc>
      </w:tr>
      <w:tr>
        <w:tc>
          <w:tcPr/>
          <w:p>
            <w:pPr>
              <w:pStyle w:val="Compact"/>
              <w:jc w:val="right"/>
            </w:pPr>
            <w:r>
              <w:t xml:space="preserve">4</w:t>
            </w:r>
          </w:p>
        </w:tc>
        <w:tc>
          <w:tcPr/>
          <w:p>
            <w:pPr>
              <w:pStyle w:val="Compact"/>
            </w:pPr>
            <w:r>
              <w:rPr>
                <w:rFonts w:hint="eastAsia"/>
              </w:rPr>
              <w:t xml:space="preserve">宁德时代</w:t>
            </w:r>
          </w:p>
        </w:tc>
        <w:tc>
          <w:tcPr/>
          <w:p>
            <w:pPr>
              <w:pStyle w:val="Compact"/>
            </w:pPr>
            <w:r>
              <w:t xml:space="preserve">300750</w:t>
            </w:r>
          </w:p>
        </w:tc>
        <w:tc>
          <w:tcPr/>
          <w:p>
            <w:pPr>
              <w:pStyle w:val="Compact"/>
              <w:jc w:val="right"/>
            </w:pPr>
            <w:r>
              <w:rPr>
                <w:rFonts w:hint="eastAsia"/>
              </w:rPr>
              <w:t xml:space="preserve">+42.71亿元</w:t>
            </w:r>
          </w:p>
        </w:tc>
      </w:tr>
      <w:tr>
        <w:tc>
          <w:tcPr/>
          <w:p>
            <w:pPr>
              <w:pStyle w:val="Compact"/>
              <w:jc w:val="right"/>
            </w:pPr>
            <w:r>
              <w:t xml:space="preserve">5</w:t>
            </w:r>
          </w:p>
        </w:tc>
        <w:tc>
          <w:tcPr/>
          <w:p>
            <w:pPr>
              <w:pStyle w:val="Compact"/>
            </w:pPr>
            <w:r>
              <w:rPr>
                <w:rFonts w:hint="eastAsia"/>
              </w:rPr>
              <w:t xml:space="preserve">天孚通信</w:t>
            </w:r>
          </w:p>
        </w:tc>
        <w:tc>
          <w:tcPr/>
          <w:p>
            <w:pPr>
              <w:pStyle w:val="Compact"/>
            </w:pPr>
            <w:r>
              <w:t xml:space="preserve">300394</w:t>
            </w:r>
          </w:p>
        </w:tc>
        <w:tc>
          <w:tcPr/>
          <w:p>
            <w:pPr>
              <w:pStyle w:val="Compact"/>
              <w:jc w:val="right"/>
            </w:pPr>
            <w:r>
              <w:rPr>
                <w:rFonts w:hint="eastAsia"/>
              </w:rPr>
              <w:t xml:space="preserve">+39.07亿元</w:t>
            </w:r>
          </w:p>
        </w:tc>
      </w:tr>
    </w:tbl>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代码</w:t>
            </w:r>
          </w:p>
        </w:tc>
        <w:tc>
          <w:tcPr/>
          <w:p>
            <w:pPr>
              <w:pStyle w:val="Compact"/>
              <w:jc w:val="right"/>
            </w:pPr>
            <w:r>
              <w:rPr>
                <w:rFonts w:hint="eastAsia"/>
              </w:rPr>
              <w:t xml:space="preserve">主力买入金额</w:t>
            </w:r>
          </w:p>
        </w:tc>
      </w:tr>
      <w:tr>
        <w:tc>
          <w:tcPr/>
          <w:p>
            <w:pPr>
              <w:pStyle w:val="Compact"/>
              <w:jc w:val="right"/>
            </w:pPr>
            <w:r>
              <w:t xml:space="preserve">6</w:t>
            </w:r>
          </w:p>
        </w:tc>
        <w:tc>
          <w:tcPr/>
          <w:p>
            <w:pPr>
              <w:pStyle w:val="Compact"/>
            </w:pPr>
            <w:r>
              <w:rPr>
                <w:rFonts w:hint="eastAsia"/>
              </w:rPr>
              <w:t xml:space="preserve">江淮汽车</w:t>
            </w:r>
          </w:p>
        </w:tc>
        <w:tc>
          <w:tcPr/>
          <w:p>
            <w:pPr>
              <w:pStyle w:val="Compact"/>
            </w:pPr>
            <w:r>
              <w:t xml:space="preserve">600418</w:t>
            </w:r>
          </w:p>
        </w:tc>
        <w:tc>
          <w:tcPr/>
          <w:p>
            <w:pPr>
              <w:pStyle w:val="Compact"/>
              <w:jc w:val="right"/>
            </w:pPr>
            <w:r>
              <w:rPr>
                <w:rFonts w:hint="eastAsia"/>
              </w:rPr>
              <w:t xml:space="preserve">+33.44亿元</w:t>
            </w:r>
          </w:p>
        </w:tc>
      </w:tr>
      <w:tr>
        <w:tc>
          <w:tcPr/>
          <w:p>
            <w:pPr>
              <w:pStyle w:val="Compact"/>
              <w:jc w:val="right"/>
            </w:pPr>
            <w:r>
              <w:t xml:space="preserve">7</w:t>
            </w:r>
          </w:p>
        </w:tc>
        <w:tc>
          <w:tcPr/>
          <w:p>
            <w:pPr>
              <w:pStyle w:val="Compact"/>
            </w:pPr>
            <w:r>
              <w:rPr>
                <w:rFonts w:hint="eastAsia"/>
              </w:rPr>
              <w:t xml:space="preserve">长鑫科技</w:t>
            </w:r>
          </w:p>
        </w:tc>
        <w:tc>
          <w:tcPr/>
          <w:p>
            <w:pPr>
              <w:pStyle w:val="Compact"/>
            </w:pPr>
            <w:r>
              <w:t xml:space="preserve">688825</w:t>
            </w:r>
          </w:p>
        </w:tc>
        <w:tc>
          <w:tcPr/>
          <w:p>
            <w:pPr>
              <w:pStyle w:val="Compact"/>
              <w:jc w:val="right"/>
            </w:pPr>
            <w:r>
              <w:rPr>
                <w:rFonts w:hint="eastAsia"/>
              </w:rPr>
              <w:t xml:space="preserve">+33.13亿元</w:t>
            </w:r>
          </w:p>
        </w:tc>
      </w:tr>
      <w:tr>
        <w:tc>
          <w:tcPr/>
          <w:p>
            <w:pPr>
              <w:pStyle w:val="Compact"/>
              <w:jc w:val="right"/>
            </w:pPr>
            <w:r>
              <w:t xml:space="preserve">8</w:t>
            </w:r>
          </w:p>
        </w:tc>
        <w:tc>
          <w:tcPr/>
          <w:p>
            <w:pPr>
              <w:pStyle w:val="Compact"/>
            </w:pPr>
            <w:r>
              <w:rPr>
                <w:rFonts w:hint="eastAsia"/>
              </w:rPr>
              <w:t xml:space="preserve">药明康德</w:t>
            </w:r>
          </w:p>
        </w:tc>
        <w:tc>
          <w:tcPr/>
          <w:p>
            <w:pPr>
              <w:pStyle w:val="Compact"/>
            </w:pPr>
            <w:r>
              <w:t xml:space="preserve">603259</w:t>
            </w:r>
          </w:p>
        </w:tc>
        <w:tc>
          <w:tcPr/>
          <w:p>
            <w:pPr>
              <w:pStyle w:val="Compact"/>
              <w:jc w:val="right"/>
            </w:pPr>
            <w:r>
              <w:rPr>
                <w:rFonts w:hint="eastAsia"/>
              </w:rPr>
              <w:t xml:space="preserve">+31.83亿元</w:t>
            </w:r>
          </w:p>
        </w:tc>
      </w:tr>
      <w:tr>
        <w:tc>
          <w:tcPr/>
          <w:p>
            <w:pPr>
              <w:pStyle w:val="Compact"/>
              <w:jc w:val="right"/>
            </w:pPr>
            <w:r>
              <w:t xml:space="preserve">9</w:t>
            </w:r>
          </w:p>
        </w:tc>
        <w:tc>
          <w:tcPr/>
          <w:p>
            <w:pPr>
              <w:pStyle w:val="Compact"/>
            </w:pPr>
            <w:r>
              <w:rPr>
                <w:rFonts w:hint="eastAsia"/>
              </w:rPr>
              <w:t xml:space="preserve">兆易创新</w:t>
            </w:r>
          </w:p>
        </w:tc>
        <w:tc>
          <w:tcPr/>
          <w:p>
            <w:pPr>
              <w:pStyle w:val="Compact"/>
            </w:pPr>
            <w:r>
              <w:t xml:space="preserve">603986</w:t>
            </w:r>
          </w:p>
        </w:tc>
        <w:tc>
          <w:tcPr/>
          <w:p>
            <w:pPr>
              <w:pStyle w:val="Compact"/>
              <w:jc w:val="right"/>
            </w:pPr>
            <w:r>
              <w:rPr>
                <w:rFonts w:hint="eastAsia"/>
              </w:rPr>
              <w:t xml:space="preserve">+29.76亿元</w:t>
            </w:r>
          </w:p>
        </w:tc>
      </w:tr>
      <w:tr>
        <w:tc>
          <w:tcPr/>
          <w:p>
            <w:pPr>
              <w:pStyle w:val="Compact"/>
              <w:jc w:val="right"/>
            </w:pPr>
            <w:r>
              <w:t xml:space="preserve">10</w:t>
            </w:r>
          </w:p>
        </w:tc>
        <w:tc>
          <w:tcPr/>
          <w:p>
            <w:pPr>
              <w:pStyle w:val="Compact"/>
            </w:pPr>
            <w:r>
              <w:rPr>
                <w:rFonts w:hint="eastAsia"/>
              </w:rPr>
              <w:t xml:space="preserve">源杰科技</w:t>
            </w:r>
          </w:p>
        </w:tc>
        <w:tc>
          <w:tcPr/>
          <w:p>
            <w:pPr>
              <w:pStyle w:val="Compact"/>
            </w:pPr>
            <w:r>
              <w:t xml:space="preserve">688498</w:t>
            </w:r>
          </w:p>
        </w:tc>
        <w:tc>
          <w:tcPr/>
          <w:p>
            <w:pPr>
              <w:pStyle w:val="Compact"/>
              <w:jc w:val="right"/>
            </w:pPr>
            <w:r>
              <w:rPr>
                <w:rFonts w:hint="eastAsia"/>
              </w:rPr>
              <w:t xml:space="preserve">+29.68亿元</w:t>
            </w:r>
          </w:p>
        </w:tc>
      </w:tr>
    </w:tbl>
    <w:p>
      <w:pPr>
        <w:pStyle w:val="BodyText"/>
      </w:pPr>
      <w:r>
        <w:t xml:space="preserve">💡</w:t>
      </w:r>
      <w:r>
        <w:t xml:space="preserve"> </w:t>
      </w:r>
      <w:r>
        <w:rPr>
          <w:rFonts w:hint="eastAsia"/>
          <w:b/>
          <w:bCs/>
        </w:rPr>
        <w:t xml:space="preserve">资金结构解读</w:t>
      </w:r>
    </w:p>
    <w:p>
      <w:pPr>
        <w:pStyle w:val="Compact"/>
        <w:numPr>
          <w:ilvl w:val="0"/>
          <w:numId w:val="1027"/>
        </w:numPr>
      </w:pPr>
      <w:r>
        <w:rPr>
          <w:rFonts w:hint="eastAsia"/>
        </w:rPr>
        <w:t xml:space="preserve">寒武纪、中际旭创、新易盛、宁德时代、兆易创新等同时进入买入与卖出榜，反映的是巨额双向成交和筹码交换，不能将买入榜机械理解为净流入。</w:t>
      </w:r>
    </w:p>
    <w:p>
      <w:pPr>
        <w:pStyle w:val="Compact"/>
        <w:numPr>
          <w:ilvl w:val="0"/>
          <w:numId w:val="1027"/>
        </w:numPr>
      </w:pPr>
      <w:r>
        <w:rPr>
          <w:rFonts w:hint="eastAsia"/>
        </w:rPr>
        <w:t xml:space="preserve">半导体板块净流出101.92亿元，科技股的高成交额伴随板块级资金撤离，短线承接质量偏弱。</w:t>
      </w:r>
    </w:p>
    <w:p>
      <w:pPr>
        <w:pStyle w:val="Compact"/>
        <w:numPr>
          <w:ilvl w:val="0"/>
          <w:numId w:val="1027"/>
        </w:numPr>
      </w:pPr>
      <w:r>
        <w:rPr>
          <w:rFonts w:hint="eastAsia"/>
        </w:rPr>
        <w:t xml:space="preserve">医疗服务、化学制药、生物制品和医疗器械同时进入板块流入榜，医药是上一交易日最清晰的资金承接方向。</w:t>
      </w:r>
    </w:p>
    <w:p>
      <w:pPr>
        <w:pStyle w:val="Compact"/>
        <w:numPr>
          <w:ilvl w:val="0"/>
          <w:numId w:val="1027"/>
        </w:numPr>
      </w:pPr>
      <w:r>
        <w:rPr>
          <w:rFonts w:hint="eastAsia"/>
        </w:rPr>
        <w:t xml:space="preserve">药明康德进入个股买入榜，同时保持A档右侧趋势，是当前“板块资金+个股量价”匹配度较高的观察对象。</w:t>
      </w:r>
    </w:p>
    <w:p>
      <w:r>
        <w:pict>
          <v:rect style="width:0;height:1.5pt" o:hralign="center" o:hrstd="t" o:hr="t"/>
        </w:pict>
      </w:r>
    </w:p>
    <w:bookmarkEnd w:id="36"/>
    <w:bookmarkEnd w:id="37"/>
    <w:bookmarkStart w:id="43" w:name="七两融宽基etf成交额恐慌联合信号"/>
    <w:p>
      <w:pPr>
        <w:pStyle w:val="Heading2"/>
      </w:pPr>
      <w:r>
        <w:t xml:space="preserve">💧 </w:t>
      </w:r>
      <w:r>
        <w:rPr>
          <w:rFonts w:hint="eastAsia"/>
        </w:rPr>
        <w:t xml:space="preserve">七、两融·宽基ETF·成交额·恐慌联合信号</w:t>
      </w:r>
    </w:p>
    <w:bookmarkStart w:id="38" w:name="两融余额"/>
    <w:p>
      <w:pPr>
        <w:pStyle w:val="Heading3"/>
      </w:pPr>
      <w:r>
        <w:t xml:space="preserve">💳 </w:t>
      </w:r>
      <w:r>
        <w:rPr>
          <w:rFonts w:hint="eastAsia"/>
        </w:rPr>
        <w:t xml:space="preserve">两融余额</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指标</w:t>
            </w:r>
          </w:p>
        </w:tc>
        <w:tc>
          <w:tcPr/>
          <w:p>
            <w:pPr>
              <w:pStyle w:val="Compact"/>
              <w:jc w:val="right"/>
            </w:pPr>
            <w:r>
              <w:t xml:space="preserve">2026-09-29</w:t>
            </w:r>
          </w:p>
        </w:tc>
        <w:tc>
          <w:tcPr/>
          <w:p>
            <w:pPr>
              <w:pStyle w:val="Compact"/>
              <w:jc w:val="right"/>
            </w:pPr>
            <w:r>
              <w:t xml:space="preserve">2026-09-28</w:t>
            </w:r>
          </w:p>
        </w:tc>
        <w:tc>
          <w:tcPr/>
          <w:p>
            <w:pPr>
              <w:pStyle w:val="Compact"/>
              <w:jc w:val="right"/>
            </w:pPr>
            <w:r>
              <w:rPr>
                <w:rFonts w:hint="eastAsia"/>
              </w:rPr>
              <w:t xml:space="preserve">变化</w:t>
            </w:r>
          </w:p>
        </w:tc>
      </w:tr>
      <w:tr>
        <w:tc>
          <w:tcPr/>
          <w:p>
            <w:pPr>
              <w:pStyle w:val="Compact"/>
            </w:pPr>
            <w:r>
              <w:rPr>
                <w:rFonts w:hint="eastAsia"/>
              </w:rPr>
              <w:t xml:space="preserve">两融余额</w:t>
            </w:r>
          </w:p>
        </w:tc>
        <w:tc>
          <w:tcPr/>
          <w:p>
            <w:pPr>
              <w:pStyle w:val="Compact"/>
              <w:jc w:val="right"/>
            </w:pPr>
            <w:r>
              <w:rPr>
                <w:rFonts w:hint="eastAsia"/>
              </w:rPr>
              <w:t xml:space="preserve">26089.9045亿元</w:t>
            </w:r>
          </w:p>
        </w:tc>
        <w:tc>
          <w:tcPr/>
          <w:p>
            <w:pPr>
              <w:pStyle w:val="Compact"/>
              <w:jc w:val="right"/>
            </w:pPr>
            <w:r>
              <w:rPr>
                <w:rFonts w:hint="eastAsia"/>
              </w:rPr>
              <w:t xml:space="preserve">26106.9429亿元</w:t>
            </w:r>
          </w:p>
        </w:tc>
        <w:tc>
          <w:tcPr/>
          <w:p>
            <w:pPr>
              <w:pStyle w:val="Compact"/>
              <w:jc w:val="right"/>
            </w:pPr>
            <w:r>
              <w:rPr>
                <w:rFonts w:hint="eastAsia"/>
              </w:rPr>
              <w:t xml:space="preserve">-17.0384亿元</w:t>
            </w:r>
          </w:p>
        </w:tc>
      </w:tr>
      <w:tr>
        <w:tc>
          <w:tcPr/>
          <w:p>
            <w:pPr>
              <w:pStyle w:val="Compact"/>
            </w:pPr>
            <w:r>
              <w:rPr>
                <w:rFonts w:hint="eastAsia"/>
              </w:rPr>
              <w:t xml:space="preserve">融资余额</w:t>
            </w:r>
          </w:p>
        </w:tc>
        <w:tc>
          <w:tcPr/>
          <w:p>
            <w:pPr>
              <w:pStyle w:val="Compact"/>
              <w:jc w:val="right"/>
            </w:pPr>
            <w:r>
              <w:rPr>
                <w:rFonts w:hint="eastAsia"/>
              </w:rPr>
              <w:t xml:space="preserve">25796.8910亿元</w:t>
            </w:r>
          </w:p>
        </w:tc>
        <w:tc>
          <w:tcPr/>
          <w:p>
            <w:pPr>
              <w:pStyle w:val="Compact"/>
              <w:jc w:val="right"/>
            </w:pPr>
            <w:r>
              <w:rPr>
                <w:rFonts w:hint="eastAsia"/>
              </w:rPr>
              <w:t xml:space="preserve">25816.9448亿元</w:t>
            </w:r>
          </w:p>
        </w:tc>
        <w:tc>
          <w:tcPr/>
          <w:p>
            <w:pPr>
              <w:pStyle w:val="Compact"/>
              <w:jc w:val="right"/>
            </w:pPr>
            <w:r>
              <w:rPr>
                <w:rFonts w:hint="eastAsia"/>
              </w:rPr>
              <w:t xml:space="preserve">-20.0538亿元</w:t>
            </w:r>
          </w:p>
        </w:tc>
      </w:tr>
      <w:tr>
        <w:tc>
          <w:tcPr/>
          <w:p>
            <w:pPr>
              <w:pStyle w:val="Compact"/>
            </w:pPr>
            <w:r>
              <w:rPr>
                <w:rFonts w:hint="eastAsia"/>
              </w:rPr>
              <w:t xml:space="preserve">融券余额</w:t>
            </w:r>
          </w:p>
        </w:tc>
        <w:tc>
          <w:tcPr/>
          <w:p>
            <w:pPr>
              <w:pStyle w:val="Compact"/>
              <w:jc w:val="right"/>
            </w:pPr>
            <w:r>
              <w:rPr>
                <w:rFonts w:hint="eastAsia"/>
              </w:rPr>
              <w:t xml:space="preserve">293.0134亿元</w:t>
            </w:r>
          </w:p>
        </w:tc>
        <w:tc>
          <w:tcPr/>
          <w:p>
            <w:pPr>
              <w:pStyle w:val="Compact"/>
              <w:jc w:val="right"/>
            </w:pPr>
            <w:r>
              <w:rPr>
                <w:rFonts w:hint="eastAsia"/>
              </w:rPr>
              <w:t xml:space="preserve">289.9980亿元</w:t>
            </w:r>
          </w:p>
        </w:tc>
        <w:tc>
          <w:tcPr/>
          <w:p>
            <w:pPr>
              <w:pStyle w:val="Compact"/>
              <w:jc w:val="right"/>
            </w:pPr>
            <w:r>
              <w:rPr>
                <w:rFonts w:hint="eastAsia"/>
              </w:rPr>
              <w:t xml:space="preserve">+3.0154亿元</w:t>
            </w:r>
          </w:p>
        </w:tc>
      </w:tr>
    </w:tbl>
    <w:p>
      <w:pPr>
        <w:pStyle w:val="Compact"/>
        <w:numPr>
          <w:ilvl w:val="0"/>
          <w:numId w:val="1028"/>
        </w:numPr>
      </w:pPr>
      <w:r>
        <w:rPr>
          <w:rFonts w:hint="eastAsia"/>
        </w:rPr>
        <w:t xml:space="preserve">实际最新结算日期为2026年9月29日。</w:t>
      </w:r>
    </w:p>
    <w:p>
      <w:pPr>
        <w:pStyle w:val="Compact"/>
        <w:numPr>
          <w:ilvl w:val="0"/>
          <w:numId w:val="1028"/>
        </w:numPr>
      </w:pPr>
      <w:r>
        <w:rPr>
          <w:rFonts w:hint="eastAsia"/>
          <w:b/>
          <w:bCs/>
        </w:rPr>
        <w:t xml:space="preserve">T+1滞后，报告日当日两融尚未发布</w:t>
      </w:r>
      <w:r>
        <w:t xml:space="preserve">。</w:t>
      </w:r>
    </w:p>
    <w:p>
      <w:pPr>
        <w:pStyle w:val="Compact"/>
        <w:numPr>
          <w:ilvl w:val="0"/>
          <w:numId w:val="1028"/>
        </w:numPr>
      </w:pPr>
      <w:r>
        <w:rPr>
          <w:rFonts w:hint="eastAsia"/>
        </w:rPr>
        <w:t xml:space="preserve">两融余额下降17.0384亿元，主要由融资余额下降20.0538亿元驱动；融券余额反而增加3.0154亿元。</w:t>
      </w:r>
    </w:p>
    <w:p>
      <w:pPr>
        <w:pStyle w:val="Compact"/>
        <w:numPr>
          <w:ilvl w:val="0"/>
          <w:numId w:val="1028"/>
        </w:numPr>
      </w:pPr>
      <w:r>
        <w:rPr>
          <w:rFonts w:hint="eastAsia"/>
        </w:rPr>
        <w:t xml:space="preserve">杠杆资金风险偏好边际回落，不支持仅因节后预期而主动放大仓位。</w:t>
      </w:r>
    </w:p>
    <w:bookmarkEnd w:id="38"/>
    <w:bookmarkStart w:id="39" w:name="宽基etf份额变化"/>
    <w:p>
      <w:pPr>
        <w:pStyle w:val="Heading3"/>
      </w:pPr>
      <w:r>
        <w:t xml:space="preserve">💰 </w:t>
      </w:r>
      <w:r>
        <w:rPr>
          <w:rFonts w:hint="eastAsia"/>
        </w:rPr>
        <w:t xml:space="preserve">宽基ETF份额变化</w:t>
      </w:r>
    </w:p>
    <w:p>
      <w:pPr>
        <w:pStyle w:val="Compact"/>
        <w:numPr>
          <w:ilvl w:val="0"/>
          <w:numId w:val="1029"/>
        </w:numPr>
      </w:pPr>
      <w:r>
        <w:rPr>
          <w:rFonts w:hint="eastAsia"/>
        </w:rPr>
        <w:t xml:space="preserve">科创50ETF（588000）9月30日份额增加16.83亿份，估算净申购27.19728亿元，已连续3个区间流入。</w:t>
      </w:r>
    </w:p>
    <w:p>
      <w:pPr>
        <w:pStyle w:val="Compact"/>
        <w:numPr>
          <w:ilvl w:val="0"/>
          <w:numId w:val="1029"/>
        </w:numPr>
      </w:pPr>
      <w:r>
        <w:rPr>
          <w:rFonts w:hint="eastAsia"/>
        </w:rPr>
        <w:t xml:space="preserve">科创板50ETF（588080）份额增加5.43亿份，估算净申购8.51967亿元，已连续3个区间流入。</w:t>
      </w:r>
    </w:p>
    <w:p>
      <w:pPr>
        <w:pStyle w:val="Compact"/>
        <w:numPr>
          <w:ilvl w:val="0"/>
          <w:numId w:val="1029"/>
        </w:numPr>
      </w:pPr>
      <w:r>
        <w:rPr>
          <w:rFonts w:hint="eastAsia"/>
        </w:rPr>
        <w:t xml:space="preserve">沪深300ETF（510300）份额减少0.45亿份，估算净赎回1.99440亿元。</w:t>
      </w:r>
    </w:p>
    <w:p>
      <w:pPr>
        <w:pStyle w:val="Compact"/>
        <w:numPr>
          <w:ilvl w:val="0"/>
          <w:numId w:val="1029"/>
        </w:numPr>
      </w:pPr>
      <w:r>
        <w:rPr>
          <w:rFonts w:hint="eastAsia"/>
        </w:rPr>
        <w:t xml:space="preserve">上证50ETF（510050）份额减少3.096亿份，估算净赎回9.096048亿元。</w:t>
      </w:r>
    </w:p>
    <w:p>
      <w:pPr>
        <w:pStyle w:val="Compact"/>
        <w:numPr>
          <w:ilvl w:val="0"/>
          <w:numId w:val="1029"/>
        </w:numPr>
      </w:pPr>
      <w:r>
        <w:rPr>
          <w:rFonts w:hint="eastAsia"/>
        </w:rPr>
        <w:t xml:space="preserve">创业板ETF（159915）份额减少1.21亿份，估算净赎回3.81634亿元。</w:t>
      </w:r>
    </w:p>
    <w:p>
      <w:pPr>
        <w:pStyle w:val="FirstParagraph"/>
      </w:pPr>
      <w:r>
        <w:t xml:space="preserve">💡 </w:t>
      </w:r>
      <w:r>
        <w:rPr>
          <w:rFonts w:hint="eastAsia"/>
        </w:rPr>
        <w:t xml:space="preserve">ETF资金呈现明显分化：资金持续承接科创宽基，但传统大盘宽基和创业板ETF在9月30日出现净赎回。</w:t>
      </w:r>
    </w:p>
    <w:bookmarkEnd w:id="39"/>
    <w:bookmarkStart w:id="40" w:name="成交额质量"/>
    <w:p>
      <w:pPr>
        <w:pStyle w:val="Heading3"/>
      </w:pPr>
      <w:r>
        <w:t xml:space="preserve">📊 </w:t>
      </w:r>
      <w:r>
        <w:rPr>
          <w:rFonts w:hint="eastAsia"/>
        </w:rPr>
        <w:t xml:space="preserve">成交额质量</w:t>
      </w:r>
    </w:p>
    <w:p>
      <w:pPr>
        <w:pStyle w:val="Compact"/>
        <w:numPr>
          <w:ilvl w:val="0"/>
          <w:numId w:val="1030"/>
        </w:numPr>
      </w:pPr>
      <w:r>
        <w:rPr>
          <w:rFonts w:hint="eastAsia"/>
        </w:rPr>
        <w:t xml:space="preserve">9月30日全市场成交额14500.49亿元。</w:t>
      </w:r>
    </w:p>
    <w:p>
      <w:pPr>
        <w:pStyle w:val="Compact"/>
        <w:numPr>
          <w:ilvl w:val="0"/>
          <w:numId w:val="1030"/>
        </w:numPr>
      </w:pPr>
      <w:r>
        <w:rPr>
          <w:rFonts w:hint="eastAsia"/>
        </w:rPr>
        <w:t xml:space="preserve">前一交易日成交额14215.97亿元。</w:t>
      </w:r>
    </w:p>
    <w:p>
      <w:pPr>
        <w:pStyle w:val="Compact"/>
        <w:numPr>
          <w:ilvl w:val="0"/>
          <w:numId w:val="1030"/>
        </w:numPr>
      </w:pPr>
      <w:r>
        <w:rPr>
          <w:rFonts w:hint="eastAsia"/>
        </w:rPr>
        <w:t xml:space="preserve">增加284.53亿元，增幅2.00%。</w:t>
      </w:r>
    </w:p>
    <w:p>
      <w:pPr>
        <w:pStyle w:val="Compact"/>
        <w:numPr>
          <w:ilvl w:val="0"/>
          <w:numId w:val="1030"/>
        </w:numPr>
      </w:pPr>
      <w:r>
        <w:rPr>
          <w:rStyle w:val="VerbatimChar"/>
        </w:rPr>
        <w:t xml:space="preserve">derived.market_turnover_quality</w:t>
      </w:r>
      <w:r>
        <w:rPr>
          <w:rFonts w:hint="eastAsia"/>
        </w:rPr>
        <w:t xml:space="preserve">判断为“量能接近昨日”。</w:t>
      </w:r>
    </w:p>
    <w:p>
      <w:pPr>
        <w:pStyle w:val="FirstParagraph"/>
      </w:pPr>
      <w:r>
        <w:rPr>
          <w:rFonts w:hint="eastAsia"/>
        </w:rPr>
        <w:t xml:space="preserve">成交额虽有增加，但科创50下跌2.5063%、半导体主力净流出101.92亿元，说明放量并未形成全面进攻，应把量能理解为“有承接、也有明显兑现”。</w:t>
      </w:r>
    </w:p>
    <w:bookmarkEnd w:id="40"/>
    <w:bookmarkStart w:id="41" w:name="etf-qvix"/>
    <w:p>
      <w:pPr>
        <w:pStyle w:val="Heading3"/>
      </w:pPr>
      <w:r>
        <w:t xml:space="preserve">😨 300ETF QVIX</w:t>
      </w:r>
    </w:p>
    <w:p>
      <w:pPr>
        <w:pStyle w:val="Compact"/>
        <w:numPr>
          <w:ilvl w:val="0"/>
          <w:numId w:val="1031"/>
        </w:numPr>
      </w:pPr>
      <w:r>
        <w:rPr>
          <w:rFonts w:hint="eastAsia"/>
        </w:rPr>
        <w:t xml:space="preserve">最新结算值：15.96。</w:t>
      </w:r>
    </w:p>
    <w:p>
      <w:pPr>
        <w:pStyle w:val="Compact"/>
        <w:numPr>
          <w:ilvl w:val="0"/>
          <w:numId w:val="1031"/>
        </w:numPr>
      </w:pPr>
      <w:r>
        <w:rPr>
          <w:rFonts w:hint="eastAsia"/>
        </w:rPr>
        <w:t xml:space="preserve">前收盘：17.20。</w:t>
      </w:r>
    </w:p>
    <w:p>
      <w:pPr>
        <w:pStyle w:val="Compact"/>
        <w:numPr>
          <w:ilvl w:val="0"/>
          <w:numId w:val="1031"/>
        </w:numPr>
      </w:pPr>
      <w:r>
        <w:rPr>
          <w:rFonts w:hint="eastAsia"/>
        </w:rPr>
        <w:t xml:space="preserve">单日下降1.24，降幅7.2093%。</w:t>
      </w:r>
    </w:p>
    <w:p>
      <w:pPr>
        <w:pStyle w:val="Compact"/>
        <w:numPr>
          <w:ilvl w:val="0"/>
          <w:numId w:val="1031"/>
        </w:numPr>
      </w:pPr>
      <w:r>
        <w:rPr>
          <w:rFonts w:hint="eastAsia"/>
        </w:rPr>
        <w:t xml:space="preserve">20日峰值：19.43。</w:t>
      </w:r>
    </w:p>
    <w:p>
      <w:pPr>
        <w:pStyle w:val="Compact"/>
        <w:numPr>
          <w:ilvl w:val="0"/>
          <w:numId w:val="1031"/>
        </w:numPr>
      </w:pPr>
      <w:r>
        <w:rPr>
          <w:rFonts w:hint="eastAsia"/>
        </w:rPr>
        <w:t xml:space="preserve">较20日峰值回落17.8590%。</w:t>
      </w:r>
    </w:p>
    <w:bookmarkEnd w:id="41"/>
    <w:bookmarkStart w:id="42" w:name="联合信号结论"/>
    <w:p>
      <w:pPr>
        <w:pStyle w:val="Heading3"/>
      </w:pPr>
      <w:r>
        <w:t xml:space="preserve">✅ </w:t>
      </w:r>
      <w:r>
        <w:rPr>
          <w:rFonts w:hint="eastAsia"/>
        </w:rPr>
        <w:t xml:space="preserve">联合信号结论</w:t>
      </w:r>
    </w:p>
    <w:p>
      <w:pPr>
        <w:pStyle w:val="FirstParagraph"/>
      </w:pPr>
      <w:r>
        <w:rPr>
          <w:rStyle w:val="VerbatimChar"/>
        </w:rPr>
        <w:t xml:space="preserve">derived.liquidity_panic_signal.status = confirmed</w:t>
      </w:r>
      <w:r>
        <w:t xml:space="preserve">。</w:t>
      </w:r>
    </w:p>
    <w:p>
      <w:pPr>
        <w:pStyle w:val="BodyText"/>
      </w:pPr>
      <w:r>
        <w:rPr>
          <w:rFonts w:hint="eastAsia"/>
          <w:b/>
          <w:bCs/>
        </w:rPr>
        <w:t xml:space="preserve">恐慌高位降温且宽基ETF持续流入已确认。</w:t>
      </w:r>
    </w:p>
    <w:p>
      <w:pPr>
        <w:pStyle w:val="BodyText"/>
      </w:pPr>
      <w:r>
        <w:rPr>
          <w:rFonts w:hint="eastAsia"/>
        </w:rPr>
        <w:t xml:space="preserve">但该确认来自QVIX回落以及科创50ETF、科创板50ETF连续流入，不代表所有宽基资金同步回流。两融余额下降、传统宽基ETF净赎回仍限制整体仓位上限。</w:t>
      </w:r>
    </w:p>
    <w:p>
      <w:r>
        <w:pict>
          <v:rect style="width:0;height:1.5pt" o:hralign="center" o:hrstd="t" o:hr="t"/>
        </w:pict>
      </w:r>
    </w:p>
    <w:bookmarkEnd w:id="42"/>
    <w:bookmarkEnd w:id="43"/>
    <w:bookmarkStart w:id="46" w:name="八今日市场风格预判"/>
    <w:p>
      <w:pPr>
        <w:pStyle w:val="Heading2"/>
      </w:pPr>
      <w:r>
        <w:t xml:space="preserve">🎯 </w:t>
      </w:r>
      <w:r>
        <w:rPr>
          <w:rFonts w:hint="eastAsia"/>
        </w:rPr>
        <w:t xml:space="preserve">八、今日市场风格预判</w:t>
      </w:r>
    </w:p>
    <w:bookmarkStart w:id="44" w:name="基准判断权重稳指数医药与低位消费承接科技等待修复"/>
    <w:p>
      <w:pPr>
        <w:pStyle w:val="Heading3"/>
      </w:pPr>
      <w:r>
        <w:t xml:space="preserve">📈 </w:t>
      </w:r>
      <w:r>
        <w:rPr>
          <w:rFonts w:hint="eastAsia"/>
        </w:rPr>
        <w:t xml:space="preserve">基准判断：权重稳指数，医药与低位消费承接，科技等待修复</w:t>
      </w:r>
    </w:p>
    <w:p>
      <w:pPr>
        <w:pStyle w:val="Compact"/>
        <w:numPr>
          <w:ilvl w:val="0"/>
          <w:numId w:val="1032"/>
        </w:numPr>
      </w:pPr>
      <w:r>
        <w:rPr>
          <w:rFonts w:hint="eastAsia"/>
        </w:rPr>
        <w:t xml:space="preserve">上一交易日沪深300上涨0.2855%，科创50下跌2.5063%，权重明显占优。</w:t>
      </w:r>
    </w:p>
    <w:p>
      <w:pPr>
        <w:pStyle w:val="Compact"/>
        <w:numPr>
          <w:ilvl w:val="0"/>
          <w:numId w:val="1032"/>
        </w:numPr>
      </w:pPr>
      <w:r>
        <w:rPr>
          <w:rFonts w:hint="eastAsia"/>
        </w:rPr>
        <w:t xml:space="preserve">医疗服务、化学制药、生物制品合计获得清晰板块级资金承接。</w:t>
      </w:r>
    </w:p>
    <w:p>
      <w:pPr>
        <w:pStyle w:val="Compact"/>
        <w:numPr>
          <w:ilvl w:val="0"/>
          <w:numId w:val="1032"/>
        </w:numPr>
      </w:pPr>
      <w:r>
        <w:rPr>
          <w:rFonts w:hint="eastAsia"/>
        </w:rPr>
        <w:t xml:space="preserve">半导体、元件、软件开发和计算机设备均在资金流出榜，科技内部仍处于去拥挤与筹码重整阶段。</w:t>
      </w:r>
    </w:p>
    <w:p>
      <w:pPr>
        <w:pStyle w:val="Compact"/>
        <w:numPr>
          <w:ilvl w:val="0"/>
          <w:numId w:val="1032"/>
        </w:numPr>
      </w:pPr>
      <w:r>
        <w:rPr>
          <w:rFonts w:hint="eastAsia"/>
        </w:rPr>
        <w:t xml:space="preserve">美光上涨4.06%可能刺激存储方向，但台积电下跌2.09%、英伟达下跌0.74%，不支持科技板块无差别高开高走。</w:t>
      </w:r>
    </w:p>
    <w:bookmarkEnd w:id="44"/>
    <w:bookmarkStart w:id="45" w:name="行为金融信号"/>
    <w:p>
      <w:pPr>
        <w:pStyle w:val="Heading3"/>
      </w:pPr>
      <w:r>
        <w:t xml:space="preserve">🧠 </w:t>
      </w:r>
      <w:r>
        <w:rPr>
          <w:rFonts w:hint="eastAsia"/>
        </w:rPr>
        <w:t xml:space="preserve">行为金融信号</w:t>
      </w:r>
    </w:p>
    <w:p>
      <w:pPr>
        <w:pStyle w:val="FirstParagraph"/>
      </w:pPr>
      <w:r>
        <w:rPr>
          <w:rStyle w:val="VerbatimChar"/>
        </w:rPr>
        <w:t xml:space="preserve">derived.behavioral_finance_signals</w:t>
      </w:r>
      <w:r>
        <w:rPr>
          <w:rFonts w:hint="eastAsia"/>
        </w:rPr>
        <w:t xml:space="preserve">风险评分为1，整体立场中性，未触发明确的FOMO、估值换手拥挤或亏损厌恶扩散阈值。</w:t>
      </w:r>
    </w:p>
    <w:p>
      <w:pPr>
        <w:pStyle w:val="BodyText"/>
      </w:pPr>
      <w:r>
        <w:rPr>
          <w:rFonts w:hint="eastAsia"/>
        </w:rPr>
        <w:t xml:space="preserve">需要防范的行为偏差：</w:t>
      </w:r>
    </w:p>
    <w:p>
      <w:pPr>
        <w:pStyle w:val="Compact"/>
        <w:numPr>
          <w:ilvl w:val="0"/>
          <w:numId w:val="1033"/>
        </w:numPr>
      </w:pPr>
      <w:r>
        <w:rPr>
          <w:rFonts w:hint="eastAsia"/>
          <w:b/>
          <w:bCs/>
        </w:rPr>
        <w:t xml:space="preserve">锚定偏差：</w:t>
      </w:r>
      <w:r>
        <w:rPr>
          <w:rFonts w:hint="eastAsia"/>
        </w:rPr>
        <w:t xml:space="preserve">不能因科技核心股此前高点较高，就把当前下跌自动视为便宜。</w:t>
      </w:r>
    </w:p>
    <w:p>
      <w:pPr>
        <w:pStyle w:val="Compact"/>
        <w:numPr>
          <w:ilvl w:val="0"/>
          <w:numId w:val="1033"/>
        </w:numPr>
      </w:pPr>
      <w:r>
        <w:rPr>
          <w:rFonts w:hint="eastAsia"/>
          <w:b/>
          <w:bCs/>
        </w:rPr>
        <w:t xml:space="preserve">确认偏误：</w:t>
      </w:r>
      <w:r>
        <w:rPr>
          <w:rFonts w:hint="eastAsia"/>
        </w:rPr>
        <w:t xml:space="preserve">不能只看美光上涨，忽略半导体板块101.92亿元主力净流出。</w:t>
      </w:r>
    </w:p>
    <w:p>
      <w:pPr>
        <w:pStyle w:val="Compact"/>
        <w:numPr>
          <w:ilvl w:val="0"/>
          <w:numId w:val="1033"/>
        </w:numPr>
      </w:pPr>
      <w:r>
        <w:rPr>
          <w:rFonts w:hint="eastAsia"/>
          <w:b/>
          <w:bCs/>
        </w:rPr>
        <w:t xml:space="preserve">FOMO追涨：</w:t>
      </w:r>
      <w:r>
        <w:rPr>
          <w:rFonts w:hint="eastAsia"/>
        </w:rPr>
        <w:t xml:space="preserve">江淮汽车、药明康德虽为A档，但均接近60日高点，禁止竞价或开盘急拉追入。</w:t>
      </w:r>
    </w:p>
    <w:p>
      <w:pPr>
        <w:pStyle w:val="Compact"/>
        <w:numPr>
          <w:ilvl w:val="0"/>
          <w:numId w:val="1033"/>
        </w:numPr>
      </w:pPr>
      <w:r>
        <w:rPr>
          <w:rFonts w:hint="eastAsia"/>
          <w:b/>
          <w:bCs/>
        </w:rPr>
        <w:t xml:space="preserve">处置效应：</w:t>
      </w:r>
      <w:r>
        <w:rPr>
          <w:rFonts w:hint="eastAsia"/>
        </w:rPr>
        <w:t xml:space="preserve">D档趋势破位股不能因浮亏而拒绝执行纪律。</w:t>
      </w:r>
    </w:p>
    <w:p>
      <w:pPr>
        <w:pStyle w:val="Compact"/>
        <w:numPr>
          <w:ilvl w:val="0"/>
          <w:numId w:val="1033"/>
        </w:numPr>
      </w:pPr>
      <w:r>
        <w:rPr>
          <w:rFonts w:hint="eastAsia"/>
          <w:b/>
          <w:bCs/>
        </w:rPr>
        <w:t xml:space="preserve">羊群效应：</w:t>
      </w:r>
      <w:r>
        <w:rPr>
          <w:rFonts w:hint="eastAsia"/>
        </w:rPr>
        <w:t xml:space="preserve">节后热点可能快速轮动，若板块只有消息刺激、没有资金和量价确认，不参与。</w:t>
      </w:r>
    </w:p>
    <w:p>
      <w:r>
        <w:pict>
          <v:rect style="width:0;height:1.5pt" o:hralign="center" o:hrstd="t" o:hr="t"/>
        </w:pict>
      </w:r>
    </w:p>
    <w:bookmarkEnd w:id="45"/>
    <w:bookmarkEnd w:id="46"/>
    <w:bookmarkStart w:id="52" w:name="九投资方向分层"/>
    <w:p>
      <w:pPr>
        <w:pStyle w:val="Heading2"/>
      </w:pPr>
      <w:r>
        <w:t xml:space="preserve">🧭 </w:t>
      </w:r>
      <w:r>
        <w:rPr>
          <w:rFonts w:hint="eastAsia"/>
        </w:rPr>
        <w:t xml:space="preserve">九、投资方向分层</w:t>
      </w:r>
    </w:p>
    <w:bookmarkStart w:id="47" w:name="可参与医药服务创新药与cro中的右侧趋势品种"/>
    <w:p>
      <w:pPr>
        <w:pStyle w:val="Heading3"/>
      </w:pPr>
      <w:r>
        <w:t xml:space="preserve">✅ </w:t>
      </w:r>
      <w:r>
        <w:rPr>
          <w:rFonts w:hint="eastAsia"/>
        </w:rPr>
        <w:t xml:space="preserve">可参与：医药服务、创新药与CRO中的右侧趋势品种</w:t>
      </w:r>
    </w:p>
    <w:p>
      <w:pPr>
        <w:pStyle w:val="FirstParagraph"/>
      </w:pPr>
      <w:r>
        <w:rPr>
          <w:rFonts w:hint="eastAsia"/>
          <w:b/>
          <w:bCs/>
        </w:rPr>
        <w:t xml:space="preserve">证据链</w:t>
      </w:r>
    </w:p>
    <w:p>
      <w:pPr>
        <w:pStyle w:val="Compact"/>
        <w:numPr>
          <w:ilvl w:val="0"/>
          <w:numId w:val="1034"/>
        </w:numPr>
      </w:pPr>
      <w:r>
        <w:rPr>
          <w:rFonts w:hint="eastAsia"/>
        </w:rPr>
        <w:t xml:space="preserve">医疗服务主力净流入26.03亿元，排名板块第一。</w:t>
      </w:r>
    </w:p>
    <w:p>
      <w:pPr>
        <w:pStyle w:val="Compact"/>
        <w:numPr>
          <w:ilvl w:val="0"/>
          <w:numId w:val="1034"/>
        </w:numPr>
      </w:pPr>
      <w:r>
        <w:rPr>
          <w:rFonts w:hint="eastAsia"/>
        </w:rPr>
        <w:t xml:space="preserve">化学制药净流入19.45亿元，生物制品净流入13.52亿元，医疗器械净流入4.27亿元。</w:t>
      </w:r>
    </w:p>
    <w:p>
      <w:pPr>
        <w:pStyle w:val="Compact"/>
        <w:numPr>
          <w:ilvl w:val="0"/>
          <w:numId w:val="1034"/>
        </w:numPr>
      </w:pPr>
      <w:r>
        <w:rPr>
          <w:rFonts w:hint="eastAsia"/>
        </w:rPr>
        <w:t xml:space="preserve">药明康德上一交易日成交额74.42亿元，主力买入金额31.83亿元。</w:t>
      </w:r>
    </w:p>
    <w:p>
      <w:pPr>
        <w:pStyle w:val="Compact"/>
        <w:numPr>
          <w:ilvl w:val="0"/>
          <w:numId w:val="1034"/>
        </w:numPr>
      </w:pPr>
      <w:r>
        <w:rPr>
          <w:rFonts w:hint="eastAsia"/>
        </w:rPr>
        <w:t xml:space="preserve">药明康德收盘167.34元，MA20为159.318元，MA60为147.2483元，距离60日高点167.96元仅-0.37%。</w:t>
      </w:r>
    </w:p>
    <w:p>
      <w:pPr>
        <w:pStyle w:val="Compact"/>
        <w:numPr>
          <w:ilvl w:val="0"/>
          <w:numId w:val="1034"/>
        </w:numPr>
      </w:pPr>
      <w:r>
        <w:rPr>
          <w:rFonts w:hint="eastAsia"/>
        </w:rPr>
        <w:t xml:space="preserve">量比1.3709、20日动量8.3808%，TickFlow评级为A。</w:t>
      </w:r>
    </w:p>
    <w:p>
      <w:pPr>
        <w:pStyle w:val="FirstParagraph"/>
      </w:pPr>
      <w:r>
        <w:rPr>
          <w:rFonts w:hint="eastAsia"/>
          <w:b/>
          <w:bCs/>
        </w:rPr>
        <w:t xml:space="preserve">核心标的：药明康德（603259）</w:t>
      </w:r>
    </w:p>
    <w:p>
      <w:pPr>
        <w:pStyle w:val="Compact"/>
        <w:numPr>
          <w:ilvl w:val="0"/>
          <w:numId w:val="1035"/>
        </w:numPr>
      </w:pPr>
      <w:r>
        <w:rPr>
          <w:rFonts w:hint="eastAsia"/>
        </w:rPr>
        <w:t xml:space="preserve">右侧评级：A。</w:t>
      </w:r>
    </w:p>
    <w:p>
      <w:pPr>
        <w:pStyle w:val="Compact"/>
        <w:numPr>
          <w:ilvl w:val="0"/>
          <w:numId w:val="1035"/>
        </w:numPr>
      </w:pPr>
      <w:r>
        <w:rPr>
          <w:rFonts w:hint="eastAsia"/>
        </w:rPr>
        <w:t xml:space="preserve">触发条件：收盘站稳167.96元且量比不低于1.2；或缩量回踩MA20不破后再放量。</w:t>
      </w:r>
    </w:p>
    <w:p>
      <w:pPr>
        <w:pStyle w:val="Compact"/>
        <w:numPr>
          <w:ilvl w:val="0"/>
          <w:numId w:val="1035"/>
        </w:numPr>
      </w:pPr>
      <w:r>
        <w:rPr>
          <w:rFonts w:hint="eastAsia"/>
        </w:rPr>
        <w:t xml:space="preserve">操作：不追高，确认后建立底仓。</w:t>
      </w:r>
    </w:p>
    <w:p>
      <w:pPr>
        <w:pStyle w:val="Compact"/>
        <w:numPr>
          <w:ilvl w:val="0"/>
          <w:numId w:val="1035"/>
        </w:numPr>
      </w:pPr>
      <w:r>
        <w:rPr>
          <w:rFonts w:hint="eastAsia"/>
        </w:rPr>
        <w:t xml:space="preserve">失效条件：收盘跌破156.241元ATR参考线，降低或退出仓位。</w:t>
      </w:r>
    </w:p>
    <w:p>
      <w:pPr>
        <w:pStyle w:val="Compact"/>
        <w:numPr>
          <w:ilvl w:val="0"/>
          <w:numId w:val="1035"/>
        </w:numPr>
      </w:pPr>
      <w:r>
        <w:rPr>
          <w:rFonts w:hint="eastAsia"/>
        </w:rPr>
        <w:t xml:space="preserve">基本面补充：本轮未提供药明康德最新F10财务结构化指标，估值与业绩细节记为暂缺确认，不能只凭资金与技术面重仓。</w:t>
      </w:r>
    </w:p>
    <w:bookmarkEnd w:id="47"/>
    <w:bookmarkStart w:id="48" w:name="可参与汽车整车中的右侧强趋势但只等分歧确认"/>
    <w:p>
      <w:pPr>
        <w:pStyle w:val="Heading3"/>
      </w:pPr>
      <w:r>
        <w:t xml:space="preserve">✅ </w:t>
      </w:r>
      <w:r>
        <w:rPr>
          <w:rFonts w:hint="eastAsia"/>
        </w:rPr>
        <w:t xml:space="preserve">可参与：汽车整车中的右侧强趋势，但只等分歧确认</w:t>
      </w:r>
    </w:p>
    <w:p>
      <w:pPr>
        <w:pStyle w:val="FirstParagraph"/>
      </w:pPr>
      <w:r>
        <w:rPr>
          <w:rFonts w:hint="eastAsia"/>
          <w:b/>
          <w:bCs/>
        </w:rPr>
        <w:t xml:space="preserve">核心标的：江淮汽车（600418）</w:t>
      </w:r>
    </w:p>
    <w:p>
      <w:pPr>
        <w:pStyle w:val="BodyText"/>
      </w:pPr>
      <w:r>
        <w:rPr>
          <w:rFonts w:hint="eastAsia"/>
          <w:b/>
          <w:bCs/>
        </w:rPr>
        <w:t xml:space="preserve">证据链</w:t>
      </w:r>
    </w:p>
    <w:p>
      <w:pPr>
        <w:pStyle w:val="Compact"/>
        <w:numPr>
          <w:ilvl w:val="0"/>
          <w:numId w:val="1036"/>
        </w:numPr>
      </w:pPr>
      <w:r>
        <w:rPr>
          <w:rFonts w:hint="eastAsia"/>
        </w:rPr>
        <w:t xml:space="preserve">汽车零部件板块主力净流入7.43亿元。</w:t>
      </w:r>
    </w:p>
    <w:p>
      <w:pPr>
        <w:pStyle w:val="Compact"/>
        <w:numPr>
          <w:ilvl w:val="0"/>
          <w:numId w:val="1036"/>
        </w:numPr>
      </w:pPr>
      <w:r>
        <w:rPr>
          <w:rFonts w:hint="eastAsia"/>
        </w:rPr>
        <w:t xml:space="preserve">江淮汽车上一交易日成交额74.93亿元，主力买入金额33.44亿元。</w:t>
      </w:r>
    </w:p>
    <w:p>
      <w:pPr>
        <w:pStyle w:val="Compact"/>
        <w:numPr>
          <w:ilvl w:val="0"/>
          <w:numId w:val="1036"/>
        </w:numPr>
      </w:pPr>
      <w:r>
        <w:rPr>
          <w:rFonts w:hint="eastAsia"/>
        </w:rPr>
        <w:t xml:space="preserve">收盘27.47元，等于60日高点27.47元。</w:t>
      </w:r>
    </w:p>
    <w:p>
      <w:pPr>
        <w:pStyle w:val="Compact"/>
        <w:numPr>
          <w:ilvl w:val="0"/>
          <w:numId w:val="1036"/>
        </w:numPr>
      </w:pPr>
      <w:r>
        <w:rPr>
          <w:rFonts w:hint="eastAsia"/>
        </w:rPr>
        <w:t xml:space="preserve">MA20为21.133元，MA60为22.0902元，量比1.4603，20日动量30.8095%。</w:t>
      </w:r>
    </w:p>
    <w:p>
      <w:pPr>
        <w:pStyle w:val="Compact"/>
        <w:numPr>
          <w:ilvl w:val="0"/>
          <w:numId w:val="1036"/>
        </w:numPr>
      </w:pPr>
      <w:r>
        <w:rPr>
          <w:rFonts w:hint="eastAsia"/>
        </w:rPr>
        <w:t xml:space="preserve">TickFlow评级为A，趋势结构确认，但RSI为75.9618，短线位置偏热。</w:t>
      </w:r>
    </w:p>
    <w:p>
      <w:pPr>
        <w:pStyle w:val="FirstParagraph"/>
      </w:pPr>
      <w:r>
        <w:rPr>
          <w:rFonts w:hint="eastAsia"/>
          <w:b/>
          <w:bCs/>
        </w:rPr>
        <w:t xml:space="preserve">触发条件</w:t>
      </w:r>
    </w:p>
    <w:p>
      <w:pPr>
        <w:pStyle w:val="Compact"/>
        <w:numPr>
          <w:ilvl w:val="0"/>
          <w:numId w:val="1037"/>
        </w:numPr>
      </w:pPr>
      <w:r>
        <w:rPr>
          <w:rFonts w:hint="eastAsia"/>
        </w:rPr>
        <w:t xml:space="preserve">保守条件：收盘继续站稳27.47元，且量比不低于1.2。</w:t>
      </w:r>
    </w:p>
    <w:p>
      <w:pPr>
        <w:pStyle w:val="Compact"/>
        <w:numPr>
          <w:ilvl w:val="0"/>
          <w:numId w:val="1037"/>
        </w:numPr>
      </w:pPr>
      <w:r>
        <w:rPr>
          <w:rFonts w:hint="eastAsia"/>
        </w:rPr>
        <w:t xml:space="preserve">优先条件：先缩量回踩，确认不破趋势结构后再放量突破。</w:t>
      </w:r>
    </w:p>
    <w:p>
      <w:pPr>
        <w:pStyle w:val="FirstParagraph"/>
      </w:pPr>
      <w:r>
        <w:rPr>
          <w:rFonts w:hint="eastAsia"/>
          <w:b/>
          <w:bCs/>
        </w:rPr>
        <w:t xml:space="preserve">失效条件</w:t>
      </w:r>
    </w:p>
    <w:p>
      <w:pPr>
        <w:pStyle w:val="Compact"/>
        <w:numPr>
          <w:ilvl w:val="0"/>
          <w:numId w:val="1038"/>
        </w:numPr>
      </w:pPr>
      <w:r>
        <w:rPr>
          <w:rFonts w:hint="eastAsia"/>
        </w:rPr>
        <w:t xml:space="preserve">收盘跌破20.416元ATR参考线。</w:t>
      </w:r>
    </w:p>
    <w:p>
      <w:pPr>
        <w:pStyle w:val="Compact"/>
        <w:numPr>
          <w:ilvl w:val="0"/>
          <w:numId w:val="1038"/>
        </w:numPr>
      </w:pPr>
      <w:r>
        <w:rPr>
          <w:rFonts w:hint="eastAsia"/>
        </w:rPr>
        <w:t xml:space="preserve">若高开后快速放量跌回27.47元以下，不参与首次冲高。</w:t>
      </w:r>
    </w:p>
    <w:bookmarkEnd w:id="48"/>
    <w:bookmarkStart w:id="49" w:name="只观察文化传媒文旅物流数字化与农业机械"/>
    <w:p>
      <w:pPr>
        <w:pStyle w:val="Heading3"/>
      </w:pPr>
      <w:r>
        <w:t xml:space="preserve">👀 </w:t>
      </w:r>
      <w:r>
        <w:rPr>
          <w:rFonts w:hint="eastAsia"/>
        </w:rPr>
        <w:t xml:space="preserve">只观察：文化传媒、文旅、物流数字化与农业机械</w:t>
      </w:r>
    </w:p>
    <w:p>
      <w:pPr>
        <w:pStyle w:val="FirstParagraph"/>
      </w:pPr>
      <w:r>
        <w:rPr>
          <w:rFonts w:hint="eastAsia"/>
          <w:b/>
          <w:bCs/>
        </w:rPr>
        <w:t xml:space="preserve">证据链</w:t>
      </w:r>
    </w:p>
    <w:p>
      <w:pPr>
        <w:pStyle w:val="Compact"/>
        <w:numPr>
          <w:ilvl w:val="0"/>
          <w:numId w:val="1039"/>
        </w:numPr>
      </w:pPr>
      <w:r>
        <w:rPr>
          <w:rFonts w:hint="eastAsia"/>
        </w:rPr>
        <w:t xml:space="preserve">新闻联播提供文化强国、假日公园消费、入境游、物流网和秋粮机械化等政策及产业线索。</w:t>
      </w:r>
    </w:p>
    <w:p>
      <w:pPr>
        <w:pStyle w:val="Compact"/>
        <w:numPr>
          <w:ilvl w:val="0"/>
          <w:numId w:val="1039"/>
        </w:numPr>
      </w:pPr>
      <w:r>
        <w:rPr>
          <w:rFonts w:hint="eastAsia"/>
        </w:rPr>
        <w:t xml:space="preserve">文化空间超过4万个、公园游客超过2.1亿人次、物流枢纽规划181个，具备中期产业逻辑。</w:t>
      </w:r>
    </w:p>
    <w:p>
      <w:pPr>
        <w:pStyle w:val="Compact"/>
        <w:numPr>
          <w:ilvl w:val="0"/>
          <w:numId w:val="1039"/>
        </w:numPr>
      </w:pPr>
      <w:r>
        <w:rPr>
          <w:rFonts w:hint="eastAsia"/>
        </w:rPr>
        <w:t xml:space="preserve">当前采集JSON没有对应板块的资金排名、右侧技术评级及可核验核心股筛选结果。</w:t>
      </w:r>
    </w:p>
    <w:p>
      <w:pPr>
        <w:pStyle w:val="FirstParagraph"/>
      </w:pPr>
      <w:r>
        <w:rPr>
          <w:rFonts w:hint="eastAsia"/>
          <w:b/>
          <w:bCs/>
        </w:rPr>
        <w:t xml:space="preserve">触发条件</w:t>
      </w:r>
    </w:p>
    <w:p>
      <w:pPr>
        <w:pStyle w:val="Compact"/>
        <w:numPr>
          <w:ilvl w:val="0"/>
          <w:numId w:val="1040"/>
        </w:numPr>
      </w:pPr>
      <w:r>
        <w:rPr>
          <w:rFonts w:hint="eastAsia"/>
        </w:rPr>
        <w:t xml:space="preserve">板块开盘后形成主动资金流入。</w:t>
      </w:r>
    </w:p>
    <w:p>
      <w:pPr>
        <w:pStyle w:val="Compact"/>
        <w:numPr>
          <w:ilvl w:val="0"/>
          <w:numId w:val="1040"/>
        </w:numPr>
      </w:pPr>
      <w:r>
        <w:rPr>
          <w:rFonts w:hint="eastAsia"/>
        </w:rPr>
        <w:t xml:space="preserve">核心股站上MA20与MA60。</w:t>
      </w:r>
    </w:p>
    <w:p>
      <w:pPr>
        <w:pStyle w:val="Compact"/>
        <w:numPr>
          <w:ilvl w:val="0"/>
          <w:numId w:val="1040"/>
        </w:numPr>
      </w:pPr>
      <w:r>
        <w:rPr>
          <w:rFonts w:hint="eastAsia"/>
        </w:rPr>
        <w:t xml:space="preserve">放量突破后不出现冲高回落，并有真实订单或业绩数据支持。</w:t>
      </w:r>
    </w:p>
    <w:p>
      <w:pPr>
        <w:pStyle w:val="FirstParagraph"/>
      </w:pPr>
      <w:r>
        <w:rPr>
          <w:rFonts w:hint="eastAsia"/>
          <w:b/>
          <w:bCs/>
        </w:rPr>
        <w:t xml:space="preserve">失效条件</w:t>
      </w:r>
    </w:p>
    <w:p>
      <w:pPr>
        <w:pStyle w:val="Compact"/>
        <w:numPr>
          <w:ilvl w:val="0"/>
          <w:numId w:val="1041"/>
        </w:numPr>
      </w:pPr>
      <w:r>
        <w:rPr>
          <w:rFonts w:hint="eastAsia"/>
        </w:rPr>
        <w:t xml:space="preserve">仅消息刺激、无成交额配合。</w:t>
      </w:r>
    </w:p>
    <w:p>
      <w:pPr>
        <w:pStyle w:val="Compact"/>
        <w:numPr>
          <w:ilvl w:val="0"/>
          <w:numId w:val="1041"/>
        </w:numPr>
      </w:pPr>
      <w:r>
        <w:rPr>
          <w:rFonts w:hint="eastAsia"/>
        </w:rPr>
        <w:t xml:space="preserve">高开低走并跌破开盘区间。</w:t>
      </w:r>
    </w:p>
    <w:p>
      <w:pPr>
        <w:pStyle w:val="Compact"/>
        <w:numPr>
          <w:ilvl w:val="0"/>
          <w:numId w:val="1041"/>
        </w:numPr>
      </w:pPr>
      <w:r>
        <w:rPr>
          <w:rFonts w:hint="eastAsia"/>
        </w:rPr>
        <w:t xml:space="preserve">个股主要依赖概念标签，缺乏收入和利润兑现。</w:t>
      </w:r>
    </w:p>
    <w:bookmarkEnd w:id="49"/>
    <w:bookmarkStart w:id="50" w:name="只观察存储芯片"/>
    <w:p>
      <w:pPr>
        <w:pStyle w:val="Heading3"/>
      </w:pPr>
      <w:r>
        <w:t xml:space="preserve">👀 </w:t>
      </w:r>
      <w:r>
        <w:rPr>
          <w:rFonts w:hint="eastAsia"/>
        </w:rPr>
        <w:t xml:space="preserve">只观察：存储芯片</w:t>
      </w:r>
    </w:p>
    <w:p>
      <w:pPr>
        <w:pStyle w:val="FirstParagraph"/>
      </w:pPr>
      <w:r>
        <w:rPr>
          <w:rFonts w:hint="eastAsia"/>
          <w:b/>
          <w:bCs/>
        </w:rPr>
        <w:t xml:space="preserve">证据链</w:t>
      </w:r>
    </w:p>
    <w:p>
      <w:pPr>
        <w:pStyle w:val="Compact"/>
        <w:numPr>
          <w:ilvl w:val="0"/>
          <w:numId w:val="1042"/>
        </w:numPr>
      </w:pPr>
      <w:r>
        <w:rPr>
          <w:rFonts w:hint="eastAsia"/>
        </w:rPr>
        <w:t xml:space="preserve">美光上涨4.06%，构成外部正向映射。</w:t>
      </w:r>
    </w:p>
    <w:p>
      <w:pPr>
        <w:pStyle w:val="Compact"/>
        <w:numPr>
          <w:ilvl w:val="0"/>
          <w:numId w:val="1042"/>
        </w:numPr>
      </w:pPr>
      <w:r>
        <w:rPr>
          <w:rFonts w:hint="eastAsia"/>
        </w:rPr>
        <w:t xml:space="preserve">兆易创新2026年中报营业收入同比增长178.7%、净利润同比增长1071%、ROE为23.13%，基本面增速较强。</w:t>
      </w:r>
    </w:p>
    <w:p>
      <w:pPr>
        <w:pStyle w:val="Compact"/>
        <w:numPr>
          <w:ilvl w:val="0"/>
          <w:numId w:val="1042"/>
        </w:numPr>
      </w:pPr>
      <w:r>
        <w:rPr>
          <w:rFonts w:hint="eastAsia"/>
        </w:rPr>
        <w:t xml:space="preserve">但半导体板块主力净流出101.92亿元，兆易创新评级为D。</w:t>
      </w:r>
    </w:p>
    <w:p>
      <w:pPr>
        <w:pStyle w:val="FirstParagraph"/>
      </w:pPr>
      <w:r>
        <w:rPr>
          <w:rFonts w:hint="eastAsia"/>
          <w:b/>
          <w:bCs/>
        </w:rPr>
        <w:t xml:space="preserve">核心标的：兆易创新（603986）</w:t>
      </w:r>
    </w:p>
    <w:p>
      <w:pPr>
        <w:pStyle w:val="Compact"/>
        <w:numPr>
          <w:ilvl w:val="0"/>
          <w:numId w:val="1043"/>
        </w:numPr>
      </w:pPr>
      <w:r>
        <w:rPr>
          <w:rFonts w:hint="eastAsia"/>
        </w:rPr>
        <w:t xml:space="preserve">收盘353.90元，MA20为377.832元，MA60为422.8457元。</w:t>
      </w:r>
    </w:p>
    <w:p>
      <w:pPr>
        <w:pStyle w:val="Compact"/>
        <w:numPr>
          <w:ilvl w:val="0"/>
          <w:numId w:val="1043"/>
        </w:numPr>
      </w:pPr>
      <w:r>
        <w:rPr>
          <w:rFonts w:hint="eastAsia"/>
        </w:rPr>
        <w:t xml:space="preserve">距离MA20为-6.33%，距离MA60为-16.31%，距离60日高点为-46.66%。</w:t>
      </w:r>
    </w:p>
    <w:p>
      <w:pPr>
        <w:pStyle w:val="Compact"/>
        <w:numPr>
          <w:ilvl w:val="0"/>
          <w:numId w:val="1043"/>
        </w:numPr>
      </w:pPr>
      <w:r>
        <w:rPr>
          <w:rFonts w:hint="eastAsia"/>
        </w:rPr>
        <w:t xml:space="preserve">量比0.8124，尚未形成放量修复。</w:t>
      </w:r>
    </w:p>
    <w:p>
      <w:pPr>
        <w:pStyle w:val="Compact"/>
        <w:numPr>
          <w:ilvl w:val="0"/>
          <w:numId w:val="1043"/>
        </w:numPr>
      </w:pPr>
      <w:r>
        <w:rPr>
          <w:rFonts w:hint="eastAsia"/>
        </w:rPr>
        <w:t xml:space="preserve">触发条件：重新站回MA20及MA60并完成确认。</w:t>
      </w:r>
    </w:p>
    <w:p>
      <w:pPr>
        <w:pStyle w:val="Compact"/>
        <w:numPr>
          <w:ilvl w:val="0"/>
          <w:numId w:val="1043"/>
        </w:numPr>
      </w:pPr>
      <w:r>
        <w:rPr>
          <w:rFonts w:hint="eastAsia"/>
        </w:rPr>
        <w:t xml:space="preserve">失效条件：反弹无法站回均线、继续创调整低点。</w:t>
      </w:r>
    </w:p>
    <w:p>
      <w:pPr>
        <w:pStyle w:val="Compact"/>
        <w:numPr>
          <w:ilvl w:val="0"/>
          <w:numId w:val="1043"/>
        </w:numPr>
      </w:pPr>
      <w:r>
        <w:rPr>
          <w:rFonts w:hint="eastAsia"/>
        </w:rPr>
        <w:t xml:space="preserve">当前行动：只观察，不因美光上涨追入。</w:t>
      </w:r>
    </w:p>
    <w:bookmarkEnd w:id="50"/>
    <w:bookmarkStart w:id="51" w:name="应回避光模块及高位科技核心的弱趋势反抽"/>
    <w:p>
      <w:pPr>
        <w:pStyle w:val="Heading3"/>
      </w:pPr>
      <w:r>
        <w:t xml:space="preserve">⛔ </w:t>
      </w:r>
      <w:r>
        <w:rPr>
          <w:rFonts w:hint="eastAsia"/>
        </w:rPr>
        <w:t xml:space="preserve">应回避：光模块及高位科技核心的弱趋势反抽</w:t>
      </w:r>
    </w:p>
    <w:p>
      <w:pPr>
        <w:pStyle w:val="Compact"/>
        <w:numPr>
          <w:ilvl w:val="0"/>
          <w:numId w:val="1044"/>
        </w:numPr>
      </w:pPr>
      <w:r>
        <w:rPr>
          <w:rFonts w:hint="eastAsia"/>
          <w:b/>
          <w:bCs/>
        </w:rPr>
        <w:t xml:space="preserve">中际旭创：D档。</w:t>
      </w:r>
      <w:r>
        <w:rPr>
          <w:rFonts w:hint="eastAsia"/>
        </w:rPr>
        <w:t xml:space="preserve">收盘808.44元，MA20为878.30元，MA60为942.963元，距离60日高点-32.34%。</w:t>
      </w:r>
    </w:p>
    <w:p>
      <w:pPr>
        <w:pStyle w:val="Compact"/>
        <w:numPr>
          <w:ilvl w:val="0"/>
          <w:numId w:val="1044"/>
        </w:numPr>
      </w:pPr>
      <w:r>
        <w:rPr>
          <w:rFonts w:hint="eastAsia"/>
          <w:b/>
          <w:bCs/>
        </w:rPr>
        <w:t xml:space="preserve">新易盛：D档。</w:t>
      </w:r>
      <w:r>
        <w:rPr>
          <w:rFonts w:hint="eastAsia"/>
        </w:rPr>
        <w:t xml:space="preserve">收盘389.00元，MA20为415.562元，MA60为440.4108元，距离60日高点-31.61%。</w:t>
      </w:r>
    </w:p>
    <w:p>
      <w:pPr>
        <w:pStyle w:val="Compact"/>
        <w:numPr>
          <w:ilvl w:val="0"/>
          <w:numId w:val="1044"/>
        </w:numPr>
      </w:pPr>
      <w:r>
        <w:rPr>
          <w:rFonts w:hint="eastAsia"/>
          <w:b/>
          <w:bCs/>
        </w:rPr>
        <w:t xml:space="preserve">亨通光电：D档。</w:t>
      </w:r>
      <w:r>
        <w:rPr>
          <w:rFonts w:hint="eastAsia"/>
        </w:rPr>
        <w:t xml:space="preserve">收盘54.86元，MA20为65.0485元，MA60为62.7172元，距离60日高点-32.18%。</w:t>
      </w:r>
    </w:p>
    <w:p>
      <w:pPr>
        <w:pStyle w:val="Compact"/>
        <w:numPr>
          <w:ilvl w:val="0"/>
          <w:numId w:val="1044"/>
        </w:numPr>
      </w:pPr>
      <w:r>
        <w:rPr>
          <w:rFonts w:hint="eastAsia"/>
          <w:b/>
          <w:bCs/>
        </w:rPr>
        <w:t xml:space="preserve">寒武纪：D档。</w:t>
      </w:r>
      <w:r>
        <w:rPr>
          <w:rFonts w:hint="eastAsia"/>
        </w:rPr>
        <w:t xml:space="preserve">收盘1009.01元，MA20为1077.2215元，MA60为1145.7757元，PE为190.4倍。</w:t>
      </w:r>
    </w:p>
    <w:p>
      <w:pPr>
        <w:pStyle w:val="Compact"/>
        <w:numPr>
          <w:ilvl w:val="0"/>
          <w:numId w:val="1044"/>
        </w:numPr>
      </w:pPr>
      <w:r>
        <w:rPr>
          <w:rFonts w:hint="eastAsia"/>
          <w:b/>
          <w:bCs/>
        </w:rPr>
        <w:t xml:space="preserve">天孚通信：D档。</w:t>
      </w:r>
      <w:r>
        <w:rPr>
          <w:rFonts w:hint="eastAsia"/>
        </w:rPr>
        <w:t xml:space="preserve">收盘260.77元，仍在MA60上方，但低于MA20，技术模型已经判定破位。</w:t>
      </w:r>
    </w:p>
    <w:p>
      <w:pPr>
        <w:pStyle w:val="Compact"/>
        <w:numPr>
          <w:ilvl w:val="0"/>
          <w:numId w:val="1044"/>
        </w:numPr>
      </w:pPr>
      <w:r>
        <w:rPr>
          <w:rFonts w:hint="eastAsia"/>
          <w:b/>
          <w:bCs/>
        </w:rPr>
        <w:t xml:space="preserve">宁德时代：D档。</w:t>
      </w:r>
      <w:r>
        <w:rPr>
          <w:rFonts w:hint="eastAsia"/>
        </w:rPr>
        <w:t xml:space="preserve">收盘291.11元，MA20为318.461元，MA60为361.148元。</w:t>
      </w:r>
    </w:p>
    <w:p>
      <w:pPr>
        <w:pStyle w:val="FirstParagraph"/>
      </w:pPr>
      <w:r>
        <w:rPr>
          <w:rFonts w:hint="eastAsia"/>
        </w:rPr>
        <w:t xml:space="preserve">上述标的只有在重新站回MA20、MA60并确认后才复评。技术破位期间的消息反抽不属于右侧买点。</w:t>
      </w:r>
    </w:p>
    <w:p>
      <w:r>
        <w:pict>
          <v:rect style="width:0;height:1.5pt" o:hralign="center" o:hrstd="t" o:hr="t"/>
        </w:pict>
      </w:r>
    </w:p>
    <w:bookmarkEnd w:id="51"/>
    <w:bookmarkEnd w:id="52"/>
    <w:bookmarkStart w:id="56" w:name="十今日操作策略三档仓位不追节后第一波脉冲"/>
    <w:p>
      <w:pPr>
        <w:pStyle w:val="Heading2"/>
      </w:pPr>
      <w:r>
        <w:t xml:space="preserve">💡 </w:t>
      </w:r>
      <w:r>
        <w:rPr>
          <w:rFonts w:hint="eastAsia"/>
        </w:rPr>
        <w:t xml:space="preserve">十、今日操作策略：三档仓位，不追节后第一波脉冲</w:t>
      </w:r>
    </w:p>
    <w:bookmarkStart w:id="53" w:name="进取档最高50"/>
    <w:p>
      <w:pPr>
        <w:pStyle w:val="Heading3"/>
      </w:pPr>
      <w:r>
        <w:t xml:space="preserve">🚀 </w:t>
      </w:r>
      <w:r>
        <w:rPr>
          <w:rFonts w:hint="eastAsia"/>
        </w:rPr>
        <w:t xml:space="preserve">进取档：最高50%</w:t>
      </w:r>
    </w:p>
    <w:p>
      <w:pPr>
        <w:pStyle w:val="FirstParagraph"/>
      </w:pPr>
      <w:r>
        <w:rPr>
          <w:rFonts w:hint="eastAsia"/>
        </w:rPr>
        <w:t xml:space="preserve">适用条件：</w:t>
      </w:r>
    </w:p>
    <w:p>
      <w:pPr>
        <w:pStyle w:val="Compact"/>
        <w:numPr>
          <w:ilvl w:val="0"/>
          <w:numId w:val="1045"/>
        </w:numPr>
      </w:pPr>
      <w:r>
        <w:rPr>
          <w:rFonts w:hint="eastAsia"/>
        </w:rPr>
        <w:t xml:space="preserve">主要指数开盘后放量走强。</w:t>
      </w:r>
    </w:p>
    <w:p>
      <w:pPr>
        <w:pStyle w:val="Compact"/>
        <w:numPr>
          <w:ilvl w:val="0"/>
          <w:numId w:val="1045"/>
        </w:numPr>
      </w:pPr>
      <w:r>
        <w:rPr>
          <w:rFonts w:hint="eastAsia"/>
        </w:rPr>
        <w:t xml:space="preserve">涨跌结构明显改善。</w:t>
      </w:r>
    </w:p>
    <w:p>
      <w:pPr>
        <w:pStyle w:val="Compact"/>
        <w:numPr>
          <w:ilvl w:val="0"/>
          <w:numId w:val="1045"/>
        </w:numPr>
      </w:pPr>
      <w:r>
        <w:rPr>
          <w:rFonts w:hint="eastAsia"/>
        </w:rPr>
        <w:t xml:space="preserve">医药或汽车形成板块与核心股共振。</w:t>
      </w:r>
    </w:p>
    <w:p>
      <w:pPr>
        <w:pStyle w:val="Compact"/>
        <w:numPr>
          <w:ilvl w:val="0"/>
          <w:numId w:val="1045"/>
        </w:numPr>
      </w:pPr>
      <w:r>
        <w:rPr>
          <w:rFonts w:hint="eastAsia"/>
        </w:rPr>
        <w:t xml:space="preserve">药明康德站稳167.96元，或江淮汽车站稳27.47元且没有冲高回落。</w:t>
      </w:r>
    </w:p>
    <w:p>
      <w:pPr>
        <w:pStyle w:val="FirstParagraph"/>
      </w:pPr>
      <w:r>
        <w:rPr>
          <w:rFonts w:hint="eastAsia"/>
        </w:rPr>
        <w:t xml:space="preserve">配置方式：</w:t>
      </w:r>
    </w:p>
    <w:p>
      <w:pPr>
        <w:pStyle w:val="Compact"/>
        <w:numPr>
          <w:ilvl w:val="0"/>
          <w:numId w:val="1046"/>
        </w:numPr>
      </w:pPr>
      <w:r>
        <w:rPr>
          <w:rFonts w:hint="eastAsia"/>
        </w:rPr>
        <w:t xml:space="preserve">20%底仓：右侧A档核心。</w:t>
      </w:r>
    </w:p>
    <w:p>
      <w:pPr>
        <w:pStyle w:val="Compact"/>
        <w:numPr>
          <w:ilvl w:val="0"/>
          <w:numId w:val="1046"/>
        </w:numPr>
      </w:pPr>
      <w:r>
        <w:rPr>
          <w:rFonts w:hint="eastAsia"/>
        </w:rPr>
        <w:t xml:space="preserve">20%确认仓：突破站稳后增加。</w:t>
      </w:r>
    </w:p>
    <w:p>
      <w:pPr>
        <w:pStyle w:val="Compact"/>
        <w:numPr>
          <w:ilvl w:val="0"/>
          <w:numId w:val="1046"/>
        </w:numPr>
      </w:pPr>
      <w:r>
        <w:rPr>
          <w:rFonts w:hint="eastAsia"/>
        </w:rPr>
        <w:t xml:space="preserve">10%机动仓：留给回踩确认或盘中新增主线。</w:t>
      </w:r>
    </w:p>
    <w:p>
      <w:pPr>
        <w:pStyle w:val="Compact"/>
        <w:numPr>
          <w:ilvl w:val="0"/>
          <w:numId w:val="1046"/>
        </w:numPr>
      </w:pPr>
      <w:r>
        <w:rPr>
          <w:rFonts w:hint="eastAsia"/>
        </w:rPr>
        <w:t xml:space="preserve">禁止把50%一次性打满。</w:t>
      </w:r>
    </w:p>
    <w:bookmarkEnd w:id="53"/>
    <w:bookmarkStart w:id="54" w:name="均衡档40"/>
    <w:p>
      <w:pPr>
        <w:pStyle w:val="Heading3"/>
      </w:pPr>
      <w:r>
        <w:t xml:space="preserve">⚖️ </w:t>
      </w:r>
      <w:r>
        <w:rPr>
          <w:rFonts w:hint="eastAsia"/>
        </w:rPr>
        <w:t xml:space="preserve">均衡档：40%</w:t>
      </w:r>
    </w:p>
    <w:p>
      <w:pPr>
        <w:pStyle w:val="FirstParagraph"/>
      </w:pPr>
      <w:r>
        <w:rPr>
          <w:rFonts w:hint="eastAsia"/>
        </w:rPr>
        <w:t xml:space="preserve">这是今日基准方案。</w:t>
      </w:r>
    </w:p>
    <w:p>
      <w:pPr>
        <w:pStyle w:val="Compact"/>
        <w:numPr>
          <w:ilvl w:val="0"/>
          <w:numId w:val="1047"/>
        </w:numPr>
      </w:pPr>
      <w:r>
        <w:rPr>
          <w:rFonts w:hint="eastAsia"/>
        </w:rPr>
        <w:t xml:space="preserve">20%配置右侧A档或医药主线。</w:t>
      </w:r>
    </w:p>
    <w:p>
      <w:pPr>
        <w:pStyle w:val="Compact"/>
        <w:numPr>
          <w:ilvl w:val="0"/>
          <w:numId w:val="1047"/>
        </w:numPr>
      </w:pPr>
      <w:r>
        <w:rPr>
          <w:rFonts w:hint="eastAsia"/>
        </w:rPr>
        <w:t xml:space="preserve">10%用于确认后的加仓。</w:t>
      </w:r>
    </w:p>
    <w:p>
      <w:pPr>
        <w:pStyle w:val="Compact"/>
        <w:numPr>
          <w:ilvl w:val="0"/>
          <w:numId w:val="1047"/>
        </w:numPr>
      </w:pPr>
      <w:r>
        <w:rPr>
          <w:rFonts w:hint="eastAsia"/>
        </w:rPr>
        <w:t xml:space="preserve">10%保留现金机动。</w:t>
      </w:r>
    </w:p>
    <w:p>
      <w:pPr>
        <w:pStyle w:val="Compact"/>
        <w:numPr>
          <w:ilvl w:val="0"/>
          <w:numId w:val="1047"/>
        </w:numPr>
      </w:pPr>
      <w:r>
        <w:rPr>
          <w:rFonts w:hint="eastAsia"/>
        </w:rPr>
        <w:t xml:space="preserve">科技D档不纳入主动仓位。</w:t>
      </w:r>
    </w:p>
    <w:bookmarkEnd w:id="54"/>
    <w:bookmarkStart w:id="55" w:name="保守档25"/>
    <w:p>
      <w:pPr>
        <w:pStyle w:val="Heading3"/>
      </w:pPr>
      <w:r>
        <w:t xml:space="preserve">🛡️ </w:t>
      </w:r>
      <w:r>
        <w:rPr>
          <w:rFonts w:hint="eastAsia"/>
        </w:rPr>
        <w:t xml:space="preserve">保守档：25%</w:t>
      </w:r>
    </w:p>
    <w:p>
      <w:pPr>
        <w:pStyle w:val="FirstParagraph"/>
      </w:pPr>
      <w:r>
        <w:rPr>
          <w:rFonts w:hint="eastAsia"/>
        </w:rPr>
        <w:t xml:space="preserve">适用条件：</w:t>
      </w:r>
    </w:p>
    <w:p>
      <w:pPr>
        <w:pStyle w:val="Compact"/>
        <w:numPr>
          <w:ilvl w:val="0"/>
          <w:numId w:val="1048"/>
        </w:numPr>
      </w:pPr>
      <w:r>
        <w:rPr>
          <w:rFonts w:hint="eastAsia"/>
        </w:rPr>
        <w:t xml:space="preserve">A50弱势传导至A股。</w:t>
      </w:r>
    </w:p>
    <w:p>
      <w:pPr>
        <w:pStyle w:val="Compact"/>
        <w:numPr>
          <w:ilvl w:val="0"/>
          <w:numId w:val="1048"/>
        </w:numPr>
      </w:pPr>
      <w:r>
        <w:rPr>
          <w:rFonts w:hint="eastAsia"/>
        </w:rPr>
        <w:t xml:space="preserve">指数高开低走。</w:t>
      </w:r>
    </w:p>
    <w:p>
      <w:pPr>
        <w:pStyle w:val="Compact"/>
        <w:numPr>
          <w:ilvl w:val="0"/>
          <w:numId w:val="1048"/>
        </w:numPr>
      </w:pPr>
      <w:r>
        <w:rPr>
          <w:rFonts w:hint="eastAsia"/>
        </w:rPr>
        <w:t xml:space="preserve">成交额未能有效扩大。</w:t>
      </w:r>
    </w:p>
    <w:p>
      <w:pPr>
        <w:pStyle w:val="Compact"/>
        <w:numPr>
          <w:ilvl w:val="0"/>
          <w:numId w:val="1048"/>
        </w:numPr>
      </w:pPr>
      <w:r>
        <w:rPr>
          <w:rFonts w:hint="eastAsia"/>
        </w:rPr>
        <w:t xml:space="preserve">科技反抽再次被抛售，医药也未形成持续承接。</w:t>
      </w:r>
    </w:p>
    <w:p>
      <w:pPr>
        <w:pStyle w:val="FirstParagraph"/>
      </w:pPr>
      <w:r>
        <w:rPr>
          <w:rFonts w:hint="eastAsia"/>
        </w:rPr>
        <w:t xml:space="preserve">配置方式：</w:t>
      </w:r>
    </w:p>
    <w:p>
      <w:pPr>
        <w:pStyle w:val="Compact"/>
        <w:numPr>
          <w:ilvl w:val="0"/>
          <w:numId w:val="1049"/>
        </w:numPr>
      </w:pPr>
      <w:r>
        <w:rPr>
          <w:rFonts w:hint="eastAsia"/>
        </w:rPr>
        <w:t xml:space="preserve">10%—15%试探性底仓。</w:t>
      </w:r>
    </w:p>
    <w:p>
      <w:pPr>
        <w:pStyle w:val="Compact"/>
        <w:numPr>
          <w:ilvl w:val="0"/>
          <w:numId w:val="1049"/>
        </w:numPr>
      </w:pPr>
      <w:r>
        <w:rPr>
          <w:rFonts w:hint="eastAsia"/>
        </w:rPr>
        <w:t xml:space="preserve">其余仓位仅在右侧条件完成后使用。</w:t>
      </w:r>
    </w:p>
    <w:p>
      <w:pPr>
        <w:pStyle w:val="Compact"/>
        <w:numPr>
          <w:ilvl w:val="0"/>
          <w:numId w:val="1049"/>
        </w:numPr>
      </w:pPr>
      <w:r>
        <w:rPr>
          <w:rFonts w:hint="eastAsia"/>
        </w:rPr>
        <w:t xml:space="preserve">没有符合条件的标的时保持空仓，不为节后开盘强行交易。</w:t>
      </w:r>
    </w:p>
    <w:p>
      <w:r>
        <w:pict>
          <v:rect style="width:0;height:1.5pt" o:hralign="center" o:hrstd="t" o:hr="t"/>
        </w:pict>
      </w:r>
    </w:p>
    <w:bookmarkEnd w:id="55"/>
    <w:bookmarkEnd w:id="56"/>
    <w:bookmarkStart w:id="57" w:name="十一仓位模型量化推导"/>
    <w:p>
      <w:pPr>
        <w:pStyle w:val="Heading2"/>
      </w:pPr>
      <w:r>
        <w:t xml:space="preserve">🧮 </w:t>
      </w:r>
      <w:r>
        <w:rPr>
          <w:rFonts w:hint="eastAsia"/>
        </w:rPr>
        <w:t xml:space="preserve">十一、仓位模型：量化推导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因子</w:t>
            </w:r>
          </w:p>
        </w:tc>
        <w:tc>
          <w:tcPr/>
          <w:p>
            <w:pPr>
              <w:pStyle w:val="Compact"/>
            </w:pPr>
            <w:r>
              <w:rPr>
                <w:rFonts w:hint="eastAsia"/>
              </w:rPr>
              <w:t xml:space="preserve">观测结果</w:t>
            </w:r>
          </w:p>
        </w:tc>
        <w:tc>
          <w:tcPr/>
          <w:p>
            <w:pPr>
              <w:pStyle w:val="Compact"/>
            </w:pPr>
            <w:r>
              <w:rPr>
                <w:rFonts w:hint="eastAsia"/>
              </w:rPr>
              <w:t xml:space="preserve">仓位影响</w:t>
            </w:r>
          </w:p>
        </w:tc>
      </w:tr>
      <w:tr>
        <w:tc>
          <w:tcPr/>
          <w:p>
            <w:pPr>
              <w:pStyle w:val="Compact"/>
            </w:pPr>
            <w:r>
              <w:rPr>
                <w:rFonts w:hint="eastAsia"/>
              </w:rPr>
              <w:t xml:space="preserve">成交额</w:t>
            </w:r>
          </w:p>
        </w:tc>
        <w:tc>
          <w:tcPr/>
          <w:p>
            <w:pPr>
              <w:pStyle w:val="Compact"/>
            </w:pPr>
            <w:r>
              <w:rPr>
                <w:rFonts w:hint="eastAsia"/>
              </w:rPr>
              <w:t xml:space="preserve">14500.49亿元，增加284.53亿元、2.00%</w:t>
            </w:r>
          </w:p>
        </w:tc>
        <w:tc>
          <w:tcPr/>
          <w:p>
            <w:pPr>
              <w:pStyle w:val="Compact"/>
            </w:pPr>
            <w:r>
              <w:rPr>
                <w:rFonts w:hint="eastAsia"/>
              </w:rPr>
              <w:t xml:space="preserve">中性，不加分</w:t>
            </w:r>
          </w:p>
        </w:tc>
      </w:tr>
      <w:tr>
        <w:tc>
          <w:tcPr/>
          <w:p>
            <w:pPr>
              <w:pStyle w:val="Compact"/>
            </w:pPr>
            <w:r>
              <w:rPr>
                <w:rFonts w:hint="eastAsia"/>
              </w:rPr>
              <w:t xml:space="preserve">恐慌指标</w:t>
            </w:r>
          </w:p>
        </w:tc>
        <w:tc>
          <w:tcPr/>
          <w:p>
            <w:pPr>
              <w:pStyle w:val="Compact"/>
            </w:pPr>
            <w:r>
              <w:rPr>
                <w:rFonts w:hint="eastAsia"/>
              </w:rPr>
              <w:t xml:space="preserve">QVIX降至15.96，较峰值回落17.8590%</w:t>
            </w:r>
          </w:p>
        </w:tc>
        <w:tc>
          <w:tcPr/>
          <w:p>
            <w:pPr>
              <w:pStyle w:val="Compact"/>
            </w:pPr>
            <w:r>
              <w:rPr>
                <w:rFonts w:hint="eastAsia"/>
              </w:rPr>
              <w:t xml:space="preserve">+5个百分点</w:t>
            </w:r>
          </w:p>
        </w:tc>
      </w:tr>
      <w:tr>
        <w:tc>
          <w:tcPr/>
          <w:p>
            <w:pPr>
              <w:pStyle w:val="Compact"/>
            </w:pPr>
            <w:r>
              <w:rPr>
                <w:rFonts w:hint="eastAsia"/>
              </w:rPr>
              <w:t xml:space="preserve">宽基ETF</w:t>
            </w:r>
          </w:p>
        </w:tc>
        <w:tc>
          <w:tcPr/>
          <w:p>
            <w:pPr>
              <w:pStyle w:val="Compact"/>
            </w:pPr>
            <w:r>
              <w:rPr>
                <w:rFonts w:hint="eastAsia"/>
              </w:rPr>
              <w:t xml:space="preserve">科创50ETF与科创板50ETF连续3区间流入</w:t>
            </w:r>
          </w:p>
        </w:tc>
        <w:tc>
          <w:tcPr/>
          <w:p>
            <w:pPr>
              <w:pStyle w:val="Compact"/>
            </w:pPr>
            <w:r>
              <w:rPr>
                <w:rFonts w:hint="eastAsia"/>
              </w:rPr>
              <w:t xml:space="preserve">+5个百分点</w:t>
            </w:r>
          </w:p>
        </w:tc>
      </w:tr>
      <w:tr>
        <w:tc>
          <w:tcPr/>
          <w:p>
            <w:pPr>
              <w:pStyle w:val="Compact"/>
            </w:pPr>
            <w:r>
              <w:rPr>
                <w:rFonts w:hint="eastAsia"/>
              </w:rPr>
              <w:t xml:space="preserve">两融</w:t>
            </w:r>
          </w:p>
        </w:tc>
        <w:tc>
          <w:tcPr/>
          <w:p>
            <w:pPr>
              <w:pStyle w:val="Compact"/>
            </w:pPr>
            <w:r>
              <w:rPr>
                <w:rFonts w:hint="eastAsia"/>
              </w:rPr>
              <w:t xml:space="preserve">两融余额减少17.0384亿元，融资主导下降</w:t>
            </w:r>
          </w:p>
        </w:tc>
        <w:tc>
          <w:tcPr/>
          <w:p>
            <w:pPr>
              <w:pStyle w:val="Compact"/>
            </w:pPr>
            <w:r>
              <w:rPr>
                <w:rFonts w:hint="eastAsia"/>
              </w:rPr>
              <w:t xml:space="preserve">-5个百分点</w:t>
            </w:r>
          </w:p>
        </w:tc>
      </w:tr>
      <w:tr>
        <w:tc>
          <w:tcPr/>
          <w:p>
            <w:pPr>
              <w:pStyle w:val="Compact"/>
            </w:pPr>
            <w:r>
              <w:rPr>
                <w:rFonts w:hint="eastAsia"/>
              </w:rPr>
              <w:t xml:space="preserve">技术宽度</w:t>
            </w:r>
          </w:p>
        </w:tc>
        <w:tc>
          <w:tcPr/>
          <w:p>
            <w:pPr>
              <w:pStyle w:val="Compact"/>
            </w:pPr>
            <w:r>
              <w:rPr>
                <w:rFonts w:hint="eastAsia"/>
              </w:rPr>
              <w:t xml:space="preserve">全市场MA20上方占32.1885%</w:t>
            </w:r>
          </w:p>
        </w:tc>
        <w:tc>
          <w:tcPr/>
          <w:p>
            <w:pPr>
              <w:pStyle w:val="Compact"/>
            </w:pPr>
            <w:r>
              <w:rPr>
                <w:rFonts w:hint="eastAsia"/>
              </w:rPr>
              <w:t xml:space="preserve">-5个百分点</w:t>
            </w:r>
          </w:p>
        </w:tc>
      </w:tr>
      <w:tr>
        <w:tc>
          <w:tcPr/>
          <w:p>
            <w:pPr>
              <w:pStyle w:val="Compact"/>
            </w:pPr>
            <w:r>
              <w:rPr>
                <w:rFonts w:hint="eastAsia"/>
              </w:rPr>
              <w:t xml:space="preserve">海外市场</w:t>
            </w:r>
          </w:p>
        </w:tc>
        <w:tc>
          <w:tcPr/>
          <w:p>
            <w:pPr>
              <w:pStyle w:val="Compact"/>
            </w:pPr>
            <w:r>
              <w:rPr>
                <w:rFonts w:hint="eastAsia"/>
              </w:rPr>
              <w:t xml:space="preserve">美股三大指数全线收跌</w:t>
            </w:r>
          </w:p>
        </w:tc>
        <w:tc>
          <w:tcPr/>
          <w:p>
            <w:pPr>
              <w:pStyle w:val="Compact"/>
            </w:pPr>
            <w:r>
              <w:rPr>
                <w:rFonts w:hint="eastAsia"/>
              </w:rPr>
              <w:t xml:space="preserve">不加分</w:t>
            </w:r>
          </w:p>
        </w:tc>
      </w:tr>
      <w:tr>
        <w:tc>
          <w:tcPr/>
          <w:p>
            <w:pPr>
              <w:pStyle w:val="Compact"/>
            </w:pPr>
            <w:r>
              <w:rPr>
                <w:rFonts w:hint="eastAsia"/>
              </w:rPr>
              <w:t xml:space="preserve">资金结构</w:t>
            </w:r>
          </w:p>
        </w:tc>
        <w:tc>
          <w:tcPr/>
          <w:p>
            <w:pPr>
              <w:pStyle w:val="Compact"/>
            </w:pPr>
            <w:r>
              <w:rPr>
                <w:rFonts w:hint="eastAsia"/>
              </w:rPr>
              <w:t xml:space="preserve">医药流入、科技大幅流出</w:t>
            </w:r>
          </w:p>
        </w:tc>
        <w:tc>
          <w:tcPr/>
          <w:p>
            <w:pPr>
              <w:pStyle w:val="Compact"/>
            </w:pPr>
            <w:r>
              <w:rPr>
                <w:rFonts w:hint="eastAsia"/>
              </w:rPr>
              <w:t xml:space="preserve">维持结构仓，不提升总仓</w:t>
            </w:r>
          </w:p>
        </w:tc>
      </w:tr>
    </w:tbl>
    <w:p>
      <w:pPr>
        <w:pStyle w:val="BodyText"/>
      </w:pPr>
      <w:r>
        <w:rPr>
          <w:rFonts w:hint="eastAsia"/>
          <w:b/>
          <w:bCs/>
        </w:rPr>
        <w:t xml:space="preserve">模型结论：</w:t>
      </w:r>
    </w:p>
    <w:p>
      <w:pPr>
        <w:pStyle w:val="Compact"/>
        <w:numPr>
          <w:ilvl w:val="0"/>
          <w:numId w:val="1050"/>
        </w:numPr>
      </w:pPr>
      <w:r>
        <w:rPr>
          <w:rFonts w:hint="eastAsia"/>
        </w:rPr>
        <w:t xml:space="preserve">自动模型上限为50%，均衡仓40%，保守仓25%。</w:t>
      </w:r>
    </w:p>
    <w:p>
      <w:pPr>
        <w:pStyle w:val="Compact"/>
        <w:numPr>
          <w:ilvl w:val="0"/>
          <w:numId w:val="1050"/>
        </w:numPr>
      </w:pPr>
      <w:r>
        <w:rPr>
          <w:rFonts w:hint="eastAsia"/>
        </w:rPr>
        <w:t xml:space="preserve">QVIX降温与科创宽基连续流入提供底部承接，但两融回落、科技趋势破位和MA20宽度偏低抵消了加仓条件。</w:t>
      </w:r>
    </w:p>
    <w:p>
      <w:pPr>
        <w:pStyle w:val="Compact"/>
        <w:numPr>
          <w:ilvl w:val="0"/>
          <w:numId w:val="1050"/>
        </w:numPr>
      </w:pPr>
      <w:r>
        <w:rPr>
          <w:rFonts w:hint="eastAsia"/>
        </w:rPr>
        <w:t xml:space="preserve">今日建议以</w:t>
      </w:r>
      <w:r>
        <w:rPr>
          <w:rFonts w:hint="eastAsia"/>
          <w:b/>
          <w:bCs/>
        </w:rPr>
        <w:t xml:space="preserve">40%均衡仓为基准，50%为严格上限</w:t>
      </w:r>
      <w:r>
        <w:t xml:space="preserve">。</w:t>
      </w:r>
    </w:p>
    <w:p>
      <w:pPr>
        <w:pStyle w:val="Compact"/>
        <w:numPr>
          <w:ilvl w:val="0"/>
          <w:numId w:val="1050"/>
        </w:numPr>
      </w:pPr>
      <w:r>
        <w:rPr>
          <w:rFonts w:hint="eastAsia"/>
        </w:rPr>
        <w:t xml:space="preserve">只有指数、成交额、主线和A档个股同时确认，才允许由40%提升至50%。</w:t>
      </w:r>
    </w:p>
    <w:p>
      <w:r>
        <w:pict>
          <v:rect style="width:0;height:1.5pt" o:hralign="center" o:hrstd="t" o:hr="t"/>
        </w:pict>
      </w:r>
    </w:p>
    <w:bookmarkEnd w:id="57"/>
    <w:bookmarkStart w:id="62" w:name="十二回避清单"/>
    <w:p>
      <w:pPr>
        <w:pStyle w:val="Heading2"/>
      </w:pPr>
      <w:r>
        <w:t xml:space="preserve">🚫 </w:t>
      </w:r>
      <w:r>
        <w:rPr>
          <w:rFonts w:hint="eastAsia"/>
        </w:rPr>
        <w:t xml:space="preserve">十二、回避清单</w:t>
      </w:r>
    </w:p>
    <w:bookmarkStart w:id="58" w:name="技术破位股"/>
    <w:p>
      <w:pPr>
        <w:pStyle w:val="Heading3"/>
      </w:pPr>
      <w:r>
        <w:t xml:space="preserve">⛔ </w:t>
      </w:r>
      <w:r>
        <w:rPr>
          <w:rFonts w:hint="eastAsia"/>
        </w:rPr>
        <w:t xml:space="preserve">技术破位股</w:t>
      </w:r>
    </w:p>
    <w:p>
      <w:pPr>
        <w:pStyle w:val="Compact"/>
        <w:numPr>
          <w:ilvl w:val="0"/>
          <w:numId w:val="1051"/>
        </w:numPr>
      </w:pPr>
      <w:r>
        <w:rPr>
          <w:rFonts w:hint="eastAsia"/>
        </w:rPr>
        <w:t xml:space="preserve">中际旭创、新易盛、亨通光电、寒武纪、兆易创新、宁德时代、天孚通信。</w:t>
      </w:r>
    </w:p>
    <w:p>
      <w:pPr>
        <w:pStyle w:val="Compact"/>
        <w:numPr>
          <w:ilvl w:val="0"/>
          <w:numId w:val="1051"/>
        </w:numPr>
      </w:pPr>
      <w:r>
        <w:rPr>
          <w:rFonts w:hint="eastAsia"/>
        </w:rPr>
        <w:t xml:space="preserve">共同特征：D档或跌破MA20，不能因题材热度抄底。</w:t>
      </w:r>
    </w:p>
    <w:bookmarkEnd w:id="58"/>
    <w:bookmarkStart w:id="59" w:name="高波动与数据不足标的"/>
    <w:p>
      <w:pPr>
        <w:pStyle w:val="Heading3"/>
      </w:pPr>
      <w:r>
        <w:t xml:space="preserve">⛔ </w:t>
      </w:r>
      <w:r>
        <w:rPr>
          <w:rFonts w:hint="eastAsia"/>
        </w:rPr>
        <w:t xml:space="preserve">高波动与数据不足标的</w:t>
      </w:r>
    </w:p>
    <w:p>
      <w:pPr>
        <w:pStyle w:val="Compact"/>
        <w:numPr>
          <w:ilvl w:val="0"/>
          <w:numId w:val="1052"/>
        </w:numPr>
      </w:pPr>
      <w:r>
        <w:rPr>
          <w:rFonts w:hint="eastAsia"/>
        </w:rPr>
        <w:t xml:space="preserve">N力勤（001246）：上市历史不足，MA20、MA60和20日动量无法计算，数据不足，暂不评级。</w:t>
      </w:r>
    </w:p>
    <w:p>
      <w:pPr>
        <w:pStyle w:val="Compact"/>
        <w:numPr>
          <w:ilvl w:val="0"/>
          <w:numId w:val="1052"/>
        </w:numPr>
      </w:pPr>
      <w:r>
        <w:rPr>
          <w:rFonts w:hint="eastAsia"/>
        </w:rPr>
        <w:t xml:space="preserve">当前行动：不做判断、不参与高波动博弈。</w:t>
      </w:r>
    </w:p>
    <w:bookmarkEnd w:id="59"/>
    <w:bookmarkStart w:id="60" w:name="公告风险标的"/>
    <w:p>
      <w:pPr>
        <w:pStyle w:val="Heading3"/>
      </w:pPr>
      <w:r>
        <w:t xml:space="preserve">⛔ </w:t>
      </w:r>
      <w:r>
        <w:rPr>
          <w:rFonts w:hint="eastAsia"/>
        </w:rPr>
        <w:t xml:space="preserve">公告风险标的</w:t>
      </w:r>
    </w:p>
    <w:p>
      <w:pPr>
        <w:pStyle w:val="Compact"/>
        <w:numPr>
          <w:ilvl w:val="0"/>
          <w:numId w:val="1053"/>
        </w:numPr>
      </w:pPr>
      <w:r>
        <w:rPr>
          <w:rFonts w:hint="eastAsia"/>
        </w:rPr>
        <w:t xml:space="preserve">光华科技、中亚股份、绿通科技：减持预案风险。</w:t>
      </w:r>
    </w:p>
    <w:p>
      <w:pPr>
        <w:pStyle w:val="Compact"/>
        <w:numPr>
          <w:ilvl w:val="0"/>
          <w:numId w:val="1053"/>
        </w:numPr>
      </w:pPr>
      <w:r>
        <w:rPr>
          <w:rFonts w:hint="eastAsia"/>
        </w:rPr>
        <w:t xml:space="preserve">金科股份：限售股上市流通压力。</w:t>
      </w:r>
    </w:p>
    <w:p>
      <w:pPr>
        <w:pStyle w:val="Compact"/>
        <w:numPr>
          <w:ilvl w:val="0"/>
          <w:numId w:val="1053"/>
        </w:numPr>
      </w:pPr>
      <w:r>
        <w:rPr>
          <w:rFonts w:hint="eastAsia"/>
        </w:rPr>
        <w:t xml:space="preserve">西部材料：监管措施历史披露，需核验具体事项。</w:t>
      </w:r>
    </w:p>
    <w:p>
      <w:pPr>
        <w:pStyle w:val="Compact"/>
        <w:numPr>
          <w:ilvl w:val="0"/>
          <w:numId w:val="1053"/>
        </w:numPr>
      </w:pPr>
      <w:r>
        <w:rPr>
          <w:rFonts w:hint="eastAsia"/>
        </w:rPr>
        <w:t xml:space="preserve">飞龙股份：业绩预告方向和区间未在结构化字段完整展开，阅读原文前不下结论。</w:t>
      </w:r>
    </w:p>
    <w:bookmarkEnd w:id="60"/>
    <w:bookmarkStart w:id="61" w:name="交易行为风险"/>
    <w:p>
      <w:pPr>
        <w:pStyle w:val="Heading3"/>
      </w:pPr>
      <w:r>
        <w:t xml:space="preserve">⛔ </w:t>
      </w:r>
      <w:r>
        <w:rPr>
          <w:rFonts w:hint="eastAsia"/>
        </w:rPr>
        <w:t xml:space="preserve">交易行为风险</w:t>
      </w:r>
    </w:p>
    <w:p>
      <w:pPr>
        <w:pStyle w:val="Compact"/>
        <w:numPr>
          <w:ilvl w:val="0"/>
          <w:numId w:val="1054"/>
        </w:numPr>
      </w:pPr>
      <w:r>
        <w:rPr>
          <w:rFonts w:hint="eastAsia"/>
        </w:rPr>
        <w:t xml:space="preserve">高开超过可承受区间后追涨。</w:t>
      </w:r>
    </w:p>
    <w:p>
      <w:pPr>
        <w:pStyle w:val="Compact"/>
        <w:numPr>
          <w:ilvl w:val="0"/>
          <w:numId w:val="1054"/>
        </w:numPr>
      </w:pPr>
      <w:r>
        <w:rPr>
          <w:rFonts w:hint="eastAsia"/>
        </w:rPr>
        <w:t xml:space="preserve">仅凭新闻标题买入文化传媒、物流或农机概念。</w:t>
      </w:r>
    </w:p>
    <w:p>
      <w:pPr>
        <w:pStyle w:val="Compact"/>
        <w:numPr>
          <w:ilvl w:val="0"/>
          <w:numId w:val="1054"/>
        </w:numPr>
      </w:pPr>
      <w:r>
        <w:rPr>
          <w:rFonts w:hint="eastAsia"/>
        </w:rPr>
        <w:t xml:space="preserve">把个股买入金额榜误解为主力净流入榜。</w:t>
      </w:r>
    </w:p>
    <w:p>
      <w:pPr>
        <w:pStyle w:val="Compact"/>
        <w:numPr>
          <w:ilvl w:val="0"/>
          <w:numId w:val="1054"/>
        </w:numPr>
      </w:pPr>
      <w:r>
        <w:rPr>
          <w:rFonts w:hint="eastAsia"/>
        </w:rPr>
        <w:t xml:space="preserve">在D档股票反弹时用历史高点作为回本锚点。</w:t>
      </w:r>
    </w:p>
    <w:p>
      <w:r>
        <w:pict>
          <v:rect style="width:0;height:1.5pt" o:hralign="center" o:hrstd="t" o:hr="t"/>
        </w:pict>
      </w:r>
    </w:p>
    <w:bookmarkEnd w:id="61"/>
    <w:bookmarkEnd w:id="62"/>
    <w:bookmarkStart w:id="65" w:name="十三风险日历"/>
    <w:p>
      <w:pPr>
        <w:pStyle w:val="Heading2"/>
      </w:pPr>
      <w:r>
        <w:t xml:space="preserve">⚠️ </w:t>
      </w:r>
      <w:r>
        <w:rPr>
          <w:rFonts w:hint="eastAsia"/>
        </w:rPr>
        <w:t xml:space="preserve">十三、风险日历</w:t>
      </w:r>
    </w:p>
    <w:bookmarkStart w:id="63" w:name="年10月8日"/>
    <w:p>
      <w:pPr>
        <w:pStyle w:val="Heading3"/>
      </w:pPr>
      <w:r>
        <w:rPr>
          <w:rFonts w:hint="eastAsia"/>
        </w:rPr>
        <w:t xml:space="preserve">2026年10月8日</w:t>
      </w:r>
    </w:p>
    <w:p>
      <w:pPr>
        <w:pStyle w:val="Compact"/>
        <w:numPr>
          <w:ilvl w:val="0"/>
          <w:numId w:val="1055"/>
        </w:numPr>
      </w:pPr>
      <w:r>
        <w:rPr>
          <w:rFonts w:hint="eastAsia"/>
        </w:rPr>
        <w:t xml:space="preserve">国庆假期后首个交易日，假期信息集中定价，开盘波动可能放大。</w:t>
      </w:r>
    </w:p>
    <w:p>
      <w:pPr>
        <w:pStyle w:val="Compact"/>
        <w:numPr>
          <w:ilvl w:val="0"/>
          <w:numId w:val="1055"/>
        </w:numPr>
      </w:pPr>
      <w:r>
        <w:rPr>
          <w:rFonts w:hint="eastAsia"/>
        </w:rPr>
        <w:t xml:space="preserve">新亚制程、荣丰控股、北部湾港因重大事项停牌。</w:t>
      </w:r>
    </w:p>
    <w:p>
      <w:pPr>
        <w:pStyle w:val="Compact"/>
        <w:numPr>
          <w:ilvl w:val="0"/>
          <w:numId w:val="1055"/>
        </w:numPr>
      </w:pPr>
      <w:r>
        <w:rPr>
          <w:rFonts w:hint="eastAsia"/>
        </w:rPr>
        <w:t xml:space="preserve">光华科技、中亚股份、绿通科技涉及减持预案。</w:t>
      </w:r>
    </w:p>
    <w:p>
      <w:pPr>
        <w:pStyle w:val="Compact"/>
        <w:numPr>
          <w:ilvl w:val="0"/>
          <w:numId w:val="1055"/>
        </w:numPr>
      </w:pPr>
      <w:r>
        <w:rPr>
          <w:rFonts w:hint="eastAsia"/>
        </w:rPr>
        <w:t xml:space="preserve">金科股份涉及部分限售股上市流通。</w:t>
      </w:r>
    </w:p>
    <w:p>
      <w:pPr>
        <w:pStyle w:val="Compact"/>
        <w:numPr>
          <w:ilvl w:val="0"/>
          <w:numId w:val="1055"/>
        </w:numPr>
      </w:pPr>
      <w:r>
        <w:rPr>
          <w:rFonts w:hint="eastAsia"/>
        </w:rPr>
        <w:t xml:space="preserve">飞龙股份披露前三季度业绩预告，具体影响需核对原文。</w:t>
      </w:r>
    </w:p>
    <w:bookmarkEnd w:id="63"/>
    <w:bookmarkStart w:id="64" w:name="近期持续风险"/>
    <w:p>
      <w:pPr>
        <w:pStyle w:val="Heading3"/>
      </w:pPr>
      <w:r>
        <w:rPr>
          <w:rFonts w:hint="eastAsia"/>
        </w:rPr>
        <w:t xml:space="preserve">近期持续风险</w:t>
      </w:r>
    </w:p>
    <w:p>
      <w:pPr>
        <w:pStyle w:val="Compact"/>
        <w:numPr>
          <w:ilvl w:val="0"/>
          <w:numId w:val="1056"/>
        </w:numPr>
      </w:pPr>
      <w:r>
        <w:rPr>
          <w:rFonts w:hint="eastAsia"/>
        </w:rPr>
        <w:t xml:space="preserve">三季度业绩预告进入密集披露阶段，业绩不及预期可能引发跳空风险。</w:t>
      </w:r>
    </w:p>
    <w:p>
      <w:pPr>
        <w:pStyle w:val="Compact"/>
        <w:numPr>
          <w:ilvl w:val="0"/>
          <w:numId w:val="1056"/>
        </w:numPr>
      </w:pPr>
      <w:r>
        <w:rPr>
          <w:rFonts w:hint="eastAsia"/>
        </w:rPr>
        <w:t xml:space="preserve">黑海、中东与欧洲安全局势升温，能源、航运与军工可能出现高波动。</w:t>
      </w:r>
    </w:p>
    <w:p>
      <w:pPr>
        <w:pStyle w:val="Compact"/>
        <w:numPr>
          <w:ilvl w:val="0"/>
          <w:numId w:val="1056"/>
        </w:numPr>
      </w:pPr>
      <w:r>
        <w:rPr>
          <w:rFonts w:hint="eastAsia"/>
        </w:rPr>
        <w:t xml:space="preserve">WTI原油已上涨0.94%，航空、化工下游及物流成本敏感企业需防估值压缩。</w:t>
      </w:r>
    </w:p>
    <w:p>
      <w:pPr>
        <w:pStyle w:val="Compact"/>
        <w:numPr>
          <w:ilvl w:val="0"/>
          <w:numId w:val="1056"/>
        </w:numPr>
      </w:pPr>
      <w:r>
        <w:rPr>
          <w:rFonts w:hint="eastAsia"/>
        </w:rPr>
        <w:t xml:space="preserve">科技核心股上一交易日出现巨额双向成交，筹码尚未完成稳定。</w:t>
      </w:r>
    </w:p>
    <w:p>
      <w:r>
        <w:pict>
          <v:rect style="width:0;height:1.5pt" o:hralign="center" o:hrstd="t" o:hr="t"/>
        </w:pict>
      </w:r>
    </w:p>
    <w:bookmarkEnd w:id="64"/>
    <w:bookmarkEnd w:id="65"/>
    <w:bookmarkStart w:id="66" w:name="十四外资与离岸风险偏好"/>
    <w:p>
      <w:pPr>
        <w:pStyle w:val="Heading2"/>
      </w:pPr>
      <w:r>
        <w:t xml:space="preserve">🌊 </w:t>
      </w:r>
      <w:r>
        <w:rPr>
          <w:rFonts w:hint="eastAsia"/>
        </w:rPr>
        <w:t xml:space="preserve">十四、外资与离岸风险偏好</w:t>
      </w:r>
    </w:p>
    <w:p>
      <w:pPr>
        <w:pStyle w:val="FirstParagraph"/>
      </w:pPr>
      <w:r>
        <w:rPr>
          <w:rFonts w:hint="eastAsia"/>
        </w:rPr>
        <w:t xml:space="preserve">当前采集JSON没有可核验的北向资金实时或上一交易日净流入数据，外资现货流向记为</w:t>
      </w:r>
      <w:r>
        <w:rPr>
          <w:rFonts w:hint="eastAsia"/>
          <w:b/>
          <w:bCs/>
        </w:rPr>
        <w:t xml:space="preserve">当前数据源未返回</w:t>
      </w:r>
      <w:r>
        <w:rPr>
          <w:rFonts w:hint="eastAsia"/>
        </w:rPr>
        <w:t xml:space="preserve">，不以ETF或主力资金榜替代。</w:t>
      </w:r>
    </w:p>
    <w:p>
      <w:pPr>
        <w:pStyle w:val="BodyText"/>
      </w:pPr>
      <w:r>
        <w:rPr>
          <w:rFonts w:hint="eastAsia"/>
        </w:rPr>
        <w:t xml:space="preserve">可验证的离岸指标如下：</w:t>
      </w:r>
    </w:p>
    <w:p>
      <w:pPr>
        <w:pStyle w:val="Compact"/>
        <w:numPr>
          <w:ilvl w:val="0"/>
          <w:numId w:val="1057"/>
        </w:numPr>
      </w:pPr>
      <w:r>
        <w:rPr>
          <w:rFonts w:hint="eastAsia"/>
        </w:rPr>
        <w:t xml:space="preserve">富时中国A50期指下跌0.11%，对A股开盘指引中性偏弱。</w:t>
      </w:r>
    </w:p>
    <w:p>
      <w:pPr>
        <w:pStyle w:val="Compact"/>
        <w:numPr>
          <w:ilvl w:val="0"/>
          <w:numId w:val="1057"/>
        </w:numPr>
      </w:pPr>
      <w:r>
        <w:rPr>
          <w:rFonts w:hint="eastAsia"/>
        </w:rPr>
        <w:t xml:space="preserve">离岸人民币报6.7007，变动-0.03%，汇率风险暂未明显升温。</w:t>
      </w:r>
    </w:p>
    <w:p>
      <w:pPr>
        <w:pStyle w:val="Compact"/>
        <w:numPr>
          <w:ilvl w:val="0"/>
          <w:numId w:val="1057"/>
        </w:numPr>
      </w:pPr>
      <w:r>
        <w:rPr>
          <w:rFonts w:hint="eastAsia"/>
        </w:rPr>
        <w:t xml:space="preserve">恒生指数最新采集值下跌0.62%，但不是今日港股开盘实时数据。</w:t>
      </w:r>
    </w:p>
    <w:p>
      <w:pPr>
        <w:pStyle w:val="Compact"/>
        <w:numPr>
          <w:ilvl w:val="0"/>
          <w:numId w:val="1057"/>
        </w:numPr>
      </w:pPr>
      <w:r>
        <w:rPr>
          <w:rFonts w:hint="eastAsia"/>
        </w:rPr>
        <w:t xml:space="preserve">美股三大指数全线收跌，全球风险偏好略有降温。</w:t>
      </w:r>
    </w:p>
    <w:p>
      <w:pPr>
        <w:pStyle w:val="Compact"/>
        <w:numPr>
          <w:ilvl w:val="0"/>
          <w:numId w:val="1057"/>
        </w:numPr>
      </w:pPr>
      <w:r>
        <w:rPr>
          <w:rFonts w:hint="eastAsia"/>
        </w:rPr>
        <w:t xml:space="preserve">QVIX降至15.96，国内恐慌指标明显降温，与海外偏弱形成内外分化。</w:t>
      </w:r>
    </w:p>
    <w:p>
      <w:pPr>
        <w:pStyle w:val="FirstParagraph"/>
      </w:pPr>
      <w:r>
        <w:t xml:space="preserve">💡</w:t>
      </w:r>
      <w:r>
        <w:t xml:space="preserve"> </w:t>
      </w:r>
      <w:r>
        <w:rPr>
          <w:rFonts w:hint="eastAsia"/>
          <w:b/>
          <w:bCs/>
        </w:rPr>
        <w:t xml:space="preserve">综合判断</w:t>
      </w:r>
    </w:p>
    <w:p>
      <w:pPr>
        <w:pStyle w:val="Compact"/>
        <w:numPr>
          <w:ilvl w:val="0"/>
          <w:numId w:val="1058"/>
        </w:numPr>
      </w:pPr>
      <w:r>
        <w:rPr>
          <w:rFonts w:hint="eastAsia"/>
        </w:rPr>
        <w:t xml:space="preserve">离岸市场没有给出强烈做多信号，但人民币稳定，亦未形成系统性风险压力。</w:t>
      </w:r>
    </w:p>
    <w:p>
      <w:pPr>
        <w:pStyle w:val="Compact"/>
        <w:numPr>
          <w:ilvl w:val="0"/>
          <w:numId w:val="1058"/>
        </w:numPr>
      </w:pPr>
      <w:r>
        <w:rPr>
          <w:rFonts w:hint="eastAsia"/>
        </w:rPr>
        <w:t xml:space="preserve">今日A股能否走出独立行情，关键看开盘后一小时成交额、科创宽基承接和医药主线持续性。</w:t>
      </w:r>
    </w:p>
    <w:p>
      <w:pPr>
        <w:pStyle w:val="Compact"/>
        <w:numPr>
          <w:ilvl w:val="0"/>
          <w:numId w:val="1058"/>
        </w:numPr>
      </w:pPr>
      <w:r>
        <w:rPr>
          <w:rFonts w:hint="eastAsia"/>
        </w:rPr>
        <w:t xml:space="preserve">若A50走弱而A股权重稳定、医药继续流入，可维持40%均衡仓；若汇率转弱、指数放量下跌，则降至25%保守仓。</w:t>
      </w:r>
    </w:p>
    <w:p>
      <w:r>
        <w:pict>
          <v:rect style="width:0;height:1.5pt" o:hralign="center" o:hrstd="t" o:hr="t"/>
        </w:pict>
      </w:r>
    </w:p>
    <w:bookmarkEnd w:id="66"/>
    <w:bookmarkStart w:id="69" w:name="十五盘前结论与执行清单"/>
    <w:p>
      <w:pPr>
        <w:pStyle w:val="Heading2"/>
      </w:pPr>
      <w:r>
        <w:t xml:space="preserve">🧾 </w:t>
      </w:r>
      <w:r>
        <w:rPr>
          <w:rFonts w:hint="eastAsia"/>
        </w:rPr>
        <w:t xml:space="preserve">十五、盘前结论与执行清单</w:t>
      </w:r>
    </w:p>
    <w:bookmarkStart w:id="67" w:name="明确评级"/>
    <w:p>
      <w:pPr>
        <w:pStyle w:val="Heading3"/>
      </w:pPr>
      <w:r>
        <w:t xml:space="preserve">📌 </w:t>
      </w:r>
      <w:r>
        <w:rPr>
          <w:rFonts w:hint="eastAsia"/>
        </w:rPr>
        <w:t xml:space="preserve">明确评级</w:t>
      </w:r>
    </w:p>
    <w:p>
      <w:pPr>
        <w:pStyle w:val="Compact"/>
        <w:numPr>
          <w:ilvl w:val="0"/>
          <w:numId w:val="1059"/>
        </w:numPr>
      </w:pPr>
      <w:r>
        <w:rPr>
          <w:rFonts w:hint="eastAsia"/>
          <w:b/>
          <w:bCs/>
        </w:rPr>
        <w:t xml:space="preserve">市场评级：B-，结构性机会，暂不支持全面进攻。</w:t>
      </w:r>
    </w:p>
    <w:p>
      <w:pPr>
        <w:pStyle w:val="Compact"/>
        <w:numPr>
          <w:ilvl w:val="0"/>
          <w:numId w:val="1059"/>
        </w:numPr>
      </w:pPr>
      <w:r>
        <w:rPr>
          <w:rFonts w:hint="eastAsia"/>
          <w:b/>
          <w:bCs/>
        </w:rPr>
        <w:t xml:space="preserve">主攻方向：医药服务、创新药/CRO中的右侧趋势品种。</w:t>
      </w:r>
    </w:p>
    <w:p>
      <w:pPr>
        <w:pStyle w:val="Compact"/>
        <w:numPr>
          <w:ilvl w:val="0"/>
          <w:numId w:val="1059"/>
        </w:numPr>
      </w:pPr>
      <w:r>
        <w:rPr>
          <w:rFonts w:hint="eastAsia"/>
          <w:b/>
          <w:bCs/>
        </w:rPr>
        <w:t xml:space="preserve">次选方向：汽车整车右侧强势股，只做分歧确认。</w:t>
      </w:r>
    </w:p>
    <w:p>
      <w:pPr>
        <w:pStyle w:val="Compact"/>
        <w:numPr>
          <w:ilvl w:val="0"/>
          <w:numId w:val="1059"/>
        </w:numPr>
      </w:pPr>
      <w:r>
        <w:rPr>
          <w:rFonts w:hint="eastAsia"/>
          <w:b/>
          <w:bCs/>
        </w:rPr>
        <w:t xml:space="preserve">观察方向：文化消费、文旅、物流数字化、农业机械、存储芯片。</w:t>
      </w:r>
    </w:p>
    <w:p>
      <w:pPr>
        <w:pStyle w:val="Compact"/>
        <w:numPr>
          <w:ilvl w:val="0"/>
          <w:numId w:val="1059"/>
        </w:numPr>
      </w:pPr>
      <w:r>
        <w:rPr>
          <w:rFonts w:hint="eastAsia"/>
          <w:b/>
          <w:bCs/>
        </w:rPr>
        <w:t xml:space="preserve">回避方向：处于D档的光模块、半导体与高位科技核心股。</w:t>
      </w:r>
    </w:p>
    <w:bookmarkEnd w:id="67"/>
    <w:bookmarkStart w:id="68" w:name="今日执行顺序"/>
    <w:p>
      <w:pPr>
        <w:pStyle w:val="Heading3"/>
      </w:pPr>
      <w:r>
        <w:t xml:space="preserve">💡 </w:t>
      </w:r>
      <w:r>
        <w:rPr>
          <w:rFonts w:hint="eastAsia"/>
        </w:rPr>
        <w:t xml:space="preserve">今日执行顺序</w:t>
      </w:r>
    </w:p>
    <w:p>
      <w:pPr>
        <w:pStyle w:val="Compact"/>
        <w:numPr>
          <w:ilvl w:val="0"/>
          <w:numId w:val="1060"/>
        </w:numPr>
      </w:pPr>
      <w:r>
        <w:rPr>
          <w:rFonts w:hint="eastAsia"/>
        </w:rPr>
        <w:t xml:space="preserve">先观察指数与成交额，不在集合竞价预判全天主线。</w:t>
      </w:r>
    </w:p>
    <w:p>
      <w:pPr>
        <w:pStyle w:val="Compact"/>
        <w:numPr>
          <w:ilvl w:val="0"/>
          <w:numId w:val="1060"/>
        </w:numPr>
      </w:pPr>
      <w:r>
        <w:rPr>
          <w:rFonts w:hint="eastAsia"/>
        </w:rPr>
        <w:t xml:space="preserve">药明康德只在站稳167.96元或缩量回踩确认后参与。</w:t>
      </w:r>
    </w:p>
    <w:p>
      <w:pPr>
        <w:pStyle w:val="Compact"/>
        <w:numPr>
          <w:ilvl w:val="0"/>
          <w:numId w:val="1060"/>
        </w:numPr>
      </w:pPr>
      <w:r>
        <w:rPr>
          <w:rFonts w:hint="eastAsia"/>
        </w:rPr>
        <w:t xml:space="preserve">江淮汽车不追开盘急拉，等待27.47元附近承接确认。</w:t>
      </w:r>
    </w:p>
    <w:p>
      <w:pPr>
        <w:pStyle w:val="Compact"/>
        <w:numPr>
          <w:ilvl w:val="0"/>
          <w:numId w:val="1060"/>
        </w:numPr>
      </w:pPr>
      <w:r>
        <w:rPr>
          <w:rFonts w:hint="eastAsia"/>
        </w:rPr>
        <w:t xml:space="preserve">存储方向只观察美光映射能否转化为A股实际资金流入。</w:t>
      </w:r>
    </w:p>
    <w:p>
      <w:pPr>
        <w:pStyle w:val="Compact"/>
        <w:numPr>
          <w:ilvl w:val="0"/>
          <w:numId w:val="1060"/>
        </w:numPr>
      </w:pPr>
      <w:r>
        <w:rPr>
          <w:rFonts w:hint="eastAsia"/>
        </w:rPr>
        <w:t xml:space="preserve">中际旭创、新易盛、寒武纪、兆易创新等D档标的不抄底。</w:t>
      </w:r>
    </w:p>
    <w:p>
      <w:pPr>
        <w:pStyle w:val="Compact"/>
        <w:numPr>
          <w:ilvl w:val="0"/>
          <w:numId w:val="1060"/>
        </w:numPr>
      </w:pPr>
      <w:r>
        <w:rPr>
          <w:rFonts w:hint="eastAsia"/>
        </w:rPr>
        <w:t xml:space="preserve">基准仓位40%，弱势降至25%，满足多重确认后最高50%。</w:t>
      </w:r>
    </w:p>
    <w:bookmarkEnd w:id="68"/>
    <w:bookmarkEnd w:id="69"/>
    <w:bookmarkStart w:id="70" w:name="两融宽基etf成交额恐慌联合信号"/>
    <w:p>
      <w:pPr>
        <w:pStyle w:val="Heading2"/>
      </w:pPr>
      <w:r>
        <w:t xml:space="preserve">💧 </w:t>
      </w:r>
      <w:r>
        <w:rPr>
          <w:rFonts w:hint="eastAsia"/>
        </w:rPr>
        <w:t xml:space="preserve">两融·宽基ETF·成交额·恐慌联合信号</w:t>
      </w:r>
    </w:p>
    <w:p>
      <w:pPr>
        <w:pStyle w:val="Compact"/>
        <w:numPr>
          <w:ilvl w:val="0"/>
          <w:numId w:val="1061"/>
        </w:numPr>
      </w:pPr>
      <w:r>
        <w:rPr>
          <w:rFonts w:hint="eastAsia"/>
          <w:b/>
          <w:bCs/>
        </w:rPr>
        <w:t xml:space="preserve">结论</w:t>
      </w:r>
      <w:r>
        <w:rPr>
          <w:rFonts w:hint="eastAsia"/>
        </w:rPr>
        <w:t xml:space="preserve">：两融截至2026-09-29已结算26089.90亿元（较前一结算日减少17.04亿元），T+1滞后，2026-10-08当日两融尚未发布｜宽基ETF持续净申购：科创50ETF27.20亿元、科创板50ETF8.52亿元｜成交14500.5亿元｜300ETF</w:t>
      </w:r>
      <w:r>
        <w:t xml:space="preserve"> QVIX </w:t>
      </w:r>
      <w:r>
        <w:rPr>
          <w:rFonts w:hint="eastAsia"/>
        </w:rPr>
        <w:t xml:space="preserve">15.96、较峰值回落17.9%、高位降温｜联合信号确认</w:t>
      </w:r>
    </w:p>
    <w:p>
      <w:pPr>
        <w:pStyle w:val="Compact"/>
        <w:numPr>
          <w:ilvl w:val="0"/>
          <w:numId w:val="1061"/>
        </w:numPr>
      </w:pPr>
      <w:r>
        <w:rPr>
          <w:rFonts w:hint="eastAsia"/>
          <w:b/>
          <w:bCs/>
        </w:rPr>
        <w:t xml:space="preserve">盘前两融明细（T+1已结算）</w:t>
      </w:r>
      <w:r>
        <w:rPr>
          <w:rFonts w:hint="eastAsia"/>
        </w:rPr>
        <w:t xml:space="preserve">：</w:t>
      </w:r>
    </w:p>
    <w:p>
      <w:pPr>
        <w:pStyle w:val="Compact"/>
        <w:numPr>
          <w:ilvl w:val="1"/>
          <w:numId w:val="1062"/>
        </w:numPr>
      </w:pPr>
      <w:r>
        <w:rPr>
          <w:rFonts w:hint="eastAsia"/>
        </w:rPr>
        <w:t xml:space="preserve">数据日期：2026-09-29；报告日：2026-10-08。</w:t>
      </w:r>
    </w:p>
    <w:p>
      <w:pPr>
        <w:pStyle w:val="Compact"/>
        <w:numPr>
          <w:ilvl w:val="1"/>
          <w:numId w:val="1062"/>
        </w:numPr>
      </w:pPr>
      <w:r>
        <w:rPr>
          <w:rFonts w:hint="eastAsia"/>
        </w:rPr>
        <w:t xml:space="preserve">两融余额：26089.90亿元。</w:t>
      </w:r>
    </w:p>
    <w:p>
      <w:pPr>
        <w:pStyle w:val="Compact"/>
        <w:numPr>
          <w:ilvl w:val="1"/>
          <w:numId w:val="1062"/>
        </w:numPr>
      </w:pPr>
      <w:r>
        <w:rPr>
          <w:rFonts w:hint="eastAsia"/>
        </w:rPr>
        <w:t xml:space="preserve">融资余额：25796.89亿元。</w:t>
      </w:r>
    </w:p>
    <w:p>
      <w:pPr>
        <w:pStyle w:val="Compact"/>
        <w:numPr>
          <w:ilvl w:val="1"/>
          <w:numId w:val="1062"/>
        </w:numPr>
      </w:pPr>
      <w:r>
        <w:rPr>
          <w:rFonts w:hint="eastAsia"/>
        </w:rPr>
        <w:t xml:space="preserve">融券余额：293.01亿元。</w:t>
      </w:r>
    </w:p>
    <w:p>
      <w:pPr>
        <w:pStyle w:val="Compact"/>
        <w:numPr>
          <w:ilvl w:val="1"/>
          <w:numId w:val="1062"/>
        </w:numPr>
      </w:pPr>
      <w:r>
        <w:rPr>
          <w:rFonts w:hint="eastAsia"/>
        </w:rPr>
        <w:t xml:space="preserve">T+1提示：T+1滞后，2026-10-08当日两融尚未发布。</w:t>
      </w:r>
    </w:p>
    <w:p>
      <w:pPr>
        <w:pStyle w:val="Compact"/>
        <w:numPr>
          <w:ilvl w:val="0"/>
          <w:numId w:val="1061"/>
        </w:numPr>
      </w:pPr>
      <w:r>
        <w:rPr>
          <w:rFonts w:hint="eastAsia"/>
          <w:b/>
          <w:bCs/>
        </w:rPr>
        <w:t xml:space="preserve">较前一结算日（2026-09-28→2026-09-29）</w:t>
      </w:r>
      <w:r>
        <w:rPr>
          <w:rFonts w:hint="eastAsia"/>
        </w:rPr>
        <w:t xml:space="preserve">：两融余额减少17.04亿元；融资余额减少20.05亿元；融券余额增加3.02亿元。</w:t>
      </w:r>
    </w:p>
    <w:p>
      <w:pPr>
        <w:pStyle w:val="Compact"/>
        <w:numPr>
          <w:ilvl w:val="0"/>
          <w:numId w:val="1061"/>
        </w:numPr>
      </w:pPr>
      <w:r>
        <w:rPr>
          <w:rFonts w:hint="eastAsia"/>
          <w:b/>
          <w:bCs/>
        </w:rPr>
        <w:t xml:space="preserve">自动解读</w:t>
      </w:r>
      <w:r>
        <w:rPr>
          <w:rFonts w:hint="eastAsia"/>
        </w:rPr>
        <w:t xml:space="preserve">：本轮两融下降主要受融资余额变化影响；杠杆资金仍偏谨慎，盘前仓位应等待成交额与主线资金确认。</w:t>
      </w:r>
    </w:p>
    <w:p>
      <w:pPr>
        <w:pStyle w:val="Compact"/>
        <w:numPr>
          <w:ilvl w:val="0"/>
          <w:numId w:val="1061"/>
        </w:numPr>
      </w:pPr>
      <w:r>
        <w:rPr>
          <w:rFonts w:hint="eastAsia"/>
          <w:b/>
          <w:bCs/>
        </w:rPr>
        <w:t xml:space="preserve">两融口径</w:t>
      </w:r>
      <w:r>
        <w:rPr>
          <w:rFonts w:hint="eastAsia"/>
        </w:rPr>
        <w:t xml:space="preserve">：截至2026-09-29已结算；T+1滞后，2026-10-08当日两融尚未发布，来源东财全市场融资融券日频；只作杠杆资金背景，不作为报告日盘中实时确认，不把盘中估算冒充结算值。</w:t>
      </w:r>
    </w:p>
    <w:p>
      <w:pPr>
        <w:pStyle w:val="Compact"/>
        <w:numPr>
          <w:ilvl w:val="0"/>
          <w:numId w:val="1061"/>
        </w:numPr>
      </w:pPr>
      <w:r>
        <w:rPr>
          <w:rFonts w:hint="eastAsia"/>
          <w:b/>
          <w:bCs/>
        </w:rPr>
        <w:t xml:space="preserve">宽基ETF口径</w:t>
      </w:r>
      <w:r>
        <w:rPr>
          <w:rFonts w:hint="eastAsia"/>
        </w:rPr>
        <w:t xml:space="preserve">：官方ETF份额日差；净申购估算=份额变化×收盘/最新价；连续=最近至少2个区间均为正。</w:t>
      </w:r>
    </w:p>
    <w:p>
      <w:pPr>
        <w:pStyle w:val="Compact"/>
        <w:numPr>
          <w:ilvl w:val="0"/>
          <w:numId w:val="1061"/>
        </w:numPr>
      </w:pPr>
      <w:r>
        <w:rPr>
          <w:rFonts w:hint="eastAsia"/>
          <w:b/>
          <w:bCs/>
        </w:rPr>
        <w:t xml:space="preserve">恐慌代理口径</w:t>
      </w:r>
      <w:r>
        <w:rPr>
          <w:rFonts w:hint="eastAsia"/>
        </w:rPr>
        <w:t xml:space="preserve">：300ETF期权隐含波动率QVIX；高位降温=较20日峰值回落至少10%且较前收盘下降；不是已停发的中国波指iVIX。</w:t>
      </w:r>
    </w:p>
    <w:p>
      <w:pPr>
        <w:pStyle w:val="BlockText"/>
      </w:pPr>
      <w:r>
        <w:t xml:space="preserve">📊 </w:t>
      </w:r>
      <w:r>
        <w:rPr>
          <w:rFonts w:hint="eastAsia"/>
        </w:rPr>
        <w:t xml:space="preserve">生成时间：2026-10-08</w:t>
      </w:r>
      <w:r>
        <w:t xml:space="preserve"> 08:30:05</w:t>
      </w:r>
      <w:r>
        <w:br/>
      </w:r>
      <w:r>
        <w:t xml:space="preserve">🦞 </w:t>
      </w:r>
      <w:r>
        <w:rPr>
          <w:rFonts w:hint="eastAsia"/>
        </w:rPr>
        <w:t xml:space="preserve">by：奇迹早知道</w:t>
      </w:r>
      <w:r>
        <w:t xml:space="preserve"> v4.1</w:t>
      </w:r>
      <w:r>
        <w:br/>
      </w:r>
      <w:r>
        <w:t xml:space="preserve">🔵 </w:t>
      </w:r>
      <w:r>
        <w:rPr>
          <w:rFonts w:hint="eastAsia"/>
        </w:rPr>
        <w:t xml:space="preserve">数据采集：Python</w:t>
      </w:r>
      <w:r>
        <w:t xml:space="preserve"> </w:t>
      </w:r>
      <w:r>
        <w:rPr>
          <w:rFonts w:hint="eastAsia"/>
        </w:rPr>
        <w:t xml:space="preserve">标准库</w:t>
      </w:r>
      <w:r>
        <w:t xml:space="preserve"> + </w:t>
      </w:r>
      <w:r>
        <w:rPr>
          <w:rFonts w:hint="eastAsia"/>
        </w:rPr>
        <w:t xml:space="preserve">华泰skill</w:t>
      </w:r>
      <w:r>
        <w:t xml:space="preserve"> + </w:t>
      </w:r>
      <w:r>
        <w:rPr>
          <w:rFonts w:hint="eastAsia"/>
        </w:rPr>
        <w:t xml:space="preserve">东财push2ex/datacenter/F10</w:t>
      </w:r>
      <w:r>
        <w:t xml:space="preserve"> + </w:t>
      </w:r>
      <w:r>
        <w:rPr>
          <w:rFonts w:hint="eastAsia"/>
        </w:rPr>
        <w:t xml:space="preserve">东方财富妙想mx-data/mx-search/mx-xuangu（只读增强）+</w:t>
      </w:r>
      <w:r>
        <w:t xml:space="preserve"> </w:t>
      </w:r>
      <w:r>
        <w:rPr>
          <w:rFonts w:hint="eastAsia"/>
        </w:rPr>
        <w:t xml:space="preserve">TickFlow重点股日K（只读技术校验）+</w:t>
      </w:r>
      <w:r>
        <w:t xml:space="preserve"> </w:t>
      </w:r>
      <w:r>
        <w:rPr>
          <w:rFonts w:hint="eastAsia"/>
        </w:rPr>
        <w:t xml:space="preserve">同花顺dq</w:t>
      </w:r>
      <w:r>
        <w:t xml:space="preserve"> + </w:t>
      </w:r>
      <w:r>
        <w:rPr>
          <w:rFonts w:hint="eastAsia"/>
        </w:rPr>
        <w:t xml:space="preserve">新浪/腾讯行情</w:t>
      </w:r>
      <w:r>
        <w:t xml:space="preserve"> + </w:t>
      </w:r>
      <w:r>
        <w:rPr>
          <w:rFonts w:hint="eastAsia"/>
        </w:rPr>
        <w:t xml:space="preserve">financial_rigor验算</w:t>
      </w:r>
      <w:r>
        <w:br/>
      </w:r>
      <w:r>
        <w:t xml:space="preserve">🔴 </w:t>
      </w:r>
      <w:r>
        <w:rPr>
          <w:rFonts w:hint="eastAsia"/>
        </w:rPr>
        <w:t xml:space="preserve">分析+写稿模型：GPT-5.6</w:t>
      </w:r>
      <w:r>
        <w:t xml:space="preserve"> Sol (openai-codex)</w:t>
      </w:r>
      <w:r>
        <w:br/>
      </w:r>
      <w:r>
        <w:t xml:space="preserve">📄 </w:t>
      </w:r>
      <w:r>
        <w:rPr>
          <w:rFonts w:hint="eastAsia"/>
        </w:rPr>
        <w:t xml:space="preserve">文档生成：pandoc</w:t>
      </w:r>
      <w:r>
        <w:t xml:space="preserve"> (markdown → docx)</w:t>
      </w:r>
    </w:p>
    <w:bookmarkEnd w:id="70"/>
    <w:bookmarkEnd w:id="7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2026-10-08T00:36:38Z</dcterms:created>
  <dcterms:modified xsi:type="dcterms:W3CDTF">2026-10-08T00:36:38Z</dcterms:modified>
</cp:coreProperties>
</file>

<file path=docProps/custom.xml><?xml version="1.0" encoding="utf-8"?>
<Properties xmlns="http://schemas.openxmlformats.org/officeDocument/2006/custom-properties" xmlns:vt="http://schemas.openxmlformats.org/officeDocument/2006/docPropsVTypes"/>
</file>