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9" w:name="奇迹早知道2026年9月28日盘前简报"/>
    <w:p>
      <w:pPr>
        <w:pStyle w:val="Heading1"/>
      </w:pPr>
      <w:r>
        <w:t xml:space="preserve">🌅 </w:t>
      </w:r>
      <w:r>
        <w:rPr>
          <w:rFonts w:hint="eastAsia"/>
        </w:rPr>
        <w:t xml:space="preserve">奇迹早知道｜2026年9月28日盘前简报</w:t>
      </w:r>
    </w:p>
    <w:bookmarkStart w:id="12" w:name="隔夜全球市场风险偏好修复但a股成长方向仍需自身确认"/>
    <w:p>
      <w:pPr>
        <w:pStyle w:val="Heading2"/>
      </w:pPr>
      <w:r>
        <w:t xml:space="preserve">🌍 </w:t>
      </w:r>
      <w:r>
        <w:rPr>
          <w:rFonts w:hint="eastAsia"/>
        </w:rPr>
        <w:t xml:space="preserve">隔夜全球市场：风险偏好修复，但A股成长方向仍需自身确认</w:t>
      </w:r>
    </w:p>
    <w:bookmarkStart w:id="9" w:name="美股三大指数"/>
    <w:p>
      <w:pPr>
        <w:pStyle w:val="Heading3"/>
      </w:pPr>
      <w:r>
        <w:t xml:space="preserve">📈 </w:t>
      </w:r>
      <w:r>
        <w:rPr>
          <w:rFonts w:hint="eastAsia"/>
        </w:rPr>
        <w:t xml:space="preserve">美股三大指数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道琼斯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51828.6211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+0.93%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纳斯达克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27068.7165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+0.48%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标普500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7743.4102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+0.51%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美股三大指数全线上涨，外部风险偏好较上一交易日改善。不过，纳斯达克涨幅弱于道琼斯，资金并未呈现单边追逐科技成长的强进攻结构。</w:t>
      </w:r>
    </w:p>
    <w:bookmarkEnd w:id="9"/>
    <w:bookmarkStart w:id="10" w:name="五只核心半导体个股"/>
    <w:p>
      <w:pPr>
        <w:pStyle w:val="Heading3"/>
      </w:pPr>
      <w:r>
        <w:t xml:space="preserve">🧠 </w:t>
      </w:r>
      <w:r>
        <w:rPr>
          <w:rFonts w:hint="eastAsia"/>
        </w:rPr>
        <w:t xml:space="preserve">五只核心半导体个股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收盘价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英伟达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225.07美元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+0.22%</w:t>
            </w:r>
          </w:p>
        </w:tc>
      </w:tr>
      <w:tr>
        <w:tc>
          <w:tcPr/>
          <w:p>
            <w:pPr>
              <w:pStyle w:val="Compact"/>
            </w:pPr>
            <w:r>
              <w:t xml:space="preserve">AMD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630.63美元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+0.22%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台积电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450.61美元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-0.12%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博通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352.81美元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+0.70%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1082.28美元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+0.16%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博通表现最强，上涨0.70%，对AI定制芯片及高速互联方向形成边际支撑。</w:t>
      </w:r>
    </w:p>
    <w:p>
      <w:pPr>
        <w:pStyle w:val="Compact"/>
        <w:numPr>
          <w:ilvl w:val="0"/>
          <w:numId w:val="1001"/>
        </w:numPr>
      </w:pPr>
      <w:r>
        <w:t xml:space="preserve">🟢 </w:t>
      </w:r>
      <w:r>
        <w:rPr>
          <w:rFonts w:hint="eastAsia"/>
        </w:rPr>
        <w:t xml:space="preserve">台积电下跌0.12%，五只核心半导体并未形成一致强势。</w:t>
      </w:r>
    </w:p>
    <w:p>
      <w:pPr>
        <w:pStyle w:val="Compact"/>
        <w:numPr>
          <w:ilvl w:val="0"/>
          <w:numId w:val="1001"/>
        </w:numPr>
      </w:pPr>
      <w:r>
        <w:t xml:space="preserve">⚠️ </w:t>
      </w:r>
      <w:r>
        <w:rPr>
          <w:rFonts w:hint="eastAsia"/>
        </w:rPr>
        <w:t xml:space="preserve">美国国际贸易委员会已决定对特定DRAM设备及其下游产品、组件启动337调查，美光科技等被列为被告，存储产业链仍有贸易摩擦风险。</w:t>
      </w:r>
    </w:p>
    <w:bookmarkEnd w:id="10"/>
    <w:bookmarkStart w:id="11" w:name="大宗商品"/>
    <w:p>
      <w:pPr>
        <w:pStyle w:val="Heading3"/>
      </w:pPr>
      <w:r>
        <w:t xml:space="preserve">🌐 </w:t>
      </w:r>
      <w:r>
        <w:rPr>
          <w:rFonts w:hint="eastAsia"/>
        </w:rPr>
        <w:t xml:space="preserve">大宗商品</w:t>
      </w:r>
    </w:p>
    <w:p>
      <w:pPr>
        <w:pStyle w:val="Compact"/>
        <w:numPr>
          <w:ilvl w:val="0"/>
          <w:numId w:val="1002"/>
        </w:numPr>
      </w:pPr>
      <w:r>
        <w:t xml:space="preserve">📈 </w:t>
      </w:r>
      <w:r>
        <w:rPr>
          <w:rFonts w:hint="eastAsia"/>
        </w:rPr>
        <w:t xml:space="preserve">WTI原油上涨1.16%至93.481美元，油气开采、油服及炼化方向具备价格映射，但高油价也会增加下游制造业成本。</w:t>
      </w:r>
    </w:p>
    <w:p>
      <w:pPr>
        <w:pStyle w:val="Compact"/>
        <w:numPr>
          <w:ilvl w:val="0"/>
          <w:numId w:val="1002"/>
        </w:numPr>
      </w:pPr>
      <w:r>
        <w:t xml:space="preserve">📉 </w:t>
      </w:r>
      <w:r>
        <w:rPr>
          <w:rFonts w:hint="eastAsia"/>
        </w:rPr>
        <w:t xml:space="preserve">COMEX黄金下跌0.87%至4283.544美元，避险交易短线降温。</w:t>
      </w:r>
    </w:p>
    <w:p>
      <w:pPr>
        <w:pStyle w:val="Compact"/>
        <w:numPr>
          <w:ilvl w:val="0"/>
          <w:numId w:val="1002"/>
        </w:numPr>
      </w:pPr>
      <w:r>
        <w:t xml:space="preserve">📉 </w:t>
      </w:r>
      <w:r>
        <w:rPr>
          <w:rFonts w:hint="eastAsia"/>
        </w:rPr>
        <w:t xml:space="preserve">伦铜下跌0.50%至14549.62，叠加上一交易日工业金属主力净流出40.78亿元，有色金属暂不具备资金与价格共振。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富时中国A50期指上涨0.11%，对A股开盘情绪形成轻微正反馈，但力度有限。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20" w:name="新闻联播政策面文化消费数字贸易与能源安全是主要映射方向"/>
    <w:p>
      <w:pPr>
        <w:pStyle w:val="Heading2"/>
      </w:pPr>
      <w:r>
        <w:t xml:space="preserve">📰 </w:t>
      </w:r>
      <w:r>
        <w:rPr>
          <w:rFonts w:hint="eastAsia"/>
        </w:rPr>
        <w:t xml:space="preserve">新闻联播政策面：文化消费、数字贸易与能源安全是主要映射方向</w:t>
      </w:r>
    </w:p>
    <w:bookmarkStart w:id="13" w:name="文化遗产保护与文旅消费"/>
    <w:p>
      <w:pPr>
        <w:pStyle w:val="Heading3"/>
      </w:pPr>
      <w:r>
        <w:t xml:space="preserve">🏛️ </w:t>
      </w:r>
      <w:r>
        <w:rPr>
          <w:rFonts w:hint="eastAsia"/>
        </w:rPr>
        <w:t xml:space="preserve">文化遗产保护与文旅消费</w:t>
      </w:r>
    </w:p>
    <w:p>
      <w:pPr>
        <w:pStyle w:val="FirstParagraph"/>
      </w:pPr>
      <w:r>
        <w:rPr>
          <w:rFonts w:hint="eastAsia"/>
        </w:rPr>
        <w:t xml:space="preserve">新闻联播重点强调文化遗产系统性保护、合理利用和数字化传承：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全国登记不可移动文物76万余处，国有可移动文物1.08亿件（套）。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备案博物馆超过7100家，91%以上免费开放，年接待观众超过15亿人次。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“数字敦煌”已形成壁画数字化、彩塑及大遗址三维重建等技术成果。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“十五五”时期，文化遗产系统性保护将继续提升。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4"/>
        </w:numPr>
      </w:pPr>
      <w:r>
        <w:t xml:space="preserve">🔴 </w:t>
      </w:r>
      <w:r>
        <w:rPr>
          <w:rFonts w:hint="eastAsia"/>
        </w:rPr>
        <w:t xml:space="preserve">直接方向：文物保护、数字文化、博物馆展陈、文化数字化。</w:t>
      </w:r>
    </w:p>
    <w:p>
      <w:pPr>
        <w:pStyle w:val="Compact"/>
        <w:numPr>
          <w:ilvl w:val="0"/>
          <w:numId w:val="1004"/>
        </w:numPr>
      </w:pPr>
      <w:r>
        <w:t xml:space="preserve">🔴 </w:t>
      </w:r>
      <w:r>
        <w:rPr>
          <w:rFonts w:hint="eastAsia"/>
        </w:rPr>
        <w:t xml:space="preserve">消费方向：旅游景区、演艺、非遗文创、酒店餐饮。</w:t>
      </w:r>
    </w:p>
    <w:p>
      <w:pPr>
        <w:pStyle w:val="Compact"/>
        <w:numPr>
          <w:ilvl w:val="0"/>
          <w:numId w:val="1004"/>
        </w:numPr>
      </w:pPr>
      <w:r>
        <w:t xml:space="preserve">⚠️ </w:t>
      </w:r>
      <w:r>
        <w:rPr>
          <w:rFonts w:hint="eastAsia"/>
        </w:rPr>
        <w:t xml:space="preserve">上一交易日出版行业主力净流入3.23亿元，但高位出版股存在监管关注风险，不能将政策长期利好直接等同于短线追涨依据。</w:t>
      </w:r>
    </w:p>
    <w:bookmarkEnd w:id="13"/>
    <w:bookmarkStart w:id="14" w:name="中美关系释放积极信号"/>
    <w:p>
      <w:pPr>
        <w:pStyle w:val="Heading3"/>
      </w:pPr>
      <w:r>
        <w:t xml:space="preserve">🤝 </w:t>
      </w:r>
      <w:r>
        <w:rPr>
          <w:rFonts w:hint="eastAsia"/>
        </w:rPr>
        <w:t xml:space="preserve">中美关系释放积极信号</w:t>
      </w:r>
    </w:p>
    <w:p>
      <w:pPr>
        <w:pStyle w:val="FirstParagraph"/>
      </w:pPr>
      <w:r>
        <w:rPr>
          <w:rFonts w:hint="eastAsia"/>
        </w:rPr>
        <w:t xml:space="preserve">专题片强调中美两国元首半年内互访，并释放相向而行、和平共处、互利共赢的积极信号。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5"/>
        </w:numPr>
      </w:pPr>
      <w:r>
        <w:t xml:space="preserve">🔴 </w:t>
      </w:r>
      <w:r>
        <w:rPr>
          <w:rFonts w:hint="eastAsia"/>
        </w:rPr>
        <w:t xml:space="preserve">有利于出口链、跨境电商、航空运输及中美供应链风险溢价下降。</w:t>
      </w:r>
    </w:p>
    <w:p>
      <w:pPr>
        <w:pStyle w:val="Compact"/>
        <w:numPr>
          <w:ilvl w:val="0"/>
          <w:numId w:val="1005"/>
        </w:numPr>
      </w:pPr>
      <w:r>
        <w:t xml:space="preserve">🟢 </w:t>
      </w:r>
      <w:r>
        <w:rPr>
          <w:rFonts w:hint="eastAsia"/>
        </w:rPr>
        <w:t xml:space="preserve">对半导体、光模块的情绪影响偏复杂：关系改善有利于风险偏好，但DRAM相关337调查说明科技贸易摩擦并未完全消失。</w:t>
      </w:r>
    </w:p>
    <w:p>
      <w:pPr>
        <w:pStyle w:val="Compact"/>
        <w:numPr>
          <w:ilvl w:val="0"/>
          <w:numId w:val="1005"/>
        </w:numPr>
      </w:pPr>
      <w:r>
        <w:t xml:space="preserve">💡 </w:t>
      </w:r>
      <w:r>
        <w:rPr>
          <w:rFonts w:hint="eastAsia"/>
        </w:rPr>
        <w:t xml:space="preserve">科技股必须以资金回流和右侧趋势重新确认，不能仅凭外交信号抄底。</w:t>
      </w:r>
    </w:p>
    <w:bookmarkEnd w:id="14"/>
    <w:bookmarkStart w:id="15" w:name="数字贸易与跨境合作"/>
    <w:p>
      <w:pPr>
        <w:pStyle w:val="Heading3"/>
      </w:pPr>
      <w:r>
        <w:t xml:space="preserve">💻 </w:t>
      </w:r>
      <w:r>
        <w:rPr>
          <w:rFonts w:hint="eastAsia"/>
        </w:rPr>
        <w:t xml:space="preserve">数字贸易与跨境合作</w:t>
      </w:r>
    </w:p>
    <w:p>
      <w:pPr>
        <w:pStyle w:val="FirstParagraph"/>
      </w:pPr>
      <w:r>
        <w:rPr>
          <w:rFonts w:hint="eastAsia"/>
        </w:rPr>
        <w:t xml:space="preserve">第五届全球数字贸易博览会：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首发首秀首展226项。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到会专业客商5.1万名。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中阿数字经济相关合作签约意向金额2.55亿美元。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发布《中国数字贸易发展报告2026》等成果。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BodyText"/>
      </w:pPr>
      <w:r>
        <w:rPr>
          <w:rFonts w:hint="eastAsia"/>
        </w:rPr>
        <w:t xml:space="preserve">数字贸易、跨境电商、数据要素、企业数字化服务具备政策催化，但采集数据未提供对应板块的资金流与右侧技术确认，盘前仅列为观察方向。</w:t>
      </w:r>
    </w:p>
    <w:bookmarkEnd w:id="15"/>
    <w:bookmarkStart w:id="16" w:name="能源安全与煤层气增储"/>
    <w:p>
      <w:pPr>
        <w:pStyle w:val="Heading3"/>
      </w:pPr>
      <w:r>
        <w:t xml:space="preserve">🔥 </w:t>
      </w:r>
      <w:r>
        <w:rPr>
          <w:rFonts w:hint="eastAsia"/>
        </w:rPr>
        <w:t xml:space="preserve">能源安全与煤层气增储</w:t>
      </w:r>
    </w:p>
    <w:p>
      <w:pPr>
        <w:pStyle w:val="FirstParagraph"/>
      </w:pPr>
      <w:r>
        <w:rPr>
          <w:rFonts w:hint="eastAsia"/>
        </w:rPr>
        <w:t xml:space="preserve">鄂尔多斯盆地东部新增煤层气探明地质储量超过千亿立方米，具备年产18亿立方米的产能建设基础；两口试验井产气稳定，单井产量可达5000万立方米。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7"/>
        </w:numPr>
      </w:pPr>
      <w:r>
        <w:t xml:space="preserve">🔴 </w:t>
      </w:r>
      <w:r>
        <w:rPr>
          <w:rFonts w:hint="eastAsia"/>
        </w:rPr>
        <w:t xml:space="preserve">煤层气开发、油气装备、钻完井服务及管网建设受益。</w:t>
      </w:r>
    </w:p>
    <w:p>
      <w:pPr>
        <w:pStyle w:val="Compact"/>
        <w:numPr>
          <w:ilvl w:val="0"/>
          <w:numId w:val="1007"/>
        </w:numPr>
      </w:pPr>
      <w:r>
        <w:t xml:space="preserve">📈 </w:t>
      </w:r>
      <w:r>
        <w:rPr>
          <w:rFonts w:hint="eastAsia"/>
        </w:rPr>
        <w:t xml:space="preserve">WTI原油上涨1.16%，上一交易日油气开采Ⅱ上涨1.30%，形成产业消息与商品价格共振。</w:t>
      </w:r>
    </w:p>
    <w:p>
      <w:pPr>
        <w:pStyle w:val="Compact"/>
        <w:numPr>
          <w:ilvl w:val="0"/>
          <w:numId w:val="1007"/>
        </w:numPr>
      </w:pPr>
      <w:r>
        <w:t xml:space="preserve">⚠️ </w:t>
      </w:r>
      <w:r>
        <w:rPr>
          <w:rFonts w:hint="eastAsia"/>
        </w:rPr>
        <w:t xml:space="preserve">对个股的订单和利润贡献仍需以后续正式公告验证。</w:t>
      </w:r>
    </w:p>
    <w:bookmarkEnd w:id="16"/>
    <w:bookmarkStart w:id="17" w:name="假期出行与消费"/>
    <w:p>
      <w:pPr>
        <w:pStyle w:val="Heading3"/>
      </w:pPr>
      <w:r>
        <w:t xml:space="preserve">🚆 </w:t>
      </w:r>
      <w:r>
        <w:rPr>
          <w:rFonts w:hint="eastAsia"/>
        </w:rPr>
        <w:t xml:space="preserve">假期出行与消费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中秋假期全社会跨区域人员流动量超过6.5亿人次，日均2.2亿人次。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9月27日铁路预计发送旅客1686万人次，加开旅客列车1398列。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水路夜游客流总量增幅预计超过26%。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2026年上半年入境外国人2291.4万人次，同比增长20.4%。</w:t>
      </w:r>
    </w:p>
    <w:p>
      <w:pPr>
        <w:pStyle w:val="FirstParagraph"/>
      </w:pPr>
      <w:r>
        <w:rPr>
          <w:rFonts w:hint="eastAsia"/>
          <w:b/>
          <w:bCs/>
        </w:rPr>
        <w:t xml:space="preserve">A股映射：</w:t>
      </w:r>
    </w:p>
    <w:p>
      <w:pPr>
        <w:pStyle w:val="BodyText"/>
      </w:pPr>
      <w:r>
        <w:rPr>
          <w:rFonts w:hint="eastAsia"/>
        </w:rPr>
        <w:t xml:space="preserve">旅游景区、酒店、铁路客运、航空机场及本地消费存在数据支撑，但假期数据可能带来“兑现式交易”，只接受低位放量确认，不追高开。</w:t>
      </w:r>
    </w:p>
    <w:bookmarkEnd w:id="17"/>
    <w:bookmarkStart w:id="18" w:name="国家安全与国防方向"/>
    <w:p>
      <w:pPr>
        <w:pStyle w:val="Heading3"/>
      </w:pPr>
      <w:r>
        <w:t xml:space="preserve">🛡️ </w:t>
      </w:r>
      <w:r>
        <w:rPr>
          <w:rFonts w:hint="eastAsia"/>
        </w:rPr>
        <w:t xml:space="preserve">国家安全与国防方向</w:t>
      </w:r>
    </w:p>
    <w:p>
      <w:pPr>
        <w:pStyle w:val="FirstParagraph"/>
      </w:pPr>
      <w:r>
        <w:rPr>
          <w:rFonts w:hint="eastAsia"/>
        </w:rPr>
        <w:t xml:space="preserve">南部战区在黄岩岛周边组织海空联合演训，中国海警同步开展维权执法管控演练，涉及预警机、侦察机、无人机和海军舰艇。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</w:p>
    <w:p>
      <w:pPr>
        <w:pStyle w:val="Compact"/>
        <w:numPr>
          <w:ilvl w:val="0"/>
          <w:numId w:val="1009"/>
        </w:numPr>
      </w:pPr>
      <w:r>
        <w:t xml:space="preserve">🔴 </w:t>
      </w:r>
      <w:r>
        <w:rPr>
          <w:rFonts w:hint="eastAsia"/>
        </w:rPr>
        <w:t xml:space="preserve">军工电子Ⅱ上一交易日主力净流入7.50亿元，政策事件与资金方向一致。</w:t>
      </w:r>
    </w:p>
    <w:p>
      <w:pPr>
        <w:pStyle w:val="Compact"/>
        <w:numPr>
          <w:ilvl w:val="0"/>
          <w:numId w:val="1009"/>
        </w:numPr>
      </w:pPr>
      <w:r>
        <w:t xml:space="preserve">🔴 </w:t>
      </w:r>
      <w:r>
        <w:rPr>
          <w:rFonts w:hint="eastAsia"/>
        </w:rPr>
        <w:t xml:space="preserve">雷达预警、无人机、军工通信、海洋信息化可关注。</w:t>
      </w:r>
    </w:p>
    <w:p>
      <w:pPr>
        <w:pStyle w:val="Compact"/>
        <w:numPr>
          <w:ilvl w:val="0"/>
          <w:numId w:val="1009"/>
        </w:numPr>
      </w:pPr>
      <w:r>
        <w:t xml:space="preserve">⚠️ </w:t>
      </w:r>
      <w:r>
        <w:rPr>
          <w:rFonts w:hint="eastAsia"/>
        </w:rPr>
        <w:t xml:space="preserve">事件驱动波动较大，必须等待板块中军放量和持续性确认，避免追逐单一消息脉冲。</w:t>
      </w:r>
    </w:p>
    <w:bookmarkEnd w:id="18"/>
    <w:bookmarkStart w:id="19" w:name="国际合作与物流通道"/>
    <w:p>
      <w:pPr>
        <w:pStyle w:val="Heading3"/>
      </w:pPr>
      <w:r>
        <w:t xml:space="preserve">🌏 </w:t>
      </w:r>
      <w:r>
        <w:rPr>
          <w:rFonts w:hint="eastAsia"/>
        </w:rPr>
        <w:t xml:space="preserve">国际合作与物流通道</w:t>
      </w:r>
    </w:p>
    <w:p>
      <w:pPr>
        <w:pStyle w:val="FirstParagraph"/>
      </w:pPr>
      <w:r>
        <w:rPr>
          <w:rFonts w:hint="eastAsia"/>
        </w:rPr>
        <w:t xml:space="preserve">南昌—比什凯克中亚班列正式开通：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相比公路运输，时间缩短10至15天。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综合物流成本降低20%。</w:t>
      </w:r>
    </w:p>
    <w:p>
      <w:pPr>
        <w:pStyle w:val="FirstParagraph"/>
      </w:pPr>
      <w:r>
        <w:rPr>
          <w:rFonts w:hint="eastAsia"/>
        </w:rPr>
        <w:t xml:space="preserve">对应中欧班列、跨境物流、铁路装备及中亚贸易方向，但当前缺少资金榜与技术评级支持，暂列观察。</w:t>
      </w:r>
    </w:p>
    <w:p>
      <w:r>
        <w:pict>
          <v:rect style="width:0;height:1.5pt" o:hralign="center" o:hrstd="t" o:hr="t"/>
        </w:pict>
      </w:r>
    </w:p>
    <w:bookmarkEnd w:id="19"/>
    <w:bookmarkEnd w:id="20"/>
    <w:bookmarkStart w:id="24" w:name="今日公告医药研发进展突出减持与监管风险并存"/>
    <w:p>
      <w:pPr>
        <w:pStyle w:val="Heading2"/>
      </w:pPr>
      <w:r>
        <w:t xml:space="preserve">📢 </w:t>
      </w:r>
      <w:r>
        <w:rPr>
          <w:rFonts w:hint="eastAsia"/>
        </w:rPr>
        <w:t xml:space="preserve">今日公告：医药研发进展突出，减持与监管风险并存</w:t>
      </w:r>
    </w:p>
    <w:p>
      <w:pPr>
        <w:pStyle w:val="FirstParagraph"/>
      </w:pPr>
      <w:r>
        <w:rPr>
          <w:rFonts w:hint="eastAsia"/>
        </w:rPr>
        <w:t xml:space="preserve">公告主源共获取2026年9月28日公告442条，以下为对盘前交易影响较高的正式公告事项：</w:t>
      </w:r>
    </w:p>
    <w:bookmarkStart w:id="21" w:name="正向或进展型公告"/>
    <w:p>
      <w:pPr>
        <w:pStyle w:val="Heading3"/>
      </w:pPr>
      <w:r>
        <w:t xml:space="preserve">🔴 </w:t>
      </w:r>
      <w:r>
        <w:rPr>
          <w:rFonts w:hint="eastAsia"/>
        </w:rPr>
        <w:t xml:space="preserve">正向或进展型公告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百利天恒（688506）</w:t>
      </w:r>
      <w:r>
        <w:rPr>
          <w:rFonts w:hint="eastAsia"/>
        </w:rPr>
        <w:t xml:space="preserve">：宜泽康用于复发性或转移性胆道癌纳入突破性治疗品种名单。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百利天恒（688506）</w:t>
      </w:r>
      <w:r>
        <w:rPr>
          <w:rFonts w:hint="eastAsia"/>
        </w:rPr>
        <w:t xml:space="preserve">：T-Bren用于HER2表达胆道癌纳入突破性治疗品种名单。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百利天恒（688506）</w:t>
      </w:r>
      <w:r>
        <w:rPr>
          <w:rFonts w:hint="eastAsia"/>
        </w:rPr>
        <w:t xml:space="preserve">：BL-M05D1用于CLDN18.2阳性晚期胃癌或胃食管结合部腺癌纳入突破性治疗品种名单。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百利天恒（688506）</w:t>
      </w:r>
      <w:r>
        <w:rPr>
          <w:rFonts w:hint="eastAsia"/>
        </w:rPr>
        <w:t xml:space="preserve">：BL-M12D1治疗血液系统恶性肿瘤获得药物临床试验批准通知书。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王府井（600859）</w:t>
      </w:r>
      <w:r>
        <w:rPr>
          <w:rFonts w:hint="eastAsia"/>
        </w:rPr>
        <w:t xml:space="preserve">：毕节国贸购物中心对外营业。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长缆科技（002879）</w:t>
      </w:r>
      <w:r>
        <w:rPr>
          <w:rFonts w:hint="eastAsia"/>
        </w:rPr>
        <w:t xml:space="preserve">：回购公司股份比例达到6%，回购实施完成。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上海莱士（002252）</w:t>
      </w:r>
      <w:r>
        <w:rPr>
          <w:rFonts w:hint="eastAsia"/>
        </w:rPr>
        <w:t xml:space="preserve">：首次回购公司股份。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永冠新材（603681）</w:t>
      </w:r>
      <w:r>
        <w:rPr>
          <w:rFonts w:hint="eastAsia"/>
        </w:rPr>
        <w:t xml:space="preserve">：控股股东、实际控制人增持股份结果公告。</w:t>
      </w:r>
    </w:p>
    <w:bookmarkEnd w:id="21"/>
    <w:bookmarkStart w:id="22" w:name="重组及资本事项"/>
    <w:p>
      <w:pPr>
        <w:pStyle w:val="Heading3"/>
      </w:pPr>
      <w:r>
        <w:t xml:space="preserve">🟡 </w:t>
      </w:r>
      <w:r>
        <w:rPr>
          <w:rFonts w:hint="eastAsia"/>
        </w:rPr>
        <w:t xml:space="preserve">重组及资本事项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华润双鹤（600062）</w:t>
      </w:r>
      <w:r>
        <w:rPr>
          <w:rFonts w:hint="eastAsia"/>
        </w:rPr>
        <w:t xml:space="preserve">：重大资产重组进展。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天智航（688277）</w:t>
      </w:r>
      <w:r>
        <w:rPr>
          <w:rFonts w:hint="eastAsia"/>
        </w:rPr>
        <w:t xml:space="preserve">：发行股份购买资产并募集配套资金暨关联交易进展。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新疆交建（002941）</w:t>
      </w:r>
      <w:r>
        <w:rPr>
          <w:rFonts w:hint="eastAsia"/>
        </w:rPr>
        <w:t xml:space="preserve">：签署和解协议并实施债务重组。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华纳药厂（688799）</w:t>
      </w:r>
      <w:r>
        <w:rPr>
          <w:rFonts w:hint="eastAsia"/>
        </w:rPr>
        <w:t xml:space="preserve">：控股股东股权结构发生变动。</w:t>
      </w:r>
    </w:p>
    <w:bookmarkEnd w:id="22"/>
    <w:bookmarkStart w:id="23" w:name="风险型公告"/>
    <w:p>
      <w:pPr>
        <w:pStyle w:val="Heading3"/>
      </w:pPr>
      <w:r>
        <w:t xml:space="preserve">🟢 </w:t>
      </w:r>
      <w:r>
        <w:rPr>
          <w:rFonts w:hint="eastAsia"/>
        </w:rPr>
        <w:t xml:space="preserve">风险型公告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华纳药厂（688799）</w:t>
      </w:r>
      <w:r>
        <w:rPr>
          <w:rFonts w:hint="eastAsia"/>
        </w:rPr>
        <w:t xml:space="preserve">：高级管理人员减持计划。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中科飞测（688361）</w:t>
      </w:r>
      <w:r>
        <w:rPr>
          <w:rFonts w:hint="eastAsia"/>
        </w:rPr>
        <w:t xml:space="preserve">：实际控制人的一致行动人拟减持。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和达科技（688296）</w:t>
      </w:r>
      <w:r>
        <w:rPr>
          <w:rFonts w:hint="eastAsia"/>
        </w:rPr>
        <w:t xml:space="preserve">：股东及董事减持计划。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弘宇股份（002890）</w:t>
      </w:r>
      <w:r>
        <w:t xml:space="preserve">、</w:t>
      </w:r>
      <w:r>
        <w:rPr>
          <w:rFonts w:hint="eastAsia"/>
          <w:b/>
          <w:bCs/>
        </w:rPr>
        <w:t xml:space="preserve">德艺文创（300640）</w:t>
      </w:r>
      <w:r>
        <w:t xml:space="preserve">、</w:t>
      </w:r>
      <w:r>
        <w:rPr>
          <w:rFonts w:hint="eastAsia"/>
          <w:b/>
          <w:bCs/>
        </w:rPr>
        <w:t xml:space="preserve">一彬科技（001278）</w:t>
      </w:r>
      <w:r>
        <w:rPr>
          <w:rFonts w:hint="eastAsia"/>
        </w:rPr>
        <w:t xml:space="preserve">：披露减持计划。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金银河（300619）</w:t>
      </w:r>
      <w:r>
        <w:rPr>
          <w:rFonts w:hint="eastAsia"/>
        </w:rPr>
        <w:t xml:space="preserve">：披露最近五年被证券监管部门和交易所处罚或采取监管措施情况。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*ST康佳A（000016）</w:t>
      </w:r>
      <w:r>
        <w:rPr>
          <w:rFonts w:hint="eastAsia"/>
        </w:rPr>
        <w:t xml:space="preserve">：股票停牌进展。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百利天恒属于研发进展密集催化，但医药方向上一交易日化学制药主力净流出27.04亿元、医疗服务净流出18.66亿元，若大幅高开不宜追涨。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经济数据与今日事件"/>
    <w:p>
      <w:pPr>
        <w:pStyle w:val="Heading2"/>
      </w:pPr>
      <w:r>
        <w:t xml:space="preserve">📅 </w:t>
      </w:r>
      <w:r>
        <w:rPr>
          <w:rFonts w:hint="eastAsia"/>
        </w:rPr>
        <w:t xml:space="preserve">经济数据与今日事件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央行2026年第三季度例会提出继续实施适度宽松的货币政策，加大逆周期调节力度，保持流动性充裕。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金融支持重点包括扩大内需、科技创新、中小微企业和“六张网”建设。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北京完善商品住房销售制度，新项目优先选择现房销售，预售资金实施全额、全过程监管。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上交所2026年三季报预约披露将于10月13日启动，有研新材首批披露；金盘科技、川投能源计划10月14日披露。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第140届广交会将于10月15日至11月4日分三期举行，参展企业3.2万家。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采集结果未提供9月28日盘中宏观数据发布时间表，具体公布时点当前数据源未返回，不补充推测值。</w:t>
      </w:r>
    </w:p>
    <w:p>
      <w:r>
        <w:pict>
          <v:rect style="width:0;height:1.5pt" o:hralign="center" o:hrstd="t" o:hr="t"/>
        </w:pict>
      </w:r>
    </w:p>
    <w:bookmarkEnd w:id="25"/>
    <w:bookmarkStart w:id="26" w:name="全球事件油价受益与地缘风险同时上升"/>
    <w:p>
      <w:pPr>
        <w:pStyle w:val="Heading2"/>
      </w:pPr>
      <w:r>
        <w:t xml:space="preserve">🌐 </w:t>
      </w:r>
      <w:r>
        <w:rPr>
          <w:rFonts w:hint="eastAsia"/>
        </w:rPr>
        <w:t xml:space="preserve">全球事件：油价受益与地缘风险同时上升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阿曼重申保障霍尔木兹海峡安全通行，短线有助于缓和原油运输中断预期。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也门政府军与胡塞武装冲突持续，多国联军称摧毁弹道导弹并击落无人机，地缘风险仍支撑油价风险溢价。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泰国曼谷及周边地区遭遇洪涝，部分地面交通中断、航班取消；当地学校9月28日停课，政府人员居家办公。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黄岩岛周边海空联合演训与海警执法演练提升军工关注度，但也可能抬高区域风险偏好波动。</w:t>
      </w:r>
    </w:p>
    <w:p>
      <w:r>
        <w:pict>
          <v:rect style="width:0;height:1.5pt" o:hralign="center" o:hrstd="t" o:hr="t"/>
        </w:pict>
      </w:r>
    </w:p>
    <w:bookmarkEnd w:id="26"/>
    <w:bookmarkStart w:id="27" w:name="上一交易日复盘指数普跌成交缩量防守明显占优"/>
    <w:p>
      <w:pPr>
        <w:pStyle w:val="Heading2"/>
      </w:pPr>
      <w:r>
        <w:t xml:space="preserve">📉 </w:t>
      </w:r>
      <w:r>
        <w:rPr>
          <w:rFonts w:hint="eastAsia"/>
        </w:rPr>
        <w:t xml:space="preserve">上一交易日复盘：指数普跌、成交缩量，防守明显占优</w:t>
      </w:r>
    </w:p>
    <w:p>
      <w:pPr>
        <w:pStyle w:val="FirstParagraph"/>
      </w:pPr>
      <w:r>
        <w:rPr>
          <w:rFonts w:hint="eastAsia"/>
        </w:rPr>
        <w:t xml:space="preserve">上一交易日为2026年9月24日：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收盘点位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3888.3738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-1.2231%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13316.969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-2.3402%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3288.948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-2.6826%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1621.872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-2.3471%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4439.1443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-1.7297%</w:t>
            </w:r>
          </w:p>
        </w:tc>
      </w:tr>
    </w:tbl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同花顺口径：上涨1120家、下跌4306家、平盘131家，上涨/下跌比0.26。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TickFlow全市场日线交叉口径：上涨1113家、下跌4311家；两套数据存在轻微覆盖差异，但均指向普跌。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全市场成交额16691.13亿元，较前一交易日17831.30亿元减少1140.16亿元，变化幅度-6.39%，属于温和缩量。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风格表现为偏权重、偏价值、防守占优；成长指数跌幅明显大于上证指数。</w:t>
      </w:r>
    </w:p>
    <w:p>
      <w:r>
        <w:pict>
          <v:rect style="width:0;height:1.5pt" o:hralign="center" o:hrstd="t" o:hr="t"/>
        </w:pict>
      </w:r>
    </w:p>
    <w:bookmarkEnd w:id="27"/>
    <w:bookmarkStart w:id="36" w:name="上一交易日资金四榜"/>
    <w:p>
      <w:pPr>
        <w:pStyle w:val="Heading2"/>
      </w:pPr>
      <w:r>
        <w:t xml:space="preserve">💰 </w:t>
      </w:r>
      <w:r>
        <w:rPr>
          <w:rFonts w:hint="eastAsia"/>
        </w:rPr>
        <w:t xml:space="preserve">上一交易日资金四榜</w:t>
      </w:r>
    </w:p>
    <w:p>
      <w:pPr>
        <w:pStyle w:val="FirstParagraph"/>
      </w:pPr>
      <w:r>
        <w:rPr>
          <w:rFonts w:hint="eastAsia"/>
          <w:b/>
          <w:bCs/>
        </w:rPr>
        <w:t xml:space="preserve">统一口径：交易日2026年9月24日，15:00，previous_close，申万二级行业；来源：华泰skill。仅展示上一交易日主力资金金额，不混入报告日盘中价格及涨跌幅。</w:t>
      </w:r>
    </w:p>
    <w:bookmarkStart w:id="28" w:name="流出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-97.28亿元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-93.21亿元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-91.03亿元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-40.78亿元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-27.04亿元</w:t>
            </w:r>
          </w:p>
        </w:tc>
      </w:tr>
    </w:tbl>
    <w:bookmarkEnd w:id="28"/>
    <w:bookmarkStart w:id="29" w:name="流出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-25.27亿元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玻璃玻纤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-25.02亿元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-21.05亿元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-18.66亿元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证券Ⅱ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-18.38亿元</w:t>
            </w:r>
          </w:p>
        </w:tc>
      </w:tr>
    </w:tbl>
    <w:bookmarkEnd w:id="29"/>
    <w:bookmarkStart w:id="30" w:name="流出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-108.18亿元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-68.20亿元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-64.61亿元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-56.22亿元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国瓷材料</w:t>
            </w:r>
          </w:p>
        </w:tc>
        <w:tc>
          <w:tcPr/>
          <w:p>
            <w:pPr>
              <w:pStyle w:val="Compact"/>
            </w:pPr>
            <w:r>
              <w:t xml:space="preserve">300285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-45.86亿元</w:t>
            </w:r>
          </w:p>
        </w:tc>
      </w:tr>
    </w:tbl>
    <w:bookmarkEnd w:id="30"/>
    <w:bookmarkStart w:id="31" w:name="流出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-43.09亿元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-42.73亿元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先导基电</w:t>
            </w:r>
          </w:p>
        </w:tc>
        <w:tc>
          <w:tcPr/>
          <w:p>
            <w:pPr>
              <w:pStyle w:val="Compact"/>
            </w:pPr>
            <w:r>
              <w:t xml:space="preserve">600641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-39.60亿元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中国巨石</w:t>
            </w:r>
          </w:p>
        </w:tc>
        <w:tc>
          <w:tcPr/>
          <w:p>
            <w:pPr>
              <w:pStyle w:val="Compact"/>
            </w:pPr>
            <w:r>
              <w:t xml:space="preserve">600176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-36.93亿元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XD源杰科</w:t>
            </w:r>
          </w:p>
        </w:tc>
        <w:tc>
          <w:tcPr/>
          <w:p>
            <w:pPr>
              <w:pStyle w:val="Compac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-35.41亿元</w:t>
            </w:r>
          </w:p>
        </w:tc>
      </w:tr>
    </w:tbl>
    <w:bookmarkEnd w:id="31"/>
    <w:bookmarkStart w:id="32" w:name="流入top10板块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+9.90亿元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军工电子Ⅱ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+7.50亿元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风电设备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+6.97亿元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林业Ⅱ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+6.39亿元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+5.23亿元</w:t>
            </w:r>
          </w:p>
        </w:tc>
      </w:tr>
    </w:tbl>
    <w:bookmarkEnd w:id="32"/>
    <w:bookmarkStart w:id="33" w:name="流入top10板块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焦炭Ⅱ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+4.68亿元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出版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+3.23亿元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服装家纺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+2.94亿元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纺织制造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+2.64亿元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专业工程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+2.55亿元</w:t>
            </w:r>
          </w:p>
        </w:tc>
      </w:tr>
    </w:tbl>
    <w:bookmarkEnd w:id="33"/>
    <w:bookmarkStart w:id="34" w:name="流入top10个股15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</w:t>
            </w:r>
          </w:p>
        </w:tc>
        <w:tc>
          <w:tcPr/>
          <w:p>
            <w:pPr>
              <w:pStyle w:val="Compact"/>
            </w:pPr>
            <w:r>
              <w:t xml:space="preserve">300308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+91.45亿元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</w:t>
            </w:r>
          </w:p>
        </w:tc>
        <w:tc>
          <w:tcPr/>
          <w:p>
            <w:pPr>
              <w:pStyle w:val="Compact"/>
            </w:pPr>
            <w:r>
              <w:t xml:space="preserve">688256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+69.23亿元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</w:t>
            </w:r>
          </w:p>
        </w:tc>
        <w:tc>
          <w:tcPr/>
          <w:p>
            <w:pPr>
              <w:pStyle w:val="Compact"/>
            </w:pPr>
            <w:r>
              <w:t xml:space="preserve">300502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+55.73亿元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国瓷材料</w:t>
            </w:r>
          </w:p>
        </w:tc>
        <w:tc>
          <w:tcPr/>
          <w:p>
            <w:pPr>
              <w:pStyle w:val="Compact"/>
            </w:pPr>
            <w:r>
              <w:t xml:space="preserve">300285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+54.24亿元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</w:t>
            </w:r>
          </w:p>
        </w:tc>
        <w:tc>
          <w:tcPr/>
          <w:p>
            <w:pPr>
              <w:pStyle w:val="Compact"/>
            </w:pPr>
            <w:r>
              <w:t xml:space="preserve">688825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+43.84亿元</w:t>
            </w:r>
          </w:p>
        </w:tc>
      </w:tr>
    </w:tbl>
    <w:bookmarkEnd w:id="34"/>
    <w:bookmarkStart w:id="35" w:name="流入top10个股610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</w:t>
            </w:r>
          </w:p>
        </w:tc>
        <w:tc>
          <w:tcPr/>
          <w:p>
            <w:pPr>
              <w:pStyle w:val="Compact"/>
            </w:pPr>
            <w:r>
              <w:t xml:space="preserve">300750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+40.41亿元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先导基电</w:t>
            </w:r>
          </w:p>
        </w:tc>
        <w:tc>
          <w:tcPr/>
          <w:p>
            <w:pPr>
              <w:pStyle w:val="Compact"/>
            </w:pPr>
            <w:r>
              <w:t xml:space="preserve">600641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+37.83亿元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XD源杰科</w:t>
            </w:r>
          </w:p>
        </w:tc>
        <w:tc>
          <w:tcPr/>
          <w:p>
            <w:pPr>
              <w:pStyle w:val="Compact"/>
            </w:pPr>
            <w:r>
              <w:t xml:space="preserve">688498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+35.60亿元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</w:t>
            </w:r>
          </w:p>
        </w:tc>
        <w:tc>
          <w:tcPr/>
          <w:p>
            <w:pPr>
              <w:pStyle w:val="Compact"/>
            </w:pPr>
            <w:r>
              <w:t xml:space="preserve">603986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+29.24亿元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京东方A</w:t>
            </w:r>
          </w:p>
        </w:tc>
        <w:tc>
          <w:tcPr/>
          <w:p>
            <w:pPr>
              <w:pStyle w:val="Compact"/>
            </w:pPr>
            <w:r>
              <w:t xml:space="preserve">000725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+28.08亿元</w:t>
            </w:r>
          </w:p>
        </w:tc>
      </w:tr>
    </w:tbl>
    <w:p>
      <w:pPr>
        <w:pStyle w:val="BodyText"/>
      </w:pPr>
      <w:r>
        <w:t xml:space="preserve">⚠️ </w:t>
      </w:r>
      <w:r>
        <w:rPr>
          <w:rFonts w:hint="eastAsia"/>
        </w:rPr>
        <w:t xml:space="preserve">多只高成交额科技股同时出现在流入和流出榜，反映双向交易活跃，不代表净方向一致。通信设备、半导体、元件三大板块分别净流出97.28亿元、93.21亿元和91.03亿元，科技主线仍需等待板块资金回流确认。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2" w:name="两融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两融·宽基ETF·成交额·恐慌联合信号</w:t>
      </w:r>
    </w:p>
    <w:bookmarkStart w:id="37" w:name="两融余额"/>
    <w:p>
      <w:pPr>
        <w:pStyle w:val="Heading3"/>
      </w:pPr>
      <w:r>
        <w:t xml:space="preserve">💳 </w:t>
      </w:r>
      <w:r>
        <w:rPr>
          <w:rFonts w:hint="eastAsia"/>
        </w:rPr>
        <w:t xml:space="preserve">两融余额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2026-09-23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2026-09-22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两融余额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26550.08亿元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26563.08亿元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-13.00亿元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融资余额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26253.13亿元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26263.57亿元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-10.43亿元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融券余额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296.95亿元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299.52亿元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-2.57亿元</w:t>
            </w:r>
          </w:p>
        </w:tc>
      </w:tr>
    </w:tbl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实际最新结算日期为2026年9月23日。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T+1滞后，报告日当日两融尚未发布</w:t>
      </w:r>
      <w:r>
        <w:t xml:space="preserve">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本轮两融余额下降主要由融资余额减少驱动，说明杠杆资金风险偏好边际收缩，而非融券端单独主导。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数据较报告日存在多个自然日间隔，只能用于观察最新已结算杠杆状态，不能表述为9月28日当日变化。</w:t>
      </w:r>
    </w:p>
    <w:bookmarkEnd w:id="37"/>
    <w:bookmarkStart w:id="38" w:name="宽基etf份额变化"/>
    <w:p>
      <w:pPr>
        <w:pStyle w:val="Heading3"/>
      </w:pPr>
      <w:r>
        <w:t xml:space="preserve">💰 </w:t>
      </w:r>
      <w:r>
        <w:rPr>
          <w:rFonts w:hint="eastAsia"/>
        </w:rPr>
        <w:t xml:space="preserve">宽基ETF份额变化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上证50ETF（510050）：最新份额减少2.124亿份，估算净赎回6.284916亿元，未连续流入。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沪深300ETF（510300）：最新份额减少1.008亿份，估算净赎回4.55112亿元，未连续流入。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中证500ETF（510500）：最新份额减少2.776亿份，估算净赎回21.2364亿元，未连续流入。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科创50ETF（588000）：最新份额增加7.62亿份，估算净申购13.05306亿元，仅连续1个区间流入。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科创板50ETF（588080）：最新份额增加1.44亿份，估算净申购2.39328亿元，仅连续1个区间流入。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创业板ETF（159915）：最新份额增加3.15亿份，估算净申购10.4328亿元，连续2个区间流入，属于连续大额净申购。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深证100ETF（159901）：最新份额增加2520万份，估算净申购0.86058亿元，连续2个区间流入。</w:t>
      </w:r>
    </w:p>
    <w:p>
      <w:pPr>
        <w:pStyle w:val="FirstParagraph"/>
      </w:pPr>
      <w:r>
        <w:rPr>
          <w:rFonts w:hint="eastAsia"/>
        </w:rPr>
        <w:t xml:space="preserve">宽基资金呈现“成长方向承接、权重与中证500赎回”的分化，尚未形成全市场宽基一致净流入。</w:t>
      </w:r>
    </w:p>
    <w:bookmarkEnd w:id="38"/>
    <w:bookmarkStart w:id="39" w:name="成交额质量"/>
    <w:p>
      <w:pPr>
        <w:pStyle w:val="Heading3"/>
      </w:pPr>
      <w:r>
        <w:t xml:space="preserve">📊 </w:t>
      </w:r>
      <w:r>
        <w:rPr>
          <w:rFonts w:hint="eastAsia"/>
        </w:rPr>
        <w:t xml:space="preserve">成交额质量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上一交易日全市场成交额：16691.13亿元。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前一交易日成交额：17831.30亿元。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减少：1140.16亿元。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变化幅度：-6.39%。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状态：温和缩量。</w:t>
      </w:r>
    </w:p>
    <w:p>
      <w:pPr>
        <w:pStyle w:val="FirstParagraph"/>
      </w:pPr>
      <w:r>
        <w:rPr>
          <w:rFonts w:hint="eastAsia"/>
        </w:rPr>
        <w:t xml:space="preserve">缩量发生在指数普跌和涨跌比0.26的背景下，说明主动承接不足，仓位模型应扣分，反弹若无成交额恢复，不宜快速加仓。</w:t>
      </w:r>
    </w:p>
    <w:bookmarkEnd w:id="39"/>
    <w:bookmarkStart w:id="40" w:name="etf-qvix"/>
    <w:p>
      <w:pPr>
        <w:pStyle w:val="Heading3"/>
      </w:pPr>
      <w:r>
        <w:t xml:space="preserve">😨 300ETF QVIX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最新结算值：16.51。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前收盘：15.94。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单日上升：0.57，涨幅3.5759%。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20日峰值：19.43。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较峰值回落：15.0283%。</w:t>
      </w:r>
    </w:p>
    <w:p>
      <w:pPr>
        <w:pStyle w:val="FirstParagraph"/>
      </w:pPr>
      <w:r>
        <w:rPr>
          <w:rFonts w:hint="eastAsia"/>
        </w:rPr>
        <w:t xml:space="preserve">虽然QVIX较20日峰值已回落超过10%，但最新值较前收盘上升，未满足“较峰值回落且较前收盘下降”的降温条件。</w:t>
      </w:r>
    </w:p>
    <w:bookmarkEnd w:id="40"/>
    <w:bookmarkStart w:id="41" w:name="联合信号结论"/>
    <w:p>
      <w:pPr>
        <w:pStyle w:val="Heading3"/>
      </w:pPr>
      <w:r>
        <w:t xml:space="preserve">⚠️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 = not_confirmed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恐慌高位降温且宽基ETF持续流入未确认。</w:t>
      </w:r>
    </w:p>
    <w:p>
      <w:pPr>
        <w:pStyle w:val="BodyText"/>
      </w:pPr>
      <w:r>
        <w:rPr>
          <w:rFonts w:hint="eastAsia"/>
        </w:rPr>
        <w:t xml:space="preserve">创业板ETF与深证100ETF存在连续净申购，但QVIX未确认降温，且成交额缩量、两融余额下降，当前不能将局部ETF承接解释为全面风险偏好反转。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3" w:name="市场风格预判防守优先成长只做右侧确认"/>
    <w:p>
      <w:pPr>
        <w:pStyle w:val="Heading2"/>
      </w:pPr>
      <w:r>
        <w:t xml:space="preserve">🎨 </w:t>
      </w:r>
      <w:r>
        <w:rPr>
          <w:rFonts w:hint="eastAsia"/>
        </w:rPr>
        <w:t xml:space="preserve">市场风格预判：防守优先，成长只做右侧确认</w:t>
      </w:r>
    </w:p>
    <w:p>
      <w:pPr>
        <w:pStyle w:val="Compact"/>
        <w:numPr>
          <w:ilvl w:val="0"/>
          <w:numId w:val="1021"/>
        </w:numPr>
      </w:pPr>
      <w:r>
        <w:t xml:space="preserve">📉 </w:t>
      </w:r>
      <w:r>
        <w:rPr>
          <w:rFonts w:hint="eastAsia"/>
        </w:rPr>
        <w:t xml:space="preserve">上一交易日创业板指下跌2.6826%，科创50下跌2.3471%，跌幅均大于上证指数的1.2231%。</w:t>
      </w:r>
    </w:p>
    <w:p>
      <w:pPr>
        <w:pStyle w:val="Compact"/>
        <w:numPr>
          <w:ilvl w:val="0"/>
          <w:numId w:val="1021"/>
        </w:numPr>
      </w:pPr>
      <w:r>
        <w:t xml:space="preserve">💰 </w:t>
      </w:r>
      <w:r>
        <w:rPr>
          <w:rFonts w:hint="eastAsia"/>
        </w:rPr>
        <w:t xml:space="preserve">通信设备、半导体、元件合计净流出规模显著，科技内部仍有高位筹码交换压力。</w:t>
      </w:r>
    </w:p>
    <w:p>
      <w:pPr>
        <w:pStyle w:val="Compact"/>
        <w:numPr>
          <w:ilvl w:val="0"/>
          <w:numId w:val="1021"/>
        </w:numPr>
      </w:pPr>
      <w:r>
        <w:t xml:space="preserve">📈 </w:t>
      </w:r>
      <w:r>
        <w:rPr>
          <w:rFonts w:hint="eastAsia"/>
        </w:rPr>
        <w:t xml:space="preserve">风电设备、军工电子Ⅱ、汽车零部件获得板块资金净流入，属于今天优先观察的进攻方向。</w:t>
      </w:r>
    </w:p>
    <w:p>
      <w:pPr>
        <w:pStyle w:val="Compact"/>
        <w:numPr>
          <w:ilvl w:val="0"/>
          <w:numId w:val="1021"/>
        </w:numPr>
      </w:pPr>
      <w:r>
        <w:t xml:space="preserve">🛡️ </w:t>
      </w:r>
      <w:r>
        <w:rPr>
          <w:rFonts w:hint="eastAsia"/>
        </w:rPr>
        <w:t xml:space="preserve">原油上涨、煤炭和银行相对抗跌，价值与资源防守仍有比较优势。</w:t>
      </w:r>
    </w:p>
    <w:p>
      <w:pPr>
        <w:pStyle w:val="Compact"/>
        <w:numPr>
          <w:ilvl w:val="0"/>
          <w:numId w:val="1021"/>
        </w:numPr>
      </w:pPr>
      <w:r>
        <w:t xml:space="preserve">🧠 </w:t>
      </w:r>
      <w:r>
        <w:rPr>
          <w:rFonts w:hint="eastAsia"/>
        </w:rPr>
        <w:t xml:space="preserve">行为金融信号风险分为1，未触发明确FOMO、估值换手拥挤或亏损厌恶阈值；但这不等于市场强势，只说明暂不需要因情绪噪声扩大减仓或追涨。</w:t>
      </w:r>
    </w:p>
    <w:p>
      <w:pPr>
        <w:pStyle w:val="FirstParagraph"/>
      </w:pPr>
      <w:r>
        <w:rPr>
          <w:rFonts w:hint="eastAsia"/>
          <w:b/>
          <w:bCs/>
        </w:rPr>
        <w:t xml:space="preserve">预判：</w:t>
      </w:r>
      <w:r>
        <w:rPr>
          <w:rFonts w:hint="eastAsia"/>
        </w:rPr>
        <w:t xml:space="preserve">指数存在外盘带动下的修复条件，但在成交额恢复、涨跌比回到1以上之前，按结构性轮动处理，不按全面反转处理。</w:t>
      </w:r>
    </w:p>
    <w:p>
      <w:r>
        <w:pict>
          <v:rect style="width:0;height:1.5pt" o:hralign="center" o:hrstd="t" o:hr="t"/>
        </w:pict>
      </w:r>
    </w:p>
    <w:bookmarkEnd w:id="43"/>
    <w:bookmarkStart w:id="48" w:name="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投资方向分层</w:t>
      </w:r>
    </w:p>
    <w:bookmarkStart w:id="44" w:name="可参与风电设备与军工电子的确认性机会"/>
    <w:p>
      <w:pPr>
        <w:pStyle w:val="Heading3"/>
      </w:pPr>
      <w:r>
        <w:t xml:space="preserve">🔴 </w:t>
      </w:r>
      <w:r>
        <w:rPr>
          <w:rFonts w:hint="eastAsia"/>
        </w:rPr>
        <w:t xml:space="preserve">可参与：风电设备与军工电子的确认性机会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风电设备上一交易日主力净流入6.97亿元。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军工电子Ⅱ主力净流入7.50亿元。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黄岩岛海空联合演训为军工电子、雷达预警、无人机和海洋信息化提供事件催化。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风电方向已有资金逆势承接，但采集数据未提供板块核心股完整右侧技术评级。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先导基电（600641）：TickFlow评级A，收盘51.56元，MA20为35.0385元，MA60为34.3675元，60日高点51.56元，量比1.5406，已形成放量新高。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但其PE(TTM)为1144.17倍、RSI14为80.8789，短线过热和估值风险突出。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先导基电必须确认站稳51.56元，且不得高开后放量跌回前高以下。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风电或军工电子板块需继续获得资金净流入，并出现中军放量承接。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只允许等缩量回踩后再放量，禁止追涨。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先导基电跌回51.56元下方且承接不足。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板块高开低走、资金重新净流出。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右侧趋势破坏后立即退出，不以事件逻辑替代止损。</w:t>
      </w:r>
    </w:p>
    <w:bookmarkEnd w:id="44"/>
    <w:bookmarkStart w:id="45" w:name="只观察光通信cpo与高成交额ai硬件"/>
    <w:p>
      <w:pPr>
        <w:pStyle w:val="Heading3"/>
      </w:pPr>
      <w:r>
        <w:t xml:space="preserve">🟡 </w:t>
      </w:r>
      <w:r>
        <w:rPr>
          <w:rFonts w:hint="eastAsia"/>
        </w:rPr>
        <w:t xml:space="preserve">只观察：光通信、CPO与高成交额AI硬件</w:t>
      </w:r>
    </w:p>
    <w:p>
      <w:pPr>
        <w:pStyle w:val="FirstParagraph"/>
      </w:pPr>
      <w:r>
        <w:rPr>
          <w:rFonts w:hint="eastAsia"/>
          <w:b/>
          <w:bCs/>
        </w:rPr>
        <w:t xml:space="preserve">证据链：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美股博通上涨0.70%，AI互联方向存在外盘映射。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中际旭创2026年中报营收同比增长182.5%，净利润同比增长247.3%，ROE为37.62%。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新易盛2026年中报营收同比增长100.3%，净利润同比增长91.93%，ROE为34.86%。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但通信设备板块主力净流出97.28亿元，中际旭创、新易盛分别出现在大额流入与流出榜，筹码分歧显著。</w:t>
      </w:r>
    </w:p>
    <w:p>
      <w:pPr>
        <w:pStyle w:val="FirstParagraph"/>
      </w:pPr>
      <w:r>
        <w:rPr>
          <w:rFonts w:hint="eastAsia"/>
          <w:b/>
          <w:bCs/>
        </w:rPr>
        <w:t xml:space="preserve">核心标的与技术状态：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中际旭创：D级，收盘895.86元，MA20为884.955元，MA60为957.9692元，仍未站回MA60；量比0.8290。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新易盛：D级，收盘435.00元，MA20为416.6655元，MA60为446.4338元；量比0.7364。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亨通光电：B级，收盘67.38元，MA20为66.589元，MA60为64.3047元，量比0.5403，属于缩量回踩未破趋势。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中际旭创、新易盛重新站回MA20与MA60后再评估。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亨通光电先守住66.589元，随后放量突破；完整60日高点确认价为93.84元。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板块主力资金由净流出转为净流入。</w:t>
      </w:r>
    </w:p>
    <w:p>
      <w:pPr>
        <w:pStyle w:val="FirstParagraph"/>
      </w:pPr>
      <w:r>
        <w:rPr>
          <w:rFonts w:hint="eastAsia"/>
          <w:b/>
          <w:bCs/>
        </w:rPr>
        <w:t xml:space="preserve">失效条件：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亨通光电收盘跌破64.563元参考线。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中际旭创跌破860.977元、新易盛跌破404.38元参考线。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板块继续大额流出或出现贸易限制升级。</w:t>
      </w:r>
    </w:p>
    <w:bookmarkEnd w:id="45"/>
    <w:bookmarkStart w:id="46" w:name="只观察国瓷材料"/>
    <w:p>
      <w:pPr>
        <w:pStyle w:val="Heading3"/>
      </w:pPr>
      <w:r>
        <w:t xml:space="preserve">🟡 </w:t>
      </w:r>
      <w:r>
        <w:rPr>
          <w:rFonts w:hint="eastAsia"/>
        </w:rPr>
        <w:t xml:space="preserve">只观察：国瓷材料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TickFlow评级B，收盘70.00元，MA20为65.11元，MA60为66.7947元。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量比1.7892，但距离60日高点90.73元仍有22.85%。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2026年中报营收同比增长16.64%，净利润同比仅增长3.065%，PE(TTM)为108.8倍，换手率16.06%。</w:t>
      </w:r>
    </w:p>
    <w:p>
      <w:pPr>
        <w:pStyle w:val="FirstParagraph"/>
      </w:pPr>
      <w:r>
        <w:rPr>
          <w:rFonts w:hint="eastAsia"/>
          <w:b/>
          <w:bCs/>
        </w:rPr>
        <w:t xml:space="preserve">触发条件：</w:t>
      </w:r>
      <w:r>
        <w:rPr>
          <w:rFonts w:hint="eastAsia"/>
        </w:rPr>
        <w:t xml:space="preserve">缩量回踩65.11元不破后重新放量，或最终站稳90.73元且量比不低于1.2。</w:t>
      </w:r>
    </w:p>
    <w:p>
      <w:pPr>
        <w:pStyle w:val="BodyText"/>
      </w:pPr>
      <w:r>
        <w:rPr>
          <w:rFonts w:hint="eastAsia"/>
          <w:b/>
          <w:bCs/>
        </w:rPr>
        <w:t xml:space="preserve">失效条件：</w:t>
      </w:r>
      <w:r>
        <w:rPr>
          <w:rFonts w:hint="eastAsia"/>
        </w:rPr>
        <w:t xml:space="preserve">收盘跌破62.892元参考线。</w:t>
      </w:r>
    </w:p>
    <w:p>
      <w:pPr>
        <w:pStyle w:val="BodyText"/>
      </w:pPr>
      <w:r>
        <w:t xml:space="preserve">💡 </w:t>
      </w:r>
      <w:r>
        <w:rPr>
          <w:rFonts w:hint="eastAsia"/>
        </w:rPr>
        <w:t xml:space="preserve">估值与盈利增速不匹配，当前不因资金活跃直接升级为买入结论。</w:t>
      </w:r>
    </w:p>
    <w:bookmarkEnd w:id="46"/>
    <w:bookmarkStart w:id="47" w:name="应回避趋势破位的半导体电池及高位成交额个股"/>
    <w:p>
      <w:pPr>
        <w:pStyle w:val="Heading3"/>
      </w:pPr>
      <w:r>
        <w:t xml:space="preserve">🟢 </w:t>
      </w:r>
      <w:r>
        <w:rPr>
          <w:rFonts w:hint="eastAsia"/>
        </w:rPr>
        <w:t xml:space="preserve">应回避：趋势破位的半导体、电池及高位成交额个股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兆易创新：D级，MA60为438.6272元，收盘383.77元；半导体板块净流出93.21亿元。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宁德时代：D级，收盘293.50元，MA20为329.4735元，MA60为365.433元，趋势明显破位。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中国巨石：D级，收盘43.06元，低于MA20的44.1465元和MA60的45.0208元。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东山精密：D级，收盘185.99元，低于MA20的190.325元和MA60的203.4577元。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长鑫科技：MA60数据不足，因技术数据不足暂不评级，不做趋势判断；禁止因业绩高增长数据直接追涨。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2" w:name="今日操作策略三档仓位只按确认加仓"/>
    <w:p>
      <w:pPr>
        <w:pStyle w:val="Heading2"/>
      </w:pPr>
      <w:r>
        <w:t xml:space="preserve">💡 </w:t>
      </w:r>
      <w:r>
        <w:rPr>
          <w:rFonts w:hint="eastAsia"/>
        </w:rPr>
        <w:t xml:space="preserve">今日操作策略：三档仓位，只按确认加仓</w:t>
      </w:r>
    </w:p>
    <w:bookmarkStart w:id="49" w:name="进取档31"/>
    <w:p>
      <w:pPr>
        <w:pStyle w:val="Heading3"/>
      </w:pPr>
      <w:r>
        <w:t xml:space="preserve">🔴 </w:t>
      </w:r>
      <w:r>
        <w:rPr>
          <w:rFonts w:hint="eastAsia"/>
        </w:rPr>
        <w:t xml:space="preserve">进取档：31%</w:t>
      </w:r>
    </w:p>
    <w:p>
      <w:pPr>
        <w:pStyle w:val="FirstParagraph"/>
      </w:pPr>
      <w:r>
        <w:rPr>
          <w:rFonts w:hint="eastAsia"/>
        </w:rPr>
        <w:t xml:space="preserve">适用条件：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开盘后指数不再扩大跌幅。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成交额恢复，成长板块出现资金回流。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风电、军工电子或右侧A/B级标的出现放量确认。</w:t>
      </w:r>
    </w:p>
    <w:p>
      <w:pPr>
        <w:pStyle w:val="FirstParagraph"/>
      </w:pPr>
      <w:r>
        <w:rPr>
          <w:rFonts w:hint="eastAsia"/>
        </w:rPr>
        <w:t xml:space="preserve">执行方式：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首笔底仓不超过总仓位的10%。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确认站稳后再提高至20%。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只有板块与指数同步转强，才允许接近31%。</w:t>
      </w:r>
    </w:p>
    <w:bookmarkEnd w:id="49"/>
    <w:bookmarkStart w:id="50" w:name="均衡档21"/>
    <w:p>
      <w:pPr>
        <w:pStyle w:val="Heading3"/>
      </w:pPr>
      <w:r>
        <w:t xml:space="preserve">🟡 </w:t>
      </w:r>
      <w:r>
        <w:rPr>
          <w:rFonts w:hint="eastAsia"/>
        </w:rPr>
        <w:t xml:space="preserve">均衡档：21%</w:t>
      </w:r>
    </w:p>
    <w:p>
      <w:pPr>
        <w:pStyle w:val="FirstParagraph"/>
      </w:pPr>
      <w:r>
        <w:rPr>
          <w:rFonts w:hint="eastAsia"/>
        </w:rPr>
        <w:t xml:space="preserve">这是当前更合适的基准仓位：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保留10%防守或低波动方向。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使用11%观察右侧确认机会。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科技D级标的不参与抄底，B级标的只等回踩确认。</w:t>
      </w:r>
    </w:p>
    <w:bookmarkEnd w:id="50"/>
    <w:bookmarkStart w:id="51" w:name="保守档6"/>
    <w:p>
      <w:pPr>
        <w:pStyle w:val="Heading3"/>
      </w:pPr>
      <w:r>
        <w:t xml:space="preserve">🟢 </w:t>
      </w:r>
      <w:r>
        <w:rPr>
          <w:rFonts w:hint="eastAsia"/>
        </w:rPr>
        <w:t xml:space="preserve">保守档：6%</w:t>
      </w:r>
    </w:p>
    <w:p>
      <w:pPr>
        <w:pStyle w:val="FirstParagraph"/>
      </w:pPr>
      <w:r>
        <w:rPr>
          <w:rFonts w:hint="eastAsia"/>
        </w:rPr>
        <w:t xml:space="preserve">出现以下任一情况时采用：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指数高开低走。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成交额继续低于16691.13亿元对应节奏。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上涨/下跌比不能改善。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通信设备、半导体、元件继续大额流出。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QVIX继续上升且宽基ETF承接转弱。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4" w:name="仓位模型缩量与弱广度压制上限"/>
    <w:p>
      <w:pPr>
        <w:pStyle w:val="Heading2"/>
      </w:pPr>
      <w:r>
        <w:t xml:space="preserve">🧮 </w:t>
      </w:r>
      <w:r>
        <w:rPr>
          <w:rFonts w:hint="eastAsia"/>
        </w:rPr>
        <w:t xml:space="preserve">仓位模型：缩量与弱广度压制上限</w:t>
      </w:r>
    </w:p>
    <w:p>
      <w:pPr>
        <w:pStyle w:val="FirstParagraph"/>
      </w:pPr>
      <w:r>
        <w:rPr>
          <w:rFonts w:hint="eastAsia"/>
        </w:rPr>
        <w:t xml:space="preserve">自动仓位模型给出的仓位上限为50%，三档结果分别为：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进取档31%。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均衡档21%。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保守档6%。</w:t>
      </w:r>
    </w:p>
    <w:bookmarkStart w:id="53" w:name="量化推导"/>
    <w:p>
      <w:pPr>
        <w:pStyle w:val="Heading3"/>
      </w:pPr>
      <w:r>
        <w:t xml:space="preserve">📊 </w:t>
      </w:r>
      <w:r>
        <w:rPr>
          <w:rFonts w:hint="eastAsia"/>
        </w:rPr>
        <w:t xml:space="preserve">量化推导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上涨/下跌比0.26：仓位调整-15个百分点。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成交额较前一交易日下降6.39%：仓位调整-4个百分点。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最新跌停数量不进入盘前情绪周期判断，仅保留模型已计算结果，不据此扩展盘前情绪结论。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两融余额减少13.00亿元：杠杆资金风险偏好边际收缩。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联合流动性与恐慌信号未确认：不追加风险仓位。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行为金融风险分仅为1：按模型执行，不因市场传闻扩大仓位。</w:t>
      </w:r>
    </w:p>
    <w:p>
      <w:pPr>
        <w:pStyle w:val="FirstParagraph"/>
      </w:pPr>
      <w:r>
        <w:rPr>
          <w:rFonts w:hint="eastAsia"/>
          <w:b/>
          <w:bCs/>
        </w:rPr>
        <w:t xml:space="preserve">明确结论：</w:t>
      </w:r>
      <w:r>
        <w:rPr>
          <w:rFonts w:hint="eastAsia"/>
        </w:rPr>
        <w:t xml:space="preserve">盘前以21%均衡仓位为基准；只有成交额、市场广度和主线资金三项同步改善，才上调至31%。在联合信号未确认前，不启用50%仓位上限。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55" w:name="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回避清单</w:t>
      </w:r>
    </w:p>
    <w:p>
      <w:pPr>
        <w:pStyle w:val="Compact"/>
        <w:numPr>
          <w:ilvl w:val="0"/>
          <w:numId w:val="1038"/>
        </w:numPr>
      </w:pPr>
      <w:r>
        <w:t xml:space="preserve">🟢 </w:t>
      </w:r>
      <w:r>
        <w:rPr>
          <w:rFonts w:hint="eastAsia"/>
        </w:rPr>
        <w:t xml:space="preserve">通信设备、半导体、元件：上一交易日分别净流出97.28亿元、93.21亿元和91.03亿元，未出现资金反转前不抄底。</w:t>
      </w:r>
    </w:p>
    <w:p>
      <w:pPr>
        <w:pStyle w:val="Compact"/>
        <w:numPr>
          <w:ilvl w:val="0"/>
          <w:numId w:val="1038"/>
        </w:numPr>
      </w:pPr>
      <w:r>
        <w:t xml:space="preserve">🟢 </w:t>
      </w:r>
      <w:r>
        <w:rPr>
          <w:rFonts w:hint="eastAsia"/>
        </w:rPr>
        <w:t xml:space="preserve">中际旭创、新易盛、兆易创新、宁德时代、东山精密、中国巨石：TickFlow评级均为D，按规则回避。</w:t>
      </w:r>
    </w:p>
    <w:p>
      <w:pPr>
        <w:pStyle w:val="Compact"/>
        <w:numPr>
          <w:ilvl w:val="0"/>
          <w:numId w:val="1038"/>
        </w:numPr>
      </w:pPr>
      <w:r>
        <w:t xml:space="preserve">🟢 </w:t>
      </w:r>
      <w:r>
        <w:rPr>
          <w:rFonts w:hint="eastAsia"/>
        </w:rPr>
        <w:t xml:space="preserve">长鑫科技：MA60数据不足，趋势无法判定，不做技术性买入判断。</w:t>
      </w:r>
    </w:p>
    <w:p>
      <w:pPr>
        <w:pStyle w:val="Compact"/>
        <w:numPr>
          <w:ilvl w:val="0"/>
          <w:numId w:val="1038"/>
        </w:numPr>
      </w:pPr>
      <w:r>
        <w:t xml:space="preserve">🟢 </w:t>
      </w:r>
      <w:r>
        <w:rPr>
          <w:rFonts w:hint="eastAsia"/>
        </w:rPr>
        <w:t xml:space="preserve">先导基电：虽为A级，但距离MA20高47.15%、RSI14达80.8789，禁止追高。</w:t>
      </w:r>
    </w:p>
    <w:p>
      <w:pPr>
        <w:pStyle w:val="Compact"/>
        <w:numPr>
          <w:ilvl w:val="0"/>
          <w:numId w:val="1038"/>
        </w:numPr>
      </w:pPr>
      <w:r>
        <w:t xml:space="preserve">🟢 </w:t>
      </w:r>
      <w:r>
        <w:rPr>
          <w:rFonts w:hint="eastAsia"/>
        </w:rPr>
        <w:t xml:space="preserve">国瓷材料：PE(TTM)108.8倍、换手率16.06%，盈利增速与估值匹配度不足。</w:t>
      </w:r>
    </w:p>
    <w:p>
      <w:pPr>
        <w:pStyle w:val="Compact"/>
        <w:numPr>
          <w:ilvl w:val="0"/>
          <w:numId w:val="1038"/>
        </w:numPr>
      </w:pPr>
      <w:r>
        <w:t xml:space="preserve">🟢 </w:t>
      </w:r>
      <w:r>
        <w:rPr>
          <w:rFonts w:hint="eastAsia"/>
        </w:rPr>
        <w:t xml:space="preserve">减持公告标的：华纳药厂、中科飞测、和达科技、弘宇股份、德艺文创、一彬科技。</w:t>
      </w:r>
    </w:p>
    <w:p>
      <w:pPr>
        <w:pStyle w:val="Compact"/>
        <w:numPr>
          <w:ilvl w:val="0"/>
          <w:numId w:val="1038"/>
        </w:numPr>
      </w:pPr>
      <w:r>
        <w:t xml:space="preserve">🟢 </w:t>
      </w:r>
      <w:r>
        <w:rPr>
          <w:rFonts w:hint="eastAsia"/>
        </w:rPr>
        <w:t xml:space="preserve">监管与停牌风险：金银河、*ST康佳A。</w:t>
      </w:r>
    </w:p>
    <w:p>
      <w:pPr>
        <w:pStyle w:val="Compact"/>
        <w:numPr>
          <w:ilvl w:val="0"/>
          <w:numId w:val="1038"/>
        </w:numPr>
      </w:pPr>
      <w:r>
        <w:t xml:space="preserve">🟢 </w:t>
      </w:r>
      <w:r>
        <w:rPr>
          <w:rFonts w:hint="eastAsia"/>
        </w:rPr>
        <w:t xml:space="preserve">高开兑现型文旅、出版和医药公告股：只看承接，不参与无量高开。</w:t>
      </w:r>
    </w:p>
    <w:p>
      <w:r>
        <w:pict>
          <v:rect style="width:0;height:1.5pt" o:hralign="center" o:hrstd="t" o:hr="t"/>
        </w:pict>
      </w:r>
    </w:p>
    <w:bookmarkEnd w:id="55"/>
    <w:bookmarkStart w:id="56" w:name="风险日历"/>
    <w:p>
      <w:pPr>
        <w:pStyle w:val="Heading2"/>
      </w:pPr>
      <w:r>
        <w:t xml:space="preserve">📆 </w:t>
      </w:r>
      <w:r>
        <w:rPr>
          <w:rFonts w:hint="eastAsia"/>
        </w:rPr>
        <w:t xml:space="preserve">风险日历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9月28日</w:t>
      </w:r>
      <w:r>
        <w:rPr>
          <w:rFonts w:hint="eastAsia"/>
        </w:rPr>
        <w:t xml:space="preserve">：百利天恒多项临床与突破性治疗品种公告进入市场定价。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9月28日</w:t>
      </w:r>
      <w:r>
        <w:rPr>
          <w:rFonts w:hint="eastAsia"/>
        </w:rPr>
        <w:t xml:space="preserve">：多家公司减持、解禁、重组及停牌进展公告生效。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近期</w:t>
      </w:r>
      <w:r>
        <w:rPr>
          <w:rFonts w:hint="eastAsia"/>
        </w:rPr>
        <w:t xml:space="preserve">：美国对特定DRAM设备及下游产品启动337调查，存储链贸易风险需跟踪。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近期</w:t>
      </w:r>
      <w:r>
        <w:rPr>
          <w:rFonts w:hint="eastAsia"/>
        </w:rPr>
        <w:t xml:space="preserve">：霍尔木兹海峡、也门冲突及无人机、导弹事件可能继续影响油价。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10月13日</w:t>
      </w:r>
      <w:r>
        <w:rPr>
          <w:rFonts w:hint="eastAsia"/>
        </w:rPr>
        <w:t xml:space="preserve">：上交所三季报预约披露启动，有研新材计划率先披露。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10月14日</w:t>
      </w:r>
      <w:r>
        <w:rPr>
          <w:rFonts w:hint="eastAsia"/>
        </w:rPr>
        <w:t xml:space="preserve">：金盘科技、川投能源计划披露三季报。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10月15日至11月4日</w:t>
      </w:r>
      <w:r>
        <w:rPr>
          <w:rFonts w:hint="eastAsia"/>
        </w:rPr>
        <w:t xml:space="preserve">：第140届广交会分三期举行。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  <w:b/>
          <w:bCs/>
        </w:rPr>
        <w:t xml:space="preserve">持续观察</w:t>
      </w:r>
      <w:r>
        <w:rPr>
          <w:rFonts w:hint="eastAsia"/>
        </w:rPr>
        <w:t xml:space="preserve">：泰国洪涝对区域航运、旅游和供应链的影响。</w:t>
      </w:r>
    </w:p>
    <w:p>
      <w:r>
        <w:pict>
          <v:rect style="width:0;height:1.5pt" o:hralign="center" o:hrstd="t" o:hr="t"/>
        </w:pict>
      </w:r>
    </w:p>
    <w:bookmarkEnd w:id="56"/>
    <w:bookmarkStart w:id="57" w:name="外资与离岸风险偏好"/>
    <w:p>
      <w:pPr>
        <w:pStyle w:val="Heading2"/>
      </w:pPr>
      <w:r>
        <w:t xml:space="preserve">🌊 </w:t>
      </w:r>
      <w:r>
        <w:rPr>
          <w:rFonts w:hint="eastAsia"/>
        </w:rPr>
        <w:t xml:space="preserve">外资与离岸风险偏好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恒生指数报24761.129点，📉下跌1.01%，港股风险偏好偏弱。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富时中国A50期指报14196.5点，📈上涨0.11%，对A股权重开盘提供有限支撑。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美元兑离岸人民币报6.7259，美元上涨0.05%，离岸人民币轻微走弱。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美股三大指数上涨，但半导体核心股涨跌分化。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WTI原油上涨1.16%，黄金和伦铜分别下跌0.87%和0.50%。</w:t>
      </w:r>
    </w:p>
    <w:p>
      <w:pPr>
        <w:pStyle w:val="FirstParagraph"/>
      </w:pPr>
      <w:r>
        <w:rPr>
          <w:rFonts w:hint="eastAsia"/>
          <w:b/>
          <w:bCs/>
        </w:rPr>
        <w:t xml:space="preserve">结论：</w:t>
      </w:r>
      <w:r>
        <w:rPr>
          <w:rFonts w:hint="eastAsia"/>
        </w:rPr>
        <w:t xml:space="preserve">离岸信号整体中性偏混合，并未形成明确外资全面回流信号。A50小幅上涨不足以抵消港股走弱、人民币轻微承压以及A股上一交易日成长板块大额流出的影响。</w:t>
      </w:r>
    </w:p>
    <w:p>
      <w:r>
        <w:pict>
          <v:rect style="width:0;height:1.5pt" o:hralign="center" o:hrstd="t" o:hr="t"/>
        </w:pict>
      </w:r>
    </w:p>
    <w:bookmarkEnd w:id="57"/>
    <w:bookmarkStart w:id="58" w:name="风险提示"/>
    <w:p>
      <w:pPr>
        <w:pStyle w:val="Heading2"/>
      </w:pPr>
      <w:r>
        <w:t xml:space="preserve">⚠️ </w:t>
      </w:r>
      <w:r>
        <w:rPr>
          <w:rFonts w:hint="eastAsia"/>
        </w:rPr>
        <w:t xml:space="preserve">风险提示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上一交易日市场普跌且成交额缩量6.39%，任何高开修复都必须接受量能验证。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科技高成交额个股买卖金额同时放大，属于筹码激烈交换，不等于趋势已经恢复。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宽基ETF只有创业板ETF和深证100ETF形成连续流入，权重及中证500方向仍有赎回，结构并不统一。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QVIX较前收盘上涨3.5759%，恐慌降温条件未满足。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两融数据实际结算日为9月23日，存在T+1及假期滞后，不能解释为报告日实时杠杆变化。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TickFlow技术评级基于截至9月24日的重点股日K，只用于重点股样本校验，不代表全A股趋势宽度，也不是9月28日实时分时信号。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A/B级标的同样禁止追涨；D级标的在重新站回MA20、MA60并确认前继续回避。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生成时间：2026-09-28</w:t>
      </w:r>
      <w:r>
        <w:t xml:space="preserve"> 08:34:38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58"/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2026-09-28T04:18:27Z</dcterms:created>
  <dcterms:modified xsi:type="dcterms:W3CDTF">2026-09-28T04:18:27Z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