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5" w:name="奇迹早知道2026年9月15日盘前简报"/>
    <w:p>
      <w:pPr>
        <w:pStyle w:val="Heading1"/>
      </w:pPr>
      <w:r>
        <w:t xml:space="preserve">🌅 </w:t>
      </w:r>
      <w:r>
        <w:rPr>
          <w:rFonts w:hint="eastAsia"/>
        </w:rPr>
        <w:t xml:space="preserve">奇迹早知道｜2026年9月15日盘前简报</w:t>
      </w:r>
    </w:p>
    <w:bookmarkStart w:id="12" w:name="隔夜全球市场风险偏好转弱半导体成为主要压力源"/>
    <w:p>
      <w:pPr>
        <w:pStyle w:val="Heading2"/>
      </w:pPr>
      <w:r>
        <w:t xml:space="preserve">🌍 </w:t>
      </w:r>
      <w:r>
        <w:rPr>
          <w:rFonts w:hint="eastAsia"/>
        </w:rPr>
        <w:t xml:space="preserve">隔夜全球市场：风险偏好转弱，半导体成为主要压力源</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c>
          <w:tcPr/>
          <w:p>
            <w:pPr>
              <w:pStyle w:val="Compact"/>
            </w:pPr>
            <w:r>
              <w:rPr>
                <w:rFonts w:hint="eastAsia"/>
              </w:rPr>
              <w:t xml:space="preserve">隔夜信号</w:t>
            </w:r>
          </w:p>
        </w:tc>
      </w:tr>
      <w:tr>
        <w:tc>
          <w:tcPr/>
          <w:p>
            <w:pPr>
              <w:pStyle w:val="Compact"/>
            </w:pPr>
            <w:r>
              <w:rPr>
                <w:rFonts w:hint="eastAsia"/>
              </w:rPr>
              <w:t xml:space="preserve">道琼斯</w:t>
            </w:r>
          </w:p>
        </w:tc>
        <w:tc>
          <w:tcPr/>
          <w:p>
            <w:pPr>
              <w:pStyle w:val="Compact"/>
              <w:jc w:val="right"/>
            </w:pPr>
            <w:r>
              <w:t xml:space="preserve">52421.1992</w:t>
            </w:r>
          </w:p>
        </w:tc>
        <w:tc>
          <w:tcPr/>
          <w:p>
            <w:pPr>
              <w:pStyle w:val="Compact"/>
              <w:jc w:val="right"/>
            </w:pPr>
            <w:r>
              <w:t xml:space="preserve">🟢 -0.29%</w:t>
            </w:r>
          </w:p>
        </w:tc>
        <w:tc>
          <w:tcPr/>
          <w:p>
            <w:pPr>
              <w:pStyle w:val="Compact"/>
            </w:pPr>
            <w:r>
              <w:rPr>
                <w:rFonts w:hint="eastAsia"/>
              </w:rPr>
              <w:t xml:space="preserve">权重板块偏弱</w:t>
            </w:r>
          </w:p>
        </w:tc>
      </w:tr>
      <w:tr>
        <w:tc>
          <w:tcPr/>
          <w:p>
            <w:pPr>
              <w:pStyle w:val="Compact"/>
            </w:pPr>
            <w:r>
              <w:rPr>
                <w:rFonts w:hint="eastAsia"/>
              </w:rPr>
              <w:t xml:space="preserve">标普500</w:t>
            </w:r>
          </w:p>
        </w:tc>
        <w:tc>
          <w:tcPr/>
          <w:p>
            <w:pPr>
              <w:pStyle w:val="Compact"/>
              <w:jc w:val="right"/>
            </w:pPr>
            <w:r>
              <w:t xml:space="preserve">7619.9800</w:t>
            </w:r>
          </w:p>
        </w:tc>
        <w:tc>
          <w:tcPr/>
          <w:p>
            <w:pPr>
              <w:pStyle w:val="Compact"/>
              <w:jc w:val="right"/>
            </w:pPr>
            <w:r>
              <w:t xml:space="preserve">🟢 -0.48%</w:t>
            </w:r>
          </w:p>
        </w:tc>
        <w:tc>
          <w:tcPr/>
          <w:p>
            <w:pPr>
              <w:pStyle w:val="Compact"/>
            </w:pPr>
            <w:r>
              <w:rPr>
                <w:rFonts w:hint="eastAsia"/>
              </w:rPr>
              <w:t xml:space="preserve">风险资产整体降温</w:t>
            </w:r>
          </w:p>
        </w:tc>
      </w:tr>
      <w:tr>
        <w:tc>
          <w:tcPr/>
          <w:p>
            <w:pPr>
              <w:pStyle w:val="Compact"/>
            </w:pPr>
            <w:r>
              <w:rPr>
                <w:rFonts w:hint="eastAsia"/>
              </w:rPr>
              <w:t xml:space="preserve">纳斯达克</w:t>
            </w:r>
          </w:p>
        </w:tc>
        <w:tc>
          <w:tcPr/>
          <w:p>
            <w:pPr>
              <w:pStyle w:val="Compact"/>
              <w:jc w:val="right"/>
            </w:pPr>
            <w:r>
              <w:t xml:space="preserve">26186.4133</w:t>
            </w:r>
          </w:p>
        </w:tc>
        <w:tc>
          <w:tcPr/>
          <w:p>
            <w:pPr>
              <w:pStyle w:val="Compact"/>
              <w:jc w:val="right"/>
            </w:pPr>
            <w:r>
              <w:t xml:space="preserve">🟢 -0.56%</w:t>
            </w:r>
          </w:p>
        </w:tc>
        <w:tc>
          <w:tcPr/>
          <w:p>
            <w:pPr>
              <w:pStyle w:val="Compact"/>
            </w:pPr>
            <w:r>
              <w:rPr>
                <w:rFonts w:hint="eastAsia"/>
              </w:rPr>
              <w:t xml:space="preserve">科技成长承压更明显</w:t>
            </w:r>
          </w:p>
        </w:tc>
      </w:tr>
    </w:tbl>
    <w:p>
      <w:pPr>
        <w:pStyle w:val="BodyText"/>
      </w:pPr>
      <w:r>
        <w:rPr>
          <w:rFonts w:hint="eastAsia"/>
        </w:rPr>
        <w:t xml:space="preserve">三大指数同步收跌，但真正需要警惕的是半导体核心股跌幅显著大于指数。今日A股科技硬件、存储、光通信和消费电子可能面对风险偏好压制，不能把低开简单理解为抄底机会。</w:t>
      </w:r>
    </w:p>
    <w:bookmarkEnd w:id="9"/>
    <w:bookmarkStart w:id="10" w:name="五只核心半导体个股"/>
    <w:p>
      <w:pPr>
        <w:pStyle w:val="Heading3"/>
      </w:pPr>
      <w:r>
        <w:t xml:space="preserve">📉 </w:t>
      </w:r>
      <w:r>
        <w:rPr>
          <w:rFonts w:hint="eastAsia"/>
        </w:rPr>
        <w:t xml:space="preserve">五只核心半导体个股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公司</w:t>
            </w:r>
          </w:p>
        </w:tc>
        <w:tc>
          <w:tcPr/>
          <w:p>
            <w:pPr>
              <w:pStyle w:val="Compact"/>
              <w:jc w:val="right"/>
            </w:pPr>
            <w:r>
              <w:rPr>
                <w:rFonts w:hint="eastAsia"/>
              </w:rPr>
              <w:t xml:space="preserve">收盘价</w:t>
            </w:r>
          </w:p>
        </w:tc>
        <w:tc>
          <w:tcPr/>
          <w:p>
            <w:pPr>
              <w:pStyle w:val="Compact"/>
              <w:jc w:val="right"/>
            </w:pPr>
            <w:r>
              <w:rPr>
                <w:rFonts w:hint="eastAsia"/>
              </w:rPr>
              <w:t xml:space="preserve">涨跌幅</w:t>
            </w:r>
          </w:p>
        </w:tc>
        <w:tc>
          <w:tcPr/>
          <w:p>
            <w:pPr>
              <w:pStyle w:val="Compact"/>
            </w:pPr>
            <w:r>
              <w:rPr>
                <w:rFonts w:hint="eastAsia"/>
              </w:rPr>
              <w:t xml:space="preserve">A股映射</w:t>
            </w:r>
          </w:p>
        </w:tc>
      </w:tr>
      <w:tr>
        <w:tc>
          <w:tcPr/>
          <w:p>
            <w:pPr>
              <w:pStyle w:val="Compact"/>
            </w:pPr>
            <w:r>
              <w:rPr>
                <w:rFonts w:hint="eastAsia"/>
              </w:rPr>
              <w:t xml:space="preserve">英伟达</w:t>
            </w:r>
          </w:p>
        </w:tc>
        <w:tc>
          <w:tcPr/>
          <w:p>
            <w:pPr>
              <w:pStyle w:val="Compact"/>
              <w:jc w:val="right"/>
            </w:pPr>
            <w:r>
              <w:rPr>
                <w:rFonts w:hint="eastAsia"/>
              </w:rPr>
              <w:t xml:space="preserve">210.96美元</w:t>
            </w:r>
          </w:p>
        </w:tc>
        <w:tc>
          <w:tcPr/>
          <w:p>
            <w:pPr>
              <w:pStyle w:val="Compact"/>
              <w:jc w:val="right"/>
            </w:pPr>
            <w:r>
              <w:t xml:space="preserve">🟢 -3.36%</w:t>
            </w:r>
          </w:p>
        </w:tc>
        <w:tc>
          <w:tcPr/>
          <w:p>
            <w:pPr>
              <w:pStyle w:val="Compact"/>
            </w:pPr>
            <w:r>
              <w:rPr>
                <w:rFonts w:hint="eastAsia"/>
              </w:rPr>
              <w:t xml:space="preserve">AI服务器、光模块、PCB</w:t>
            </w:r>
          </w:p>
        </w:tc>
      </w:tr>
      <w:tr>
        <w:tc>
          <w:tcPr/>
          <w:p>
            <w:pPr>
              <w:pStyle w:val="Compact"/>
            </w:pPr>
            <w:r>
              <w:t xml:space="preserve">AMD</w:t>
            </w:r>
          </w:p>
        </w:tc>
        <w:tc>
          <w:tcPr/>
          <w:p>
            <w:pPr>
              <w:pStyle w:val="Compact"/>
              <w:jc w:val="right"/>
            </w:pPr>
            <w:r>
              <w:rPr>
                <w:rFonts w:hint="eastAsia"/>
              </w:rPr>
              <w:t xml:space="preserve">493.41美元</w:t>
            </w:r>
          </w:p>
        </w:tc>
        <w:tc>
          <w:tcPr/>
          <w:p>
            <w:pPr>
              <w:pStyle w:val="Compact"/>
              <w:jc w:val="right"/>
            </w:pPr>
            <w:r>
              <w:t xml:space="preserve">🟢 -4.40%</w:t>
            </w:r>
          </w:p>
        </w:tc>
        <w:tc>
          <w:tcPr/>
          <w:p>
            <w:pPr>
              <w:pStyle w:val="Compact"/>
            </w:pPr>
            <w:r>
              <w:rPr>
                <w:rFonts w:hint="eastAsia"/>
              </w:rPr>
              <w:t xml:space="preserve">AI芯片、服务器产业链</w:t>
            </w:r>
          </w:p>
        </w:tc>
      </w:tr>
      <w:tr>
        <w:tc>
          <w:tcPr/>
          <w:p>
            <w:pPr>
              <w:pStyle w:val="Compact"/>
            </w:pPr>
            <w:r>
              <w:rPr>
                <w:rFonts w:hint="eastAsia"/>
              </w:rPr>
              <w:t xml:space="preserve">台积电</w:t>
            </w:r>
          </w:p>
        </w:tc>
        <w:tc>
          <w:tcPr/>
          <w:p>
            <w:pPr>
              <w:pStyle w:val="Compact"/>
              <w:jc w:val="right"/>
            </w:pPr>
            <w:r>
              <w:rPr>
                <w:rFonts w:hint="eastAsia"/>
              </w:rPr>
              <w:t xml:space="preserve">418.01美元</w:t>
            </w:r>
          </w:p>
        </w:tc>
        <w:tc>
          <w:tcPr/>
          <w:p>
            <w:pPr>
              <w:pStyle w:val="Compact"/>
              <w:jc w:val="right"/>
            </w:pPr>
            <w:r>
              <w:t xml:space="preserve">🟢 -3.52%</w:t>
            </w:r>
          </w:p>
        </w:tc>
        <w:tc>
          <w:tcPr/>
          <w:p>
            <w:pPr>
              <w:pStyle w:val="Compact"/>
            </w:pPr>
            <w:r>
              <w:rPr>
                <w:rFonts w:hint="eastAsia"/>
              </w:rPr>
              <w:t xml:space="preserve">晶圆制造、先进封装</w:t>
            </w:r>
          </w:p>
        </w:tc>
      </w:tr>
      <w:tr>
        <w:tc>
          <w:tcPr/>
          <w:p>
            <w:pPr>
              <w:pStyle w:val="Compact"/>
            </w:pPr>
            <w:r>
              <w:rPr>
                <w:rFonts w:hint="eastAsia"/>
              </w:rPr>
              <w:t xml:space="preserve">博通</w:t>
            </w:r>
          </w:p>
        </w:tc>
        <w:tc>
          <w:tcPr/>
          <w:p>
            <w:pPr>
              <w:pStyle w:val="Compact"/>
              <w:jc w:val="right"/>
            </w:pPr>
            <w:r>
              <w:rPr>
                <w:rFonts w:hint="eastAsia"/>
              </w:rPr>
              <w:t xml:space="preserve">344.72美元</w:t>
            </w:r>
          </w:p>
        </w:tc>
        <w:tc>
          <w:tcPr/>
          <w:p>
            <w:pPr>
              <w:pStyle w:val="Compact"/>
              <w:jc w:val="right"/>
            </w:pPr>
            <w:r>
              <w:t xml:space="preserve">🟢 -4.77%</w:t>
            </w:r>
          </w:p>
        </w:tc>
        <w:tc>
          <w:tcPr/>
          <w:p>
            <w:pPr>
              <w:pStyle w:val="Compact"/>
            </w:pPr>
            <w:r>
              <w:rPr>
                <w:rFonts w:hint="eastAsia"/>
              </w:rPr>
              <w:t xml:space="preserve">ASIC、交换芯片、光通信</w:t>
            </w:r>
          </w:p>
        </w:tc>
      </w:tr>
      <w:tr>
        <w:tc>
          <w:tcPr/>
          <w:p>
            <w:pPr>
              <w:pStyle w:val="Compact"/>
            </w:pPr>
            <w:r>
              <w:rPr>
                <w:rFonts w:hint="eastAsia"/>
              </w:rPr>
              <w:t xml:space="preserve">美光</w:t>
            </w:r>
          </w:p>
        </w:tc>
        <w:tc>
          <w:tcPr/>
          <w:p>
            <w:pPr>
              <w:pStyle w:val="Compact"/>
              <w:jc w:val="right"/>
            </w:pPr>
            <w:r>
              <w:rPr>
                <w:rFonts w:hint="eastAsia"/>
              </w:rPr>
              <w:t xml:space="preserve">924.03美元</w:t>
            </w:r>
          </w:p>
        </w:tc>
        <w:tc>
          <w:tcPr/>
          <w:p>
            <w:pPr>
              <w:pStyle w:val="Compact"/>
              <w:jc w:val="right"/>
            </w:pPr>
            <w:r>
              <w:t xml:space="preserve">🟢 -5.25%</w:t>
            </w:r>
          </w:p>
        </w:tc>
        <w:tc>
          <w:tcPr/>
          <w:p>
            <w:pPr>
              <w:pStyle w:val="Compact"/>
            </w:pPr>
            <w:r>
              <w:rPr>
                <w:rFonts w:hint="eastAsia"/>
              </w:rPr>
              <w:t xml:space="preserve">DRAM、NAND、存储芯片</w:t>
            </w:r>
          </w:p>
        </w:tc>
      </w:tr>
    </w:tbl>
    <w:p>
      <w:pPr>
        <w:pStyle w:val="BodyText"/>
      </w:pPr>
      <w:r>
        <w:t xml:space="preserve">💡</w:t>
      </w:r>
      <w:r>
        <w:t xml:space="preserve"> </w:t>
      </w:r>
      <w:r>
        <w:rPr>
          <w:rFonts w:hint="eastAsia"/>
          <w:b/>
          <w:bCs/>
        </w:rPr>
        <w:t xml:space="preserve">盘前判断：</w:t>
      </w:r>
    </w:p>
    <w:p>
      <w:pPr>
        <w:pStyle w:val="Compact"/>
        <w:numPr>
          <w:ilvl w:val="0"/>
          <w:numId w:val="1001"/>
        </w:numPr>
      </w:pPr>
      <w:r>
        <w:rPr>
          <w:rFonts w:hint="eastAsia"/>
        </w:rPr>
        <w:t xml:space="preserve">海外半导体五股全部大跌，跌幅为3.36%—5.25%，对A股半导体和AI硬件形成直接情绪压制。</w:t>
      </w:r>
    </w:p>
    <w:p>
      <w:pPr>
        <w:pStyle w:val="Compact"/>
        <w:numPr>
          <w:ilvl w:val="0"/>
          <w:numId w:val="1001"/>
        </w:numPr>
      </w:pPr>
      <w:r>
        <w:rPr>
          <w:rFonts w:hint="eastAsia"/>
        </w:rPr>
        <w:t xml:space="preserve">昨日A股通信设备主力净流出72.61亿元、半导体净流出71.00亿元，海外下跌与本土资金撤离形成共振。</w:t>
      </w:r>
    </w:p>
    <w:p>
      <w:pPr>
        <w:pStyle w:val="Compact"/>
        <w:numPr>
          <w:ilvl w:val="0"/>
          <w:numId w:val="1001"/>
        </w:numPr>
      </w:pPr>
      <w:r>
        <w:rPr>
          <w:rFonts w:hint="eastAsia"/>
        </w:rPr>
        <w:t xml:space="preserve">中际旭创、新易盛、东山精密、兆易创新等重点股技术评级均为D，不宜因低开产生锚定偏误，更不能在早盘急跌中盲目接飞刀。</w:t>
      </w:r>
    </w:p>
    <w:p>
      <w:pPr>
        <w:pStyle w:val="Compact"/>
        <w:numPr>
          <w:ilvl w:val="0"/>
          <w:numId w:val="1001"/>
        </w:numPr>
      </w:pPr>
      <w:r>
        <w:rPr>
          <w:rFonts w:hint="eastAsia"/>
        </w:rPr>
        <w:t xml:space="preserve">若科技权重低开后不能迅速收复昨收并放量，今日应继续按风险释放而非趋势反转处理。</w:t>
      </w:r>
    </w:p>
    <w:bookmarkEnd w:id="10"/>
    <w:bookmarkStart w:id="11" w:name="其他全球资产"/>
    <w:p>
      <w:pPr>
        <w:pStyle w:val="Heading3"/>
      </w:pPr>
      <w:r>
        <w:t xml:space="preserve">🌐 </w:t>
      </w:r>
      <w:r>
        <w:rPr>
          <w:rFonts w:hint="eastAsia"/>
        </w:rPr>
        <w:t xml:space="preserve">其他全球资产</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资产</w:t>
            </w:r>
          </w:p>
        </w:tc>
        <w:tc>
          <w:tcPr/>
          <w:p>
            <w:pPr>
              <w:pStyle w:val="Compact"/>
              <w:jc w:val="right"/>
            </w:pPr>
            <w:r>
              <w:rPr>
                <w:rFonts w:hint="eastAsia"/>
              </w:rPr>
              <w:t xml:space="preserve">最新值</w:t>
            </w:r>
          </w:p>
        </w:tc>
        <w:tc>
          <w:tcPr/>
          <w:p>
            <w:pPr>
              <w:pStyle w:val="Compact"/>
              <w:jc w:val="right"/>
            </w:pPr>
            <w:r>
              <w:rPr>
                <w:rFonts w:hint="eastAsia"/>
              </w:rPr>
              <w:t xml:space="preserve">涨跌幅</w:t>
            </w:r>
          </w:p>
        </w:tc>
        <w:tc>
          <w:tcPr/>
          <w:p>
            <w:pPr>
              <w:pStyle w:val="Compact"/>
            </w:pPr>
            <w:r>
              <w:rPr>
                <w:rFonts w:hint="eastAsia"/>
              </w:rPr>
              <w:t xml:space="preserve">信号</w:t>
            </w:r>
          </w:p>
        </w:tc>
      </w:tr>
      <w:tr>
        <w:tc>
          <w:tcPr/>
          <w:p>
            <w:pPr>
              <w:pStyle w:val="Compact"/>
            </w:pPr>
            <w:r>
              <w:rPr>
                <w:rFonts w:hint="eastAsia"/>
              </w:rPr>
              <w:t xml:space="preserve">富时中国A50期指</w:t>
            </w:r>
          </w:p>
        </w:tc>
        <w:tc>
          <w:tcPr/>
          <w:p>
            <w:pPr>
              <w:pStyle w:val="Compact"/>
              <w:jc w:val="right"/>
            </w:pPr>
            <w:r>
              <w:t xml:space="preserve">14452.32</w:t>
            </w:r>
          </w:p>
        </w:tc>
        <w:tc>
          <w:tcPr/>
          <w:p>
            <w:pPr>
              <w:pStyle w:val="Compact"/>
              <w:jc w:val="right"/>
            </w:pPr>
            <w:r>
              <w:t xml:space="preserve">🔴 +0.02%</w:t>
            </w:r>
          </w:p>
        </w:tc>
        <w:tc>
          <w:tcPr/>
          <w:p>
            <w:pPr>
              <w:pStyle w:val="Compact"/>
            </w:pPr>
            <w:r>
              <w:rPr>
                <w:rFonts w:hint="eastAsia"/>
              </w:rPr>
              <w:t xml:space="preserve">对A股开盘指引接近平稳</w:t>
            </w:r>
          </w:p>
        </w:tc>
      </w:tr>
      <w:tr>
        <w:tc>
          <w:tcPr/>
          <w:p>
            <w:pPr>
              <w:pStyle w:val="Compact"/>
            </w:pPr>
            <w:r>
              <w:rPr>
                <w:rFonts w:hint="eastAsia"/>
              </w:rPr>
              <w:t xml:space="preserve">美元兑离岸人民币</w:t>
            </w:r>
          </w:p>
        </w:tc>
        <w:tc>
          <w:tcPr/>
          <w:p>
            <w:pPr>
              <w:pStyle w:val="Compact"/>
              <w:jc w:val="right"/>
            </w:pPr>
            <w:r>
              <w:t xml:space="preserve">6.7102</w:t>
            </w:r>
          </w:p>
        </w:tc>
        <w:tc>
          <w:tcPr/>
          <w:p>
            <w:pPr>
              <w:pStyle w:val="Compact"/>
              <w:jc w:val="right"/>
            </w:pPr>
            <w:r>
              <w:t xml:space="preserve">🔴 +0.02%</w:t>
            </w:r>
          </w:p>
        </w:tc>
        <w:tc>
          <w:tcPr/>
          <w:p>
            <w:pPr>
              <w:pStyle w:val="Compact"/>
            </w:pPr>
            <w:r>
              <w:rPr>
                <w:rFonts w:hint="eastAsia"/>
              </w:rPr>
              <w:t xml:space="preserve">人民币波动有限</w:t>
            </w:r>
          </w:p>
        </w:tc>
      </w:tr>
      <w:tr>
        <w:tc>
          <w:tcPr/>
          <w:p>
            <w:pPr>
              <w:pStyle w:val="Compact"/>
            </w:pPr>
            <w:r>
              <w:rPr>
                <w:rFonts w:hint="eastAsia"/>
              </w:rPr>
              <w:t xml:space="preserve">COMEX黄金</w:t>
            </w:r>
          </w:p>
        </w:tc>
        <w:tc>
          <w:tcPr/>
          <w:p>
            <w:pPr>
              <w:pStyle w:val="Compact"/>
              <w:jc w:val="right"/>
            </w:pPr>
            <w:r>
              <w:t xml:space="preserve">4328.917</w:t>
            </w:r>
          </w:p>
        </w:tc>
        <w:tc>
          <w:tcPr/>
          <w:p>
            <w:pPr>
              <w:pStyle w:val="Compact"/>
              <w:jc w:val="right"/>
            </w:pPr>
            <w:r>
              <w:t xml:space="preserve">🟢 -0.53%</w:t>
            </w:r>
          </w:p>
        </w:tc>
        <w:tc>
          <w:tcPr/>
          <w:p>
            <w:pPr>
              <w:pStyle w:val="Compact"/>
            </w:pPr>
            <w:r>
              <w:rPr>
                <w:rFonts w:hint="eastAsia"/>
              </w:rPr>
              <w:t xml:space="preserve">避险资产未同步走强</w:t>
            </w:r>
          </w:p>
        </w:tc>
      </w:tr>
      <w:tr>
        <w:tc>
          <w:tcPr/>
          <w:p>
            <w:pPr>
              <w:pStyle w:val="Compact"/>
            </w:pPr>
            <w:r>
              <w:rPr>
                <w:rFonts w:hint="eastAsia"/>
              </w:rPr>
              <w:t xml:space="preserve">WTI原油</w:t>
            </w:r>
          </w:p>
        </w:tc>
        <w:tc>
          <w:tcPr/>
          <w:p>
            <w:pPr>
              <w:pStyle w:val="Compact"/>
              <w:jc w:val="right"/>
            </w:pPr>
            <w:r>
              <w:t xml:space="preserve">102.686</w:t>
            </w:r>
          </w:p>
        </w:tc>
        <w:tc>
          <w:tcPr/>
          <w:p>
            <w:pPr>
              <w:pStyle w:val="Compact"/>
              <w:jc w:val="right"/>
            </w:pPr>
            <w:r>
              <w:t xml:space="preserve">🔴 +1.28%</w:t>
            </w:r>
          </w:p>
        </w:tc>
        <w:tc>
          <w:tcPr/>
          <w:p>
            <w:pPr>
              <w:pStyle w:val="Compact"/>
            </w:pPr>
            <w:r>
              <w:rPr>
                <w:rFonts w:hint="eastAsia"/>
              </w:rPr>
              <w:t xml:space="preserve">地缘溢价与输入成本上升</w:t>
            </w:r>
          </w:p>
        </w:tc>
      </w:tr>
      <w:tr>
        <w:tc>
          <w:tcPr/>
          <w:p>
            <w:pPr>
              <w:pStyle w:val="Compact"/>
            </w:pPr>
            <w:r>
              <w:rPr>
                <w:rFonts w:hint="eastAsia"/>
              </w:rPr>
              <w:t xml:space="preserve">伦铜</w:t>
            </w:r>
          </w:p>
        </w:tc>
        <w:tc>
          <w:tcPr/>
          <w:p>
            <w:pPr>
              <w:pStyle w:val="Compact"/>
              <w:jc w:val="right"/>
            </w:pPr>
            <w:r>
              <w:t xml:space="preserve">14004.76</w:t>
            </w:r>
          </w:p>
        </w:tc>
        <w:tc>
          <w:tcPr/>
          <w:p>
            <w:pPr>
              <w:pStyle w:val="Compact"/>
              <w:jc w:val="right"/>
            </w:pPr>
            <w:r>
              <w:t xml:space="preserve">🔴 +0.03%</w:t>
            </w:r>
          </w:p>
        </w:tc>
        <w:tc>
          <w:tcPr/>
          <w:p>
            <w:pPr>
              <w:pStyle w:val="Compact"/>
            </w:pPr>
            <w:r>
              <w:rPr>
                <w:rFonts w:hint="eastAsia"/>
              </w:rPr>
              <w:t xml:space="preserve">工业品风险偏好中性</w:t>
            </w:r>
          </w:p>
        </w:tc>
      </w:tr>
    </w:tbl>
    <w:p>
      <w:pPr>
        <w:pStyle w:val="BodyText"/>
      </w:pPr>
      <w:r>
        <w:rPr>
          <w:rFonts w:hint="eastAsia"/>
        </w:rPr>
        <w:t xml:space="preserve">恒生指数上一交易时段上涨0.45%，但A50期指仅上涨0.02%，港股局部韧性尚不足以抵消美股科技股的外溢压力。</w:t>
      </w:r>
    </w:p>
    <w:p>
      <w:r>
        <w:pict>
          <v:rect style="width:0;height:1.5pt" o:hralign="center" o:hrstd="t" o:hr="t"/>
        </w:pict>
      </w:r>
    </w:p>
    <w:bookmarkEnd w:id="11"/>
    <w:bookmarkEnd w:id="12"/>
    <w:bookmarkStart w:id="23" w:name="新闻联播政策面健康中国智能汽车清洁能源与网安形成政策主轴"/>
    <w:p>
      <w:pPr>
        <w:pStyle w:val="Heading2"/>
      </w:pPr>
      <w:r>
        <w:t xml:space="preserve">📰 </w:t>
      </w:r>
      <w:r>
        <w:rPr>
          <w:rFonts w:hint="eastAsia"/>
        </w:rPr>
        <w:t xml:space="preserve">新闻联播政策面：健康中国、智能汽车、清洁能源与网安形成政策主轴</w:t>
      </w:r>
    </w:p>
    <w:bookmarkStart w:id="13" w:name="健康中国建设进入十五五关键期"/>
    <w:p>
      <w:pPr>
        <w:pStyle w:val="Heading3"/>
      </w:pPr>
      <w:r>
        <w:t xml:space="preserve">🏥 </w:t>
      </w:r>
      <w:r>
        <w:rPr>
          <w:rFonts w:hint="eastAsia"/>
        </w:rPr>
        <w:t xml:space="preserve">健康中国建设进入“十五五”关键期</w:t>
      </w:r>
    </w:p>
    <w:p>
      <w:pPr>
        <w:pStyle w:val="FirstParagraph"/>
      </w:pPr>
      <w:r>
        <w:rPr>
          <w:rFonts w:hint="eastAsia"/>
        </w:rPr>
        <w:t xml:space="preserve">新闻联播披露，我国将实施健康优先发展战略，推动基层医疗卫生服务从“有”向“优”转变：</w:t>
      </w:r>
    </w:p>
    <w:p>
      <w:pPr>
        <w:pStyle w:val="Compact"/>
        <w:numPr>
          <w:ilvl w:val="0"/>
          <w:numId w:val="1002"/>
        </w:numPr>
      </w:pPr>
      <w:r>
        <w:rPr>
          <w:rFonts w:hint="eastAsia"/>
        </w:rPr>
        <w:t xml:space="preserve">全国已有110多万个医疗卫生机构。</w:t>
      </w:r>
    </w:p>
    <w:p>
      <w:pPr>
        <w:pStyle w:val="Compact"/>
        <w:numPr>
          <w:ilvl w:val="0"/>
          <w:numId w:val="1002"/>
        </w:numPr>
      </w:pPr>
      <w:r>
        <w:rPr>
          <w:rFonts w:hint="eastAsia"/>
        </w:rPr>
        <w:t xml:space="preserve">90%以上居民可在15分钟内到达最近的医疗服务点。</w:t>
      </w:r>
    </w:p>
    <w:p>
      <w:pPr>
        <w:pStyle w:val="Compact"/>
        <w:numPr>
          <w:ilvl w:val="0"/>
          <w:numId w:val="1002"/>
        </w:numPr>
      </w:pPr>
      <w:r>
        <w:rPr>
          <w:rFonts w:hint="eastAsia"/>
        </w:rPr>
        <w:t xml:space="preserve">今年将新增1000个可提供儿科诊疗服务的社区卫生服务中心和乡镇卫生院。</w:t>
      </w:r>
    </w:p>
    <w:p>
      <w:pPr>
        <w:pStyle w:val="Compact"/>
        <w:numPr>
          <w:ilvl w:val="0"/>
          <w:numId w:val="1002"/>
        </w:numPr>
      </w:pPr>
      <w:r>
        <w:rPr>
          <w:rFonts w:hint="eastAsia"/>
        </w:rPr>
        <w:t xml:space="preserve">预计年底全国95%以上社区卫生服务中心和乡镇卫生院能够提供儿科诊疗服务。</w:t>
      </w:r>
    </w:p>
    <w:p>
      <w:pPr>
        <w:pStyle w:val="FirstParagraph"/>
      </w:pPr>
      <w:r>
        <w:t xml:space="preserve">📈</w:t>
      </w:r>
      <w:r>
        <w:t xml:space="preserve"> </w:t>
      </w:r>
      <w:r>
        <w:rPr>
          <w:rFonts w:hint="eastAsia"/>
          <w:b/>
          <w:bCs/>
        </w:rPr>
        <w:t xml:space="preserve">A股映射：</w:t>
      </w:r>
    </w:p>
    <w:p>
      <w:pPr>
        <w:pStyle w:val="Compact"/>
        <w:numPr>
          <w:ilvl w:val="0"/>
          <w:numId w:val="1003"/>
        </w:numPr>
      </w:pPr>
      <w:r>
        <w:rPr>
          <w:rFonts w:hint="eastAsia"/>
        </w:rPr>
        <w:t xml:space="preserve">直接受益：基层医疗设备、医疗信息化、儿科诊疗、连锁医疗服务、医药流通。</w:t>
      </w:r>
    </w:p>
    <w:p>
      <w:pPr>
        <w:pStyle w:val="Compact"/>
        <w:numPr>
          <w:ilvl w:val="0"/>
          <w:numId w:val="1003"/>
        </w:numPr>
      </w:pPr>
      <w:r>
        <w:rPr>
          <w:rFonts w:hint="eastAsia"/>
        </w:rPr>
        <w:t xml:space="preserve">中期受益：创新药、CXO、体外诊断、医疗器械和县域医疗基础设施。</w:t>
      </w:r>
    </w:p>
    <w:p>
      <w:pPr>
        <w:pStyle w:val="Compact"/>
        <w:numPr>
          <w:ilvl w:val="0"/>
          <w:numId w:val="1003"/>
        </w:numPr>
      </w:pPr>
      <w:r>
        <w:rPr>
          <w:rFonts w:hint="eastAsia"/>
        </w:rPr>
        <w:t xml:space="preserve">昨日医疗研发外包上涨5.75%、CRO概念上涨4.56%、医疗服务上涨4.09%，医疗服务主力净流入16.36亿元、化学制药净流入5.95亿元，政策与盘面资金方向一致。</w:t>
      </w:r>
    </w:p>
    <w:p>
      <w:pPr>
        <w:pStyle w:val="Compact"/>
        <w:numPr>
          <w:ilvl w:val="0"/>
          <w:numId w:val="1003"/>
        </w:numPr>
      </w:pPr>
      <w:r>
        <w:rPr>
          <w:rFonts w:hint="eastAsia"/>
        </w:rPr>
        <w:t xml:space="preserve">风险在于板块已经形成单日强修复，今日只能等待分歧承接，不能追逐高开。</w:t>
      </w:r>
    </w:p>
    <w:bookmarkEnd w:id="13"/>
    <w:bookmarkStart w:id="14" w:name="四川建设清洁能源强省"/>
    <w:p>
      <w:pPr>
        <w:pStyle w:val="Heading3"/>
      </w:pPr>
      <w:r>
        <w:t xml:space="preserve">⚡ </w:t>
      </w:r>
      <w:r>
        <w:rPr>
          <w:rFonts w:hint="eastAsia"/>
        </w:rPr>
        <w:t xml:space="preserve">四川建设清洁能源强省</w:t>
      </w:r>
    </w:p>
    <w:p>
      <w:pPr>
        <w:pStyle w:val="FirstParagraph"/>
      </w:pPr>
      <w:r>
        <w:rPr>
          <w:rFonts w:hint="eastAsia"/>
        </w:rPr>
        <w:t xml:space="preserve">四川提出加快水风光储氢协同开发：</w:t>
      </w:r>
    </w:p>
    <w:p>
      <w:pPr>
        <w:pStyle w:val="Compact"/>
        <w:numPr>
          <w:ilvl w:val="0"/>
          <w:numId w:val="1004"/>
        </w:numPr>
      </w:pPr>
      <w:r>
        <w:rPr>
          <w:rFonts w:hint="eastAsia"/>
        </w:rPr>
        <w:t xml:space="preserve">水电装机已超过1亿千瓦。</w:t>
      </w:r>
    </w:p>
    <w:p>
      <w:pPr>
        <w:pStyle w:val="Compact"/>
        <w:numPr>
          <w:ilvl w:val="0"/>
          <w:numId w:val="1004"/>
        </w:numPr>
      </w:pPr>
      <w:r>
        <w:rPr>
          <w:rFonts w:hint="eastAsia"/>
        </w:rPr>
        <w:t xml:space="preserve">到2030年，水电和新能源装机分别超过1.1亿千瓦和1亿千瓦。</w:t>
      </w:r>
    </w:p>
    <w:p>
      <w:pPr>
        <w:pStyle w:val="Compact"/>
        <w:numPr>
          <w:ilvl w:val="0"/>
          <w:numId w:val="1004"/>
        </w:numPr>
      </w:pPr>
      <w:r>
        <w:rPr>
          <w:rFonts w:hint="eastAsia"/>
        </w:rPr>
        <w:t xml:space="preserve">计划建成1000万千瓦以上新型储能项目。</w:t>
      </w:r>
    </w:p>
    <w:p>
      <w:pPr>
        <w:pStyle w:val="Compact"/>
        <w:numPr>
          <w:ilvl w:val="0"/>
          <w:numId w:val="1004"/>
        </w:numPr>
      </w:pPr>
      <w:r>
        <w:rPr>
          <w:rFonts w:hint="eastAsia"/>
        </w:rPr>
        <w:t xml:space="preserve">满足5900亿千瓦时以上用电需求。</w:t>
      </w:r>
    </w:p>
    <w:p>
      <w:pPr>
        <w:pStyle w:val="FirstParagraph"/>
      </w:pPr>
      <w:r>
        <w:t xml:space="preserve">📈</w:t>
      </w:r>
      <w:r>
        <w:t xml:space="preserve"> </w:t>
      </w:r>
      <w:r>
        <w:rPr>
          <w:rFonts w:hint="eastAsia"/>
          <w:b/>
          <w:bCs/>
        </w:rPr>
        <w:t xml:space="preserve">A股映射：</w:t>
      </w:r>
    </w:p>
    <w:p>
      <w:pPr>
        <w:pStyle w:val="Compact"/>
        <w:numPr>
          <w:ilvl w:val="0"/>
          <w:numId w:val="1005"/>
        </w:numPr>
      </w:pPr>
      <w:r>
        <w:rPr>
          <w:rFonts w:hint="eastAsia"/>
        </w:rPr>
        <w:t xml:space="preserve">受益链条：水电运营商→特高压与电网设备→储能系统→绿氢→数据中心绿色电力消纳。</w:t>
      </w:r>
    </w:p>
    <w:p>
      <w:pPr>
        <w:pStyle w:val="Compact"/>
        <w:numPr>
          <w:ilvl w:val="0"/>
          <w:numId w:val="1005"/>
        </w:numPr>
      </w:pPr>
      <w:r>
        <w:rPr>
          <w:rFonts w:hint="eastAsia"/>
        </w:rPr>
        <w:t xml:space="preserve">昨日电力行业主力净流入5.02亿元，但电网设备主力净流出11.44亿元，政策利好与短期资金行为并未完全共振。</w:t>
      </w:r>
    </w:p>
    <w:p>
      <w:pPr>
        <w:pStyle w:val="Compact"/>
        <w:numPr>
          <w:ilvl w:val="0"/>
          <w:numId w:val="1005"/>
        </w:numPr>
      </w:pPr>
      <w:r>
        <w:rPr>
          <w:rFonts w:hint="eastAsia"/>
        </w:rPr>
        <w:t xml:space="preserve">今日判断以电力运营和储能承接为先，电网设备只有在资金流由负转正后才可提高优先级。</w:t>
      </w:r>
    </w:p>
    <w:bookmarkEnd w:id="14"/>
    <w:bookmarkStart w:id="15" w:name="金融总量保持合理增长"/>
    <w:p>
      <w:pPr>
        <w:pStyle w:val="Heading3"/>
      </w:pPr>
      <w:r>
        <w:t xml:space="preserve">💳 </w:t>
      </w:r>
      <w:r>
        <w:rPr>
          <w:rFonts w:hint="eastAsia"/>
        </w:rPr>
        <w:t xml:space="preserve">金融总量保持合理增长</w:t>
      </w:r>
    </w:p>
    <w:p>
      <w:pPr>
        <w:pStyle w:val="FirstParagraph"/>
      </w:pPr>
      <w:r>
        <w:rPr>
          <w:rFonts w:hint="eastAsia"/>
        </w:rPr>
        <w:t xml:space="preserve">8月末金融数据包括：</w:t>
      </w:r>
    </w:p>
    <w:p>
      <w:pPr>
        <w:pStyle w:val="Compact"/>
        <w:numPr>
          <w:ilvl w:val="0"/>
          <w:numId w:val="1006"/>
        </w:numPr>
      </w:pPr>
      <w:r>
        <w:rPr>
          <w:rFonts w:hint="eastAsia"/>
        </w:rPr>
        <w:t xml:space="preserve">M2余额356.81万亿元，同比增长7.5%。</w:t>
      </w:r>
    </w:p>
    <w:p>
      <w:pPr>
        <w:pStyle w:val="Compact"/>
        <w:numPr>
          <w:ilvl w:val="0"/>
          <w:numId w:val="1006"/>
        </w:numPr>
      </w:pPr>
      <w:r>
        <w:rPr>
          <w:rFonts w:hint="eastAsia"/>
        </w:rPr>
        <w:t xml:space="preserve">社会融资规模存量464.8万亿元。</w:t>
      </w:r>
    </w:p>
    <w:p>
      <w:pPr>
        <w:pStyle w:val="Compact"/>
        <w:numPr>
          <w:ilvl w:val="0"/>
          <w:numId w:val="1006"/>
        </w:numPr>
      </w:pPr>
      <w:r>
        <w:rPr>
          <w:rFonts w:hint="eastAsia"/>
        </w:rPr>
        <w:t xml:space="preserve">对实体经济发放的人民币贷款余额278.63万亿元，同比增长5%。</w:t>
      </w:r>
    </w:p>
    <w:p>
      <w:pPr>
        <w:pStyle w:val="Compact"/>
        <w:numPr>
          <w:ilvl w:val="0"/>
          <w:numId w:val="1006"/>
        </w:numPr>
      </w:pPr>
      <w:r>
        <w:rPr>
          <w:rFonts w:hint="eastAsia"/>
        </w:rPr>
        <w:t xml:space="preserve">金融“五篇大文章”领域贷款增量占全部贷款增量的比重提高至70%以上。</w:t>
      </w:r>
    </w:p>
    <w:p>
      <w:pPr>
        <w:pStyle w:val="Compact"/>
        <w:numPr>
          <w:ilvl w:val="0"/>
          <w:numId w:val="1006"/>
        </w:numPr>
      </w:pPr>
      <w:r>
        <w:rPr>
          <w:rFonts w:hint="eastAsia"/>
        </w:rPr>
        <w:t xml:space="preserve">8月企业新发放贷款加权平均利率略低于3%，同比下降0.2个百分点。</w:t>
      </w:r>
    </w:p>
    <w:p>
      <w:pPr>
        <w:pStyle w:val="FirstParagraph"/>
      </w:pPr>
      <w:r>
        <w:t xml:space="preserve">📈</w:t>
      </w:r>
      <w:r>
        <w:t xml:space="preserve"> </w:t>
      </w:r>
      <w:r>
        <w:rPr>
          <w:rFonts w:hint="eastAsia"/>
          <w:b/>
          <w:bCs/>
        </w:rPr>
        <w:t xml:space="preserve">A股映射：</w:t>
      </w:r>
    </w:p>
    <w:p>
      <w:pPr>
        <w:pStyle w:val="Compact"/>
        <w:numPr>
          <w:ilvl w:val="0"/>
          <w:numId w:val="1007"/>
        </w:numPr>
      </w:pPr>
      <w:r>
        <w:rPr>
          <w:rFonts w:hint="eastAsia"/>
        </w:rPr>
        <w:t xml:space="preserve">科技金融、绿色金融、普惠金融和数字金融继续获得结构性信用支持。</w:t>
      </w:r>
    </w:p>
    <w:p>
      <w:pPr>
        <w:pStyle w:val="Compact"/>
        <w:numPr>
          <w:ilvl w:val="0"/>
          <w:numId w:val="1007"/>
        </w:numPr>
      </w:pPr>
      <w:r>
        <w:rPr>
          <w:rFonts w:hint="eastAsia"/>
        </w:rPr>
        <w:t xml:space="preserve">对科技创新、绿色转型、先进制造构成中期基本面支撑。</w:t>
      </w:r>
    </w:p>
    <w:p>
      <w:pPr>
        <w:pStyle w:val="Compact"/>
        <w:numPr>
          <w:ilvl w:val="0"/>
          <w:numId w:val="1007"/>
        </w:numPr>
      </w:pPr>
      <w:r>
        <w:rPr>
          <w:rFonts w:hint="eastAsia"/>
        </w:rPr>
        <w:t xml:space="preserve">但昨日银行Ⅱ主力净流出8.47亿元，说明宽信用信号尚未转化为银行板块交易性增量资金。</w:t>
      </w:r>
    </w:p>
    <w:p>
      <w:pPr>
        <w:pStyle w:val="Compact"/>
        <w:numPr>
          <w:ilvl w:val="0"/>
          <w:numId w:val="1007"/>
        </w:numPr>
      </w:pPr>
      <w:r>
        <w:rPr>
          <w:rFonts w:hint="eastAsia"/>
        </w:rPr>
        <w:t xml:space="preserve">金融数据偏结构性利好，不宜直接推导为指数全面上涨。</w:t>
      </w:r>
    </w:p>
    <w:bookmarkEnd w:id="15"/>
    <w:bookmarkStart w:id="16" w:name="多部门治理中小企业回款难"/>
    <w:p>
      <w:pPr>
        <w:pStyle w:val="Heading3"/>
      </w:pPr>
      <w:r>
        <w:t xml:space="preserve">🧾 </w:t>
      </w:r>
      <w:r>
        <w:rPr>
          <w:rFonts w:hint="eastAsia"/>
        </w:rPr>
        <w:t xml:space="preserve">多部门治理中小企业回款难</w:t>
      </w:r>
    </w:p>
    <w:p>
      <w:pPr>
        <w:pStyle w:val="FirstParagraph"/>
      </w:pPr>
      <w:r>
        <w:rPr>
          <w:rFonts w:hint="eastAsia"/>
        </w:rPr>
        <w:t xml:space="preserve">政策提出：</w:t>
      </w:r>
    </w:p>
    <w:p>
      <w:pPr>
        <w:pStyle w:val="Compact"/>
        <w:numPr>
          <w:ilvl w:val="0"/>
          <w:numId w:val="1008"/>
        </w:numPr>
      </w:pPr>
      <w:r>
        <w:rPr>
          <w:rFonts w:hint="eastAsia"/>
        </w:rPr>
        <w:t xml:space="preserve">分行业明确合理账期。</w:t>
      </w:r>
    </w:p>
    <w:p>
      <w:pPr>
        <w:pStyle w:val="Compact"/>
        <w:numPr>
          <w:ilvl w:val="0"/>
          <w:numId w:val="1008"/>
        </w:numPr>
      </w:pPr>
      <w:r>
        <w:rPr>
          <w:rFonts w:hint="eastAsia"/>
        </w:rPr>
        <w:t xml:space="preserve">引导龙头企业践行“60日付现承诺”。</w:t>
      </w:r>
    </w:p>
    <w:p>
      <w:pPr>
        <w:pStyle w:val="Compact"/>
        <w:numPr>
          <w:ilvl w:val="0"/>
          <w:numId w:val="1008"/>
        </w:numPr>
      </w:pPr>
      <w:r>
        <w:rPr>
          <w:rFonts w:hint="eastAsia"/>
        </w:rPr>
        <w:t xml:space="preserve">应收账款电子凭证最长付款期限压减至6个月。</w:t>
      </w:r>
    </w:p>
    <w:p>
      <w:pPr>
        <w:pStyle w:val="Compact"/>
        <w:numPr>
          <w:ilvl w:val="0"/>
          <w:numId w:val="1008"/>
        </w:numPr>
      </w:pPr>
      <w:r>
        <w:rPr>
          <w:rFonts w:hint="eastAsia"/>
        </w:rPr>
        <w:t xml:space="preserve">支持大型企业通过贷款、发债置换应付账款，向上下游中小企业及时支付现金。</w:t>
      </w:r>
    </w:p>
    <w:p>
      <w:pPr>
        <w:pStyle w:val="FirstParagraph"/>
      </w:pPr>
      <w:r>
        <w:t xml:space="preserve">📈</w:t>
      </w:r>
      <w:r>
        <w:t xml:space="preserve"> </w:t>
      </w:r>
      <w:r>
        <w:rPr>
          <w:rFonts w:hint="eastAsia"/>
          <w:b/>
          <w:bCs/>
        </w:rPr>
        <w:t xml:space="preserve">A股映射：</w:t>
      </w:r>
    </w:p>
    <w:p>
      <w:pPr>
        <w:pStyle w:val="Compact"/>
        <w:numPr>
          <w:ilvl w:val="0"/>
          <w:numId w:val="1009"/>
        </w:numPr>
      </w:pPr>
      <w:r>
        <w:rPr>
          <w:rFonts w:hint="eastAsia"/>
        </w:rPr>
        <w:t xml:space="preserve">利好现金流长期被大客户占用的专精特新、设备制造、软件服务和工程配套企业。</w:t>
      </w:r>
    </w:p>
    <w:p>
      <w:pPr>
        <w:pStyle w:val="Compact"/>
        <w:numPr>
          <w:ilvl w:val="0"/>
          <w:numId w:val="1009"/>
        </w:numPr>
      </w:pPr>
      <w:r>
        <w:rPr>
          <w:rFonts w:hint="eastAsia"/>
        </w:rPr>
        <w:t xml:space="preserve">利好供应链金融、应收账款管理及企业数字化服务。</w:t>
      </w:r>
    </w:p>
    <w:p>
      <w:pPr>
        <w:pStyle w:val="Compact"/>
        <w:numPr>
          <w:ilvl w:val="0"/>
          <w:numId w:val="1009"/>
        </w:numPr>
      </w:pPr>
      <w:r>
        <w:rPr>
          <w:rFonts w:hint="eastAsia"/>
        </w:rPr>
        <w:t xml:space="preserve">同时对依赖拉长账期维持现金流的大型企业形成约束。</w:t>
      </w:r>
    </w:p>
    <w:p>
      <w:pPr>
        <w:pStyle w:val="Compact"/>
        <w:numPr>
          <w:ilvl w:val="0"/>
          <w:numId w:val="1009"/>
        </w:numPr>
      </w:pPr>
      <w:r>
        <w:rPr>
          <w:rFonts w:hint="eastAsia"/>
        </w:rPr>
        <w:t xml:space="preserve">选股时应优先考察经营现金流、应收账款周转和客户集中度，不能只看利润同比增长。</w:t>
      </w:r>
    </w:p>
    <w:bookmarkEnd w:id="16"/>
    <w:bookmarkStart w:id="17" w:name="智能网联新能源汽车十五五规划发布"/>
    <w:p>
      <w:pPr>
        <w:pStyle w:val="Heading3"/>
      </w:pPr>
      <w:r>
        <w:t xml:space="preserve">🚗 </w:t>
      </w:r>
      <w:r>
        <w:rPr>
          <w:rFonts w:hint="eastAsia"/>
        </w:rPr>
        <w:t xml:space="preserve">智能网联新能源汽车“十五五”规划发布</w:t>
      </w:r>
    </w:p>
    <w:p>
      <w:pPr>
        <w:pStyle w:val="FirstParagraph"/>
      </w:pPr>
      <w:r>
        <w:rPr>
          <w:rFonts w:hint="eastAsia"/>
        </w:rPr>
        <w:t xml:space="preserve">规划提出到2030年：</w:t>
      </w:r>
    </w:p>
    <w:p>
      <w:pPr>
        <w:pStyle w:val="Compact"/>
        <w:numPr>
          <w:ilvl w:val="0"/>
          <w:numId w:val="1010"/>
        </w:numPr>
      </w:pPr>
      <w:r>
        <w:rPr>
          <w:rFonts w:hint="eastAsia"/>
        </w:rPr>
        <w:t xml:space="preserve">新能源乘用车新车销量占比达到70%。</w:t>
      </w:r>
    </w:p>
    <w:p>
      <w:pPr>
        <w:pStyle w:val="Compact"/>
        <w:numPr>
          <w:ilvl w:val="0"/>
          <w:numId w:val="1010"/>
        </w:numPr>
      </w:pPr>
      <w:r>
        <w:rPr>
          <w:rFonts w:hint="eastAsia"/>
        </w:rPr>
        <w:t xml:space="preserve">新能源商用车新车销量占比达到40%。</w:t>
      </w:r>
    </w:p>
    <w:p>
      <w:pPr>
        <w:pStyle w:val="Compact"/>
        <w:numPr>
          <w:ilvl w:val="0"/>
          <w:numId w:val="1010"/>
        </w:numPr>
      </w:pPr>
      <w:r>
        <w:rPr>
          <w:rFonts w:hint="eastAsia"/>
        </w:rPr>
        <w:t xml:space="preserve">具备自动驾驶功能的汽车实现规模应用。</w:t>
      </w:r>
    </w:p>
    <w:p>
      <w:pPr>
        <w:pStyle w:val="Compact"/>
        <w:numPr>
          <w:ilvl w:val="0"/>
          <w:numId w:val="1010"/>
        </w:numPr>
      </w:pPr>
      <w:r>
        <w:rPr>
          <w:rFonts w:hint="eastAsia"/>
        </w:rPr>
        <w:t xml:space="preserve">在高速公路、城市快速路及部分城市道路实现高度自动驾驶。</w:t>
      </w:r>
    </w:p>
    <w:p>
      <w:pPr>
        <w:pStyle w:val="Compact"/>
        <w:numPr>
          <w:ilvl w:val="0"/>
          <w:numId w:val="1010"/>
        </w:numPr>
      </w:pPr>
      <w:r>
        <w:rPr>
          <w:rFonts w:hint="eastAsia"/>
        </w:rPr>
        <w:t xml:space="preserve">培育若干家全球销量前十整车企业和全球百强零部件企业。</w:t>
      </w:r>
    </w:p>
    <w:p>
      <w:pPr>
        <w:pStyle w:val="FirstParagraph"/>
      </w:pPr>
      <w:r>
        <w:t xml:space="preserve">📈</w:t>
      </w:r>
      <w:r>
        <w:t xml:space="preserve"> </w:t>
      </w:r>
      <w:r>
        <w:rPr>
          <w:rFonts w:hint="eastAsia"/>
          <w:b/>
          <w:bCs/>
        </w:rPr>
        <w:t xml:space="preserve">A股映射：</w:t>
      </w:r>
    </w:p>
    <w:p>
      <w:pPr>
        <w:pStyle w:val="Compact"/>
        <w:numPr>
          <w:ilvl w:val="0"/>
          <w:numId w:val="1011"/>
        </w:numPr>
      </w:pPr>
      <w:r>
        <w:rPr>
          <w:rFonts w:hint="eastAsia"/>
        </w:rPr>
        <w:t xml:space="preserve">核心链条：智能驾驶芯片、域控制器、激光雷达、车载连接器、汽车软件、线控底盘和新能源汽车整车。</w:t>
      </w:r>
    </w:p>
    <w:p>
      <w:pPr>
        <w:pStyle w:val="Compact"/>
        <w:numPr>
          <w:ilvl w:val="0"/>
          <w:numId w:val="1011"/>
        </w:numPr>
      </w:pPr>
      <w:r>
        <w:rPr>
          <w:rFonts w:hint="eastAsia"/>
        </w:rPr>
        <w:t xml:space="preserve">昨日商用载客车上涨3.87%、综合乘用车上涨3.11%，政策与板块强度形成共振。</w:t>
      </w:r>
    </w:p>
    <w:p>
      <w:pPr>
        <w:pStyle w:val="Compact"/>
        <w:numPr>
          <w:ilvl w:val="0"/>
          <w:numId w:val="1011"/>
        </w:numPr>
      </w:pPr>
      <w:r>
        <w:rPr>
          <w:rFonts w:hint="eastAsia"/>
        </w:rPr>
        <w:t xml:space="preserve">宁德时代昨日上涨2.00%，但TickFlow评级为D，收盘仍处MA20和MA60下方，产业利好不等于右侧买点。</w:t>
      </w:r>
    </w:p>
    <w:p>
      <w:pPr>
        <w:pStyle w:val="Compact"/>
        <w:numPr>
          <w:ilvl w:val="0"/>
          <w:numId w:val="1011"/>
        </w:numPr>
      </w:pPr>
      <w:r>
        <w:rPr>
          <w:rFonts w:hint="eastAsia"/>
        </w:rPr>
        <w:t xml:space="preserve">广汽集团因筹划重大资产重组停牌，不具备盘中交易条件。</w:t>
      </w:r>
    </w:p>
    <w:bookmarkEnd w:id="17"/>
    <w:bookmarkStart w:id="18" w:name="国家网络安全宣传周启动"/>
    <w:p>
      <w:pPr>
        <w:pStyle w:val="Heading3"/>
      </w:pPr>
      <w:r>
        <w:t xml:space="preserve">🔐 </w:t>
      </w:r>
      <w:r>
        <w:rPr>
          <w:rFonts w:hint="eastAsia"/>
        </w:rPr>
        <w:t xml:space="preserve">国家网络安全宣传周启动</w:t>
      </w:r>
    </w:p>
    <w:p>
      <w:pPr>
        <w:pStyle w:val="FirstParagraph"/>
      </w:pPr>
      <w:r>
        <w:rPr>
          <w:rFonts w:hint="eastAsia"/>
        </w:rPr>
        <w:t xml:space="preserve">本届主题为“智能时代网安护航”，并发布《人工智能安全治理框架》3.0等成果。</w:t>
      </w:r>
    </w:p>
    <w:p>
      <w:pPr>
        <w:pStyle w:val="BodyText"/>
      </w:pPr>
      <w:r>
        <w:t xml:space="preserve">📈</w:t>
      </w:r>
      <w:r>
        <w:t xml:space="preserve"> </w:t>
      </w:r>
      <w:r>
        <w:rPr>
          <w:rFonts w:hint="eastAsia"/>
          <w:b/>
          <w:bCs/>
        </w:rPr>
        <w:t xml:space="preserve">A股映射：</w:t>
      </w:r>
    </w:p>
    <w:p>
      <w:pPr>
        <w:pStyle w:val="Compact"/>
        <w:numPr>
          <w:ilvl w:val="0"/>
          <w:numId w:val="1012"/>
        </w:numPr>
      </w:pPr>
      <w:r>
        <w:rPr>
          <w:rFonts w:hint="eastAsia"/>
        </w:rPr>
        <w:t xml:space="preserve">直接受益：网络安全、数据安全、身份认证、密码安全、AI内容治理。</w:t>
      </w:r>
    </w:p>
    <w:p>
      <w:pPr>
        <w:pStyle w:val="Compact"/>
        <w:numPr>
          <w:ilvl w:val="0"/>
          <w:numId w:val="1012"/>
        </w:numPr>
      </w:pPr>
      <w:r>
        <w:rPr>
          <w:rFonts w:hint="eastAsia"/>
        </w:rPr>
        <w:t xml:space="preserve">昨日网络安全板块上涨3.58%、软件开发主力净流入6.38亿元，政策、价格与资金初步同向。</w:t>
      </w:r>
    </w:p>
    <w:p>
      <w:pPr>
        <w:pStyle w:val="Compact"/>
        <w:numPr>
          <w:ilvl w:val="0"/>
          <w:numId w:val="1012"/>
        </w:numPr>
      </w:pPr>
      <w:r>
        <w:rPr>
          <w:rFonts w:hint="eastAsia"/>
        </w:rPr>
        <w:t xml:space="preserve">但今日若大幅高开且成交额不能同步增加，应防止注意力交易和FOMO追涨。</w:t>
      </w:r>
    </w:p>
    <w:bookmarkEnd w:id="18"/>
    <w:bookmarkStart w:id="19" w:name="八部门促进智能家居消费"/>
    <w:p>
      <w:pPr>
        <w:pStyle w:val="Heading3"/>
      </w:pPr>
      <w:r>
        <w:t xml:space="preserve">🏠 </w:t>
      </w:r>
      <w:r>
        <w:rPr>
          <w:rFonts w:hint="eastAsia"/>
        </w:rPr>
        <w:t xml:space="preserve">八部门促进智能家居消费</w:t>
      </w:r>
    </w:p>
    <w:p>
      <w:pPr>
        <w:pStyle w:val="FirstParagraph"/>
      </w:pPr>
      <w:r>
        <w:rPr>
          <w:rFonts w:hint="eastAsia"/>
        </w:rPr>
        <w:t xml:space="preserve">政策从扩大优质供给、完善标准、畅通废旧回收等七方面推动智能家居消费。</w:t>
      </w:r>
    </w:p>
    <w:p>
      <w:pPr>
        <w:pStyle w:val="BodyText"/>
      </w:pPr>
      <w:r>
        <w:t xml:space="preserve">📈</w:t>
      </w:r>
      <w:r>
        <w:t xml:space="preserve"> </w:t>
      </w:r>
      <w:r>
        <w:rPr>
          <w:rFonts w:hint="eastAsia"/>
          <w:b/>
          <w:bCs/>
        </w:rPr>
        <w:t xml:space="preserve">A股映射：</w:t>
      </w:r>
    </w:p>
    <w:p>
      <w:pPr>
        <w:pStyle w:val="Compact"/>
        <w:numPr>
          <w:ilvl w:val="0"/>
          <w:numId w:val="1013"/>
        </w:numPr>
      </w:pPr>
      <w:r>
        <w:rPr>
          <w:rFonts w:hint="eastAsia"/>
        </w:rPr>
        <w:t xml:space="preserve">受益方向：智能控制器、物联网模组、家电芯片、传感器、消费电子零部件和家居渠道。</w:t>
      </w:r>
    </w:p>
    <w:p>
      <w:pPr>
        <w:pStyle w:val="Compact"/>
        <w:numPr>
          <w:ilvl w:val="0"/>
          <w:numId w:val="1013"/>
        </w:numPr>
      </w:pPr>
      <w:r>
        <w:rPr>
          <w:rFonts w:hint="eastAsia"/>
        </w:rPr>
        <w:t xml:space="preserve">昨日消费电子主力净流出23.82亿元，资金面暂时逆风。</w:t>
      </w:r>
    </w:p>
    <w:p>
      <w:pPr>
        <w:pStyle w:val="Compact"/>
        <w:numPr>
          <w:ilvl w:val="0"/>
          <w:numId w:val="1013"/>
        </w:numPr>
      </w:pPr>
      <w:r>
        <w:rPr>
          <w:rFonts w:hint="eastAsia"/>
        </w:rPr>
        <w:t xml:space="preserve">今日只有出现板块资金回流、核心股放量站稳关键均线，才能确认政策催化转化为交易主线。</w:t>
      </w:r>
    </w:p>
    <w:bookmarkEnd w:id="19"/>
    <w:bookmarkStart w:id="20" w:name="秋粮农业保险与县域消费"/>
    <w:p>
      <w:pPr>
        <w:pStyle w:val="Heading3"/>
      </w:pPr>
      <w:r>
        <w:t xml:space="preserve">🌾 </w:t>
      </w:r>
      <w:r>
        <w:rPr>
          <w:rFonts w:hint="eastAsia"/>
        </w:rPr>
        <w:t xml:space="preserve">秋粮、农业保险与县域消费</w:t>
      </w:r>
    </w:p>
    <w:p>
      <w:pPr>
        <w:pStyle w:val="FirstParagraph"/>
      </w:pPr>
      <w:r>
        <w:rPr>
          <w:rFonts w:hint="eastAsia"/>
        </w:rPr>
        <w:t xml:space="preserve">政策信号包括：</w:t>
      </w:r>
    </w:p>
    <w:p>
      <w:pPr>
        <w:pStyle w:val="Compact"/>
        <w:numPr>
          <w:ilvl w:val="0"/>
          <w:numId w:val="1014"/>
        </w:numPr>
      </w:pPr>
      <w:r>
        <w:rPr>
          <w:rFonts w:hint="eastAsia"/>
        </w:rPr>
        <w:t xml:space="preserve">秋粮进入产量形成关键期，智能监测、绿色防控和无人机管护加速应用。</w:t>
      </w:r>
    </w:p>
    <w:p>
      <w:pPr>
        <w:pStyle w:val="Compact"/>
        <w:numPr>
          <w:ilvl w:val="0"/>
          <w:numId w:val="1014"/>
        </w:numPr>
      </w:pPr>
      <w:r>
        <w:rPr>
          <w:rFonts w:hint="eastAsia"/>
        </w:rPr>
        <w:t xml:space="preserve">到2030年，稻谷、小麦、玉米三大粮食作物农业保险覆盖率稳定在90%左右。</w:t>
      </w:r>
    </w:p>
    <w:p>
      <w:pPr>
        <w:pStyle w:val="Compact"/>
        <w:numPr>
          <w:ilvl w:val="0"/>
          <w:numId w:val="1014"/>
        </w:numPr>
      </w:pPr>
      <w:r>
        <w:rPr>
          <w:rFonts w:hint="eastAsia"/>
        </w:rPr>
        <w:t xml:space="preserve">全国已建设改造3159个县城综合商贸服务中心、1.5万个乡镇商贸中心和16.8万个村级便民商店。</w:t>
      </w:r>
    </w:p>
    <w:p>
      <w:pPr>
        <w:pStyle w:val="Compact"/>
        <w:numPr>
          <w:ilvl w:val="0"/>
          <w:numId w:val="1014"/>
        </w:numPr>
      </w:pPr>
      <w:r>
        <w:rPr>
          <w:rFonts w:hint="eastAsia"/>
        </w:rPr>
        <w:t xml:space="preserve">累计升级改造县乡物流配送网点3600多个，每天超过1亿件包裹在城乡间流转。</w:t>
      </w:r>
    </w:p>
    <w:p>
      <w:pPr>
        <w:pStyle w:val="FirstParagraph"/>
      </w:pPr>
      <w:r>
        <w:t xml:space="preserve">📈</w:t>
      </w:r>
      <w:r>
        <w:t xml:space="preserve"> </w:t>
      </w:r>
      <w:r>
        <w:rPr>
          <w:rFonts w:hint="eastAsia"/>
          <w:b/>
          <w:bCs/>
        </w:rPr>
        <w:t xml:space="preserve">A股映射：</w:t>
      </w:r>
    </w:p>
    <w:p>
      <w:pPr>
        <w:pStyle w:val="Compact"/>
        <w:numPr>
          <w:ilvl w:val="0"/>
          <w:numId w:val="1015"/>
        </w:numPr>
      </w:pPr>
      <w:r>
        <w:rPr>
          <w:rFonts w:hint="eastAsia"/>
        </w:rPr>
        <w:t xml:space="preserve">农业方向：农业信息化、植保无人机、种业、农险和农资服务。</w:t>
      </w:r>
    </w:p>
    <w:p>
      <w:pPr>
        <w:pStyle w:val="Compact"/>
        <w:numPr>
          <w:ilvl w:val="0"/>
          <w:numId w:val="1015"/>
        </w:numPr>
      </w:pPr>
      <w:r>
        <w:rPr>
          <w:rFonts w:hint="eastAsia"/>
        </w:rPr>
        <w:t xml:space="preserve">县域方向：物流配送、零售渠道、下沉市场家电与消费服务。</w:t>
      </w:r>
    </w:p>
    <w:p>
      <w:pPr>
        <w:pStyle w:val="Compact"/>
        <w:numPr>
          <w:ilvl w:val="0"/>
          <w:numId w:val="1015"/>
        </w:numPr>
      </w:pPr>
      <w:r>
        <w:rPr>
          <w:rFonts w:hint="eastAsia"/>
        </w:rPr>
        <w:t xml:space="preserve">这些方向具备政策持续性，但目前采集数据未显示其进入主力资金流入前十，暂按观察型催化处理。</w:t>
      </w:r>
    </w:p>
    <w:bookmarkEnd w:id="20"/>
    <w:bookmarkStart w:id="21" w:name="金砖合作与全球南方"/>
    <w:p>
      <w:pPr>
        <w:pStyle w:val="Heading3"/>
      </w:pPr>
      <w:r>
        <w:t xml:space="preserve">🌐 </w:t>
      </w:r>
      <w:r>
        <w:rPr>
          <w:rFonts w:hint="eastAsia"/>
        </w:rPr>
        <w:t xml:space="preserve">金砖合作与全球南方</w:t>
      </w:r>
    </w:p>
    <w:p>
      <w:pPr>
        <w:pStyle w:val="FirstParagraph"/>
      </w:pPr>
      <w:r>
        <w:rPr>
          <w:rFonts w:hint="eastAsia"/>
        </w:rPr>
        <w:t xml:space="preserve">金砖合作强调创新发展、多边主义、人工智能公共产品和全球南方合作，中印双方同意加强互利合作并维护边境和平。</w:t>
      </w:r>
    </w:p>
    <w:p>
      <w:pPr>
        <w:pStyle w:val="BodyText"/>
      </w:pPr>
      <w:r>
        <w:t xml:space="preserve">📈</w:t>
      </w:r>
      <w:r>
        <w:t xml:space="preserve"> </w:t>
      </w:r>
      <w:r>
        <w:rPr>
          <w:rFonts w:hint="eastAsia"/>
          <w:b/>
          <w:bCs/>
        </w:rPr>
        <w:t xml:space="preserve">A股映射：</w:t>
      </w:r>
    </w:p>
    <w:p>
      <w:pPr>
        <w:pStyle w:val="Compact"/>
        <w:numPr>
          <w:ilvl w:val="0"/>
          <w:numId w:val="1016"/>
        </w:numPr>
      </w:pPr>
      <w:r>
        <w:rPr>
          <w:rFonts w:hint="eastAsia"/>
        </w:rPr>
        <w:t xml:space="preserve">中长期利好跨境基础设施、数字经济、通信设备、工程机械和中国—全球南方贸易链。</w:t>
      </w:r>
    </w:p>
    <w:p>
      <w:pPr>
        <w:pStyle w:val="Compact"/>
        <w:numPr>
          <w:ilvl w:val="0"/>
          <w:numId w:val="1016"/>
        </w:numPr>
      </w:pPr>
      <w:r>
        <w:rPr>
          <w:rFonts w:hint="eastAsia"/>
        </w:rPr>
        <w:t xml:space="preserve">中印关系改善有助于降低区域风险溢价，但短期尚无采集数据证明相关板块形成资金主线。</w:t>
      </w:r>
    </w:p>
    <w:p>
      <w:pPr>
        <w:pStyle w:val="Compact"/>
        <w:numPr>
          <w:ilvl w:val="0"/>
          <w:numId w:val="1016"/>
        </w:numPr>
      </w:pPr>
      <w:r>
        <w:rPr>
          <w:rFonts w:hint="eastAsia"/>
        </w:rPr>
        <w:t xml:space="preserve">9月17日至21日中国—东盟博览会举行，可关注广西区域贸易、跨境物流和东盟产业链催化。</w:t>
      </w:r>
    </w:p>
    <w:bookmarkEnd w:id="21"/>
    <w:bookmarkStart w:id="22" w:name="安全生产与船舶产业风险"/>
    <w:p>
      <w:pPr>
        <w:pStyle w:val="Heading3"/>
      </w:pPr>
      <w:r>
        <w:t xml:space="preserve">⚠️ </w:t>
      </w:r>
      <w:r>
        <w:rPr>
          <w:rFonts w:hint="eastAsia"/>
        </w:rPr>
        <w:t xml:space="preserve">安全生产与船舶产业风险</w:t>
      </w:r>
    </w:p>
    <w:p>
      <w:pPr>
        <w:pStyle w:val="FirstParagraph"/>
      </w:pPr>
      <w:r>
        <w:rPr>
          <w:rFonts w:hint="eastAsia"/>
        </w:rPr>
        <w:t xml:space="preserve">国务院对青岛北海造船重大火灾事故提级调查，并要求危化、矿山、工贸、交通运输、建筑施工、特种设备等领域排查隐患。</w:t>
      </w:r>
    </w:p>
    <w:p>
      <w:pPr>
        <w:pStyle w:val="BodyText"/>
      </w:pPr>
      <w:r>
        <w:t xml:space="preserve">📉</w:t>
      </w:r>
      <w:r>
        <w:t xml:space="preserve"> </w:t>
      </w:r>
      <w:r>
        <w:rPr>
          <w:rFonts w:hint="eastAsia"/>
          <w:b/>
          <w:bCs/>
        </w:rPr>
        <w:t xml:space="preserve">A股映射：</w:t>
      </w:r>
    </w:p>
    <w:p>
      <w:pPr>
        <w:pStyle w:val="Compact"/>
        <w:numPr>
          <w:ilvl w:val="0"/>
          <w:numId w:val="1017"/>
        </w:numPr>
      </w:pPr>
      <w:r>
        <w:rPr>
          <w:rFonts w:hint="eastAsia"/>
        </w:rPr>
        <w:t xml:space="preserve">船舶修造、危化工和高风险工业企业面临安全检查、停工整改和成本上升风险。</w:t>
      </w:r>
    </w:p>
    <w:p>
      <w:pPr>
        <w:pStyle w:val="Compact"/>
        <w:numPr>
          <w:ilvl w:val="0"/>
          <w:numId w:val="1017"/>
        </w:numPr>
      </w:pPr>
      <w:r>
        <w:rPr>
          <w:rFonts w:hint="eastAsia"/>
        </w:rPr>
        <w:t xml:space="preserve">昨日航海装备Ⅱ主力净流出9.88亿元、航空装备Ⅱ净流出10.28亿元。</w:t>
      </w:r>
    </w:p>
    <w:p>
      <w:pPr>
        <w:pStyle w:val="Compact"/>
        <w:numPr>
          <w:ilvl w:val="0"/>
          <w:numId w:val="1017"/>
        </w:numPr>
      </w:pPr>
      <w:r>
        <w:rPr>
          <w:rFonts w:hint="eastAsia"/>
        </w:rPr>
        <w:t xml:space="preserve">短线应回避事故关联度高、近期涨幅较大且安全生产信息披露不足的企业。</w:t>
      </w:r>
    </w:p>
    <w:p>
      <w:pPr>
        <w:pStyle w:val="Compact"/>
        <w:numPr>
          <w:ilvl w:val="0"/>
          <w:numId w:val="1017"/>
        </w:numPr>
      </w:pPr>
      <w:r>
        <w:rPr>
          <w:rFonts w:hint="eastAsia"/>
        </w:rPr>
        <w:t xml:space="preserve">工业安全监测、消防设备和危险源数字化管理存在结构性需求，但没有资金确认前只观察。</w:t>
      </w:r>
    </w:p>
    <w:p>
      <w:r>
        <w:pict>
          <v:rect style="width:0;height:1.5pt" o:hralign="center" o:hrstd="t" o:hr="t"/>
        </w:pict>
      </w:r>
    </w:p>
    <w:bookmarkEnd w:id="22"/>
    <w:bookmarkEnd w:id="23"/>
    <w:bookmarkStart w:id="26" w:name="今日公告重组复牌减持与回购并存"/>
    <w:p>
      <w:pPr>
        <w:pStyle w:val="Heading2"/>
      </w:pPr>
      <w:r>
        <w:t xml:space="preserve">📢 </w:t>
      </w:r>
      <w:r>
        <w:rPr>
          <w:rFonts w:hint="eastAsia"/>
        </w:rPr>
        <w:t xml:space="preserve">今日公告：重组、复牌、减持与回购并存</w:t>
      </w:r>
    </w:p>
    <w:p>
      <w:pPr>
        <w:pStyle w:val="FirstParagraph"/>
      </w:pPr>
      <w:r>
        <w:rPr>
          <w:rFonts w:hint="eastAsia"/>
        </w:rPr>
        <w:t xml:space="preserve">公告常规接口出现HTTP</w:t>
      </w:r>
      <w:r>
        <w:t xml:space="preserve"> </w:t>
      </w:r>
      <w:r>
        <w:rPr>
          <w:rFonts w:hint="eastAsia"/>
        </w:rPr>
        <w:t xml:space="preserve">567，采集器已通过巨潮资讯历史公告官方接口完成沪深两市全量回退抓取，共取得1396条公告，来源仍为巨潮资讯官方公告。</w:t>
      </w:r>
    </w:p>
    <w:bookmarkStart w:id="24" w:name="重点事项"/>
    <w:p>
      <w:pPr>
        <w:pStyle w:val="Heading3"/>
      </w:pPr>
      <w:r>
        <w:t xml:space="preserve">📈 </w:t>
      </w:r>
      <w:r>
        <w:rPr>
          <w:rFonts w:hint="eastAsia"/>
        </w:rPr>
        <w:t xml:space="preserve">重点事项</w:t>
      </w:r>
    </w:p>
    <w:p>
      <w:pPr>
        <w:pStyle w:val="Compact"/>
        <w:numPr>
          <w:ilvl w:val="0"/>
          <w:numId w:val="1018"/>
        </w:numPr>
      </w:pPr>
      <w:r>
        <w:rPr>
          <w:rFonts w:hint="eastAsia"/>
          <w:b/>
          <w:bCs/>
        </w:rPr>
        <w:t xml:space="preserve">广汽集团（601238）</w:t>
      </w:r>
      <w:r>
        <w:rPr>
          <w:rFonts w:hint="eastAsia"/>
        </w:rPr>
        <w:t xml:space="preserve">：筹划重大资产重组事项，股票停牌。汽车产业政策与重组预期叠加，但停牌期间不可交易。</w:t>
      </w:r>
    </w:p>
    <w:p>
      <w:pPr>
        <w:pStyle w:val="Compact"/>
        <w:numPr>
          <w:ilvl w:val="0"/>
          <w:numId w:val="1018"/>
        </w:numPr>
      </w:pPr>
      <w:r>
        <w:rPr>
          <w:rFonts w:hint="eastAsia"/>
          <w:b/>
          <w:bCs/>
        </w:rPr>
        <w:t xml:space="preserve">香山股份（002870）</w:t>
      </w:r>
      <w:r>
        <w:rPr>
          <w:rFonts w:hint="eastAsia"/>
        </w:rPr>
        <w:t xml:space="preserve">：披露重组预案并提示复牌，拟收购武珞智慧100%股权，交易总对价暂定8亿元，新增AI算力设备业务。复牌后重点防范高开兑现和估值锚定。</w:t>
      </w:r>
    </w:p>
    <w:p>
      <w:pPr>
        <w:pStyle w:val="Compact"/>
        <w:numPr>
          <w:ilvl w:val="0"/>
          <w:numId w:val="1018"/>
        </w:numPr>
      </w:pPr>
      <w:r>
        <w:rPr>
          <w:rFonts w:hint="eastAsia"/>
          <w:b/>
          <w:bCs/>
        </w:rPr>
        <w:t xml:space="preserve">威高血净（603014）</w:t>
      </w:r>
      <w:r>
        <w:rPr>
          <w:rFonts w:hint="eastAsia"/>
        </w:rPr>
        <w:t xml:space="preserve">：发行股份购买资产暨关联交易之标的资产过户完成，属于重组实质进展。</w:t>
      </w:r>
    </w:p>
    <w:p>
      <w:pPr>
        <w:pStyle w:val="Compact"/>
        <w:numPr>
          <w:ilvl w:val="0"/>
          <w:numId w:val="1018"/>
        </w:numPr>
      </w:pPr>
      <w:r>
        <w:rPr>
          <w:rFonts w:hint="eastAsia"/>
          <w:b/>
          <w:bCs/>
        </w:rPr>
        <w:t xml:space="preserve">中国中冶（601618）</w:t>
      </w:r>
      <w:r>
        <w:rPr>
          <w:rFonts w:hint="eastAsia"/>
        </w:rPr>
        <w:t xml:space="preserve">：集中竞价回购A股股份比例累计达到1%，对市场信心构成边际支持。</w:t>
      </w:r>
    </w:p>
    <w:p>
      <w:pPr>
        <w:pStyle w:val="Compact"/>
        <w:numPr>
          <w:ilvl w:val="0"/>
          <w:numId w:val="1018"/>
        </w:numPr>
      </w:pPr>
      <w:r>
        <w:rPr>
          <w:rFonts w:hint="eastAsia"/>
          <w:b/>
          <w:bCs/>
        </w:rPr>
        <w:t xml:space="preserve">淳中科技（603516）</w:t>
      </w:r>
      <w:r>
        <w:rPr>
          <w:rFonts w:hint="eastAsia"/>
        </w:rPr>
        <w:t xml:space="preserve">：披露集中竞价回购股份报告书，需继续观察实际回购进度。</w:t>
      </w:r>
    </w:p>
    <w:bookmarkEnd w:id="24"/>
    <w:bookmarkStart w:id="25" w:name="风险事项"/>
    <w:p>
      <w:pPr>
        <w:pStyle w:val="Heading3"/>
      </w:pPr>
      <w:r>
        <w:t xml:space="preserve">📉 </w:t>
      </w:r>
      <w:r>
        <w:rPr>
          <w:rFonts w:hint="eastAsia"/>
        </w:rPr>
        <w:t xml:space="preserve">风险事项</w:t>
      </w:r>
    </w:p>
    <w:p>
      <w:pPr>
        <w:pStyle w:val="Compact"/>
        <w:numPr>
          <w:ilvl w:val="0"/>
          <w:numId w:val="1019"/>
        </w:numPr>
      </w:pPr>
      <w:r>
        <w:rPr>
          <w:rFonts w:hint="eastAsia"/>
          <w:b/>
          <w:bCs/>
        </w:rPr>
        <w:t xml:space="preserve">焦作万方（000612）</w:t>
      </w:r>
      <w:r>
        <w:rPr>
          <w:rFonts w:hint="eastAsia"/>
        </w:rPr>
        <w:t xml:space="preserve">：终止发行股份购买资产暨关联交易并撤回申请文件，重组预期落空。</w:t>
      </w:r>
    </w:p>
    <w:p>
      <w:pPr>
        <w:pStyle w:val="Compact"/>
        <w:numPr>
          <w:ilvl w:val="0"/>
          <w:numId w:val="1019"/>
        </w:numPr>
      </w:pPr>
      <w:r>
        <w:rPr>
          <w:rFonts w:hint="eastAsia"/>
          <w:b/>
          <w:bCs/>
        </w:rPr>
        <w:t xml:space="preserve">金橙子（688291）</w:t>
      </w:r>
      <w:r>
        <w:rPr>
          <w:rFonts w:hint="eastAsia"/>
        </w:rPr>
        <w:t xml:space="preserve">：终止筹划购买资产并于今日复牌，需防复牌后的预期差。</w:t>
      </w:r>
    </w:p>
    <w:p>
      <w:pPr>
        <w:pStyle w:val="Compact"/>
        <w:numPr>
          <w:ilvl w:val="0"/>
          <w:numId w:val="1019"/>
        </w:numPr>
      </w:pPr>
      <w:r>
        <w:rPr>
          <w:rFonts w:hint="eastAsia"/>
          <w:b/>
          <w:bCs/>
        </w:rPr>
        <w:t xml:space="preserve">奥浦迈（688293）</w:t>
      </w:r>
      <w:r>
        <w:t xml:space="preserve">、</w:t>
      </w:r>
      <w:r>
        <w:rPr>
          <w:rFonts w:hint="eastAsia"/>
          <w:b/>
          <w:bCs/>
        </w:rPr>
        <w:t xml:space="preserve">江河集团（601886）</w:t>
      </w:r>
      <w:r>
        <w:t xml:space="preserve">、</w:t>
      </w:r>
      <w:r>
        <w:rPr>
          <w:rFonts w:hint="eastAsia"/>
          <w:b/>
          <w:bCs/>
        </w:rPr>
        <w:t xml:space="preserve">山东玻纤（605006）</w:t>
      </w:r>
      <w:r>
        <w:rPr>
          <w:rFonts w:hint="eastAsia"/>
        </w:rPr>
        <w:t xml:space="preserve">：披露股东减持计划。</w:t>
      </w:r>
    </w:p>
    <w:p>
      <w:pPr>
        <w:pStyle w:val="Compact"/>
        <w:numPr>
          <w:ilvl w:val="0"/>
          <w:numId w:val="1019"/>
        </w:numPr>
      </w:pPr>
      <w:r>
        <w:rPr>
          <w:rFonts w:hint="eastAsia"/>
          <w:b/>
          <w:bCs/>
        </w:rPr>
        <w:t xml:space="preserve">誉衡药业（002437）</w:t>
      </w:r>
      <w:r>
        <w:t xml:space="preserve">、</w:t>
      </w:r>
      <w:r>
        <w:rPr>
          <w:rFonts w:hint="eastAsia"/>
          <w:b/>
          <w:bCs/>
        </w:rPr>
        <w:t xml:space="preserve">美年健康（002044）</w:t>
      </w:r>
      <w:r>
        <w:t xml:space="preserve">、</w:t>
      </w:r>
      <w:r>
        <w:rPr>
          <w:rFonts w:hint="eastAsia"/>
          <w:b/>
          <w:bCs/>
        </w:rPr>
        <w:t xml:space="preserve">莱茵生物（002166）</w:t>
      </w:r>
      <w:r>
        <w:rPr>
          <w:rFonts w:hint="eastAsia"/>
        </w:rPr>
        <w:t xml:space="preserve">：披露董事、高管或相关股东减持预披露公告。</w:t>
      </w:r>
    </w:p>
    <w:p>
      <w:pPr>
        <w:pStyle w:val="Compact"/>
        <w:numPr>
          <w:ilvl w:val="0"/>
          <w:numId w:val="1019"/>
        </w:numPr>
      </w:pPr>
      <w:r>
        <w:rPr>
          <w:rFonts w:hint="eastAsia"/>
          <w:b/>
          <w:bCs/>
        </w:rPr>
        <w:t xml:space="preserve">天顺风能（002531）</w:t>
      </w:r>
      <w:r>
        <w:rPr>
          <w:rFonts w:hint="eastAsia"/>
        </w:rPr>
        <w:t xml:space="preserve">：更正2026年半年度报告及非经常性损益，需核查更正对利润质量和估值依据的影响。</w:t>
      </w:r>
    </w:p>
    <w:p>
      <w:pPr>
        <w:pStyle w:val="Compact"/>
        <w:numPr>
          <w:ilvl w:val="0"/>
          <w:numId w:val="1019"/>
        </w:numPr>
      </w:pPr>
      <w:r>
        <w:rPr>
          <w:rFonts w:hint="eastAsia"/>
          <w:b/>
          <w:bCs/>
        </w:rPr>
        <w:t xml:space="preserve">奥瑞德（600666）</w:t>
      </w:r>
      <w:r>
        <w:rPr>
          <w:rFonts w:hint="eastAsia"/>
        </w:rPr>
        <w:t xml:space="preserve">：披露最近五年受到证券监管部门或交易所处罚、监管措施及整改情况，监管风险需要单独定价。</w:t>
      </w:r>
    </w:p>
    <w:p>
      <w:pPr>
        <w:pStyle w:val="FirstParagraph"/>
      </w:pPr>
      <w:r>
        <w:t xml:space="preserve">💡 </w:t>
      </w:r>
      <w:r>
        <w:rPr>
          <w:rFonts w:hint="eastAsia"/>
        </w:rPr>
        <w:t xml:space="preserve">公告交易原则：重组复牌股不在集合竞价追高；减持与财报更正股先等风险释放；回购类公告只有实际成交和持续实施才构成有效支撑。</w:t>
      </w:r>
    </w:p>
    <w:p>
      <w:r>
        <w:pict>
          <v:rect style="width:0;height:1.5pt" o:hralign="center" o:hrstd="t" o:hr="t"/>
        </w:pict>
      </w:r>
    </w:p>
    <w:bookmarkEnd w:id="25"/>
    <w:bookmarkEnd w:id="26"/>
    <w:bookmarkStart w:id="29" w:name="经济数据与重要事件"/>
    <w:p>
      <w:pPr>
        <w:pStyle w:val="Heading2"/>
      </w:pPr>
      <w:r>
        <w:t xml:space="preserve">🗓️ </w:t>
      </w:r>
      <w:r>
        <w:rPr>
          <w:rFonts w:hint="eastAsia"/>
        </w:rPr>
        <w:t xml:space="preserve">经济数据与重要事件</w:t>
      </w:r>
    </w:p>
    <w:bookmarkStart w:id="27" w:name="国内事件"/>
    <w:p>
      <w:pPr>
        <w:pStyle w:val="Heading3"/>
      </w:pPr>
      <w:r>
        <w:t xml:space="preserve">🇨🇳 </w:t>
      </w:r>
      <w:r>
        <w:rPr>
          <w:rFonts w:hint="eastAsia"/>
        </w:rPr>
        <w:t xml:space="preserve">国内事件</w:t>
      </w:r>
    </w:p>
    <w:p>
      <w:pPr>
        <w:pStyle w:val="Compact"/>
        <w:numPr>
          <w:ilvl w:val="0"/>
          <w:numId w:val="1020"/>
        </w:numPr>
      </w:pPr>
      <w:r>
        <w:rPr>
          <w:rFonts w:hint="eastAsia"/>
          <w:b/>
          <w:bCs/>
        </w:rPr>
        <w:t xml:space="preserve">9月15日10:00</w:t>
      </w:r>
      <w:r>
        <w:rPr>
          <w:rFonts w:hint="eastAsia"/>
        </w:rPr>
        <w:t xml:space="preserve">：国务院新闻办公室举行发布会，国家统计局介绍2026年8月份国民经济运行情况。</w:t>
      </w:r>
    </w:p>
    <w:p>
      <w:pPr>
        <w:pStyle w:val="Compact"/>
        <w:numPr>
          <w:ilvl w:val="0"/>
          <w:numId w:val="1020"/>
        </w:numPr>
      </w:pPr>
      <w:r>
        <w:rPr>
          <w:rFonts w:hint="eastAsia"/>
        </w:rPr>
        <w:t xml:space="preserve">今日重点关注工业增加值、消费、投资和房地产相关数据对顺周期、消费及地产链预期的影响。</w:t>
      </w:r>
    </w:p>
    <w:p>
      <w:pPr>
        <w:pStyle w:val="Compact"/>
        <w:numPr>
          <w:ilvl w:val="0"/>
          <w:numId w:val="1020"/>
        </w:numPr>
      </w:pPr>
      <w:r>
        <w:rPr>
          <w:rFonts w:hint="eastAsia"/>
        </w:rPr>
        <w:t xml:space="preserve">央行今日开展</w:t>
      </w:r>
      <w:r>
        <w:rPr>
          <w:rFonts w:hint="eastAsia"/>
          <w:b/>
          <w:bCs/>
        </w:rPr>
        <w:t xml:space="preserve">5000亿元、期限6个月的买断式逆回购操作</w:t>
      </w:r>
      <w:r>
        <w:rPr>
          <w:rFonts w:hint="eastAsia"/>
        </w:rPr>
        <w:t xml:space="preserve">，有助于保持银行体系流动性充裕。</w:t>
      </w:r>
    </w:p>
    <w:p>
      <w:pPr>
        <w:pStyle w:val="Compact"/>
        <w:numPr>
          <w:ilvl w:val="0"/>
          <w:numId w:val="1020"/>
        </w:numPr>
      </w:pPr>
      <w:r>
        <w:rPr>
          <w:rFonts w:hint="eastAsia"/>
        </w:rPr>
        <w:t xml:space="preserve">9月14日央行开展5040亿元隔夜逆回购，当日5亿元逆回购到期，单日净投放5035亿元。</w:t>
      </w:r>
    </w:p>
    <w:bookmarkEnd w:id="27"/>
    <w:bookmarkStart w:id="28" w:name="海外事件"/>
    <w:p>
      <w:pPr>
        <w:pStyle w:val="Heading3"/>
      </w:pPr>
      <w:r>
        <w:t xml:space="preserve">🇺🇸 </w:t>
      </w:r>
      <w:r>
        <w:rPr>
          <w:rFonts w:hint="eastAsia"/>
        </w:rPr>
        <w:t xml:space="preserve">海外事件</w:t>
      </w:r>
    </w:p>
    <w:p>
      <w:pPr>
        <w:pStyle w:val="Compact"/>
        <w:numPr>
          <w:ilvl w:val="0"/>
          <w:numId w:val="1021"/>
        </w:numPr>
      </w:pPr>
      <w:r>
        <w:rPr>
          <w:rFonts w:hint="eastAsia"/>
        </w:rPr>
        <w:t xml:space="preserve">美联储于美东时间9月15日至16日召开议息会议。</w:t>
      </w:r>
    </w:p>
    <w:p>
      <w:pPr>
        <w:pStyle w:val="Compact"/>
        <w:numPr>
          <w:ilvl w:val="0"/>
          <w:numId w:val="1021"/>
        </w:numPr>
      </w:pPr>
      <w:r>
        <w:rPr>
          <w:rFonts w:hint="eastAsia"/>
        </w:rPr>
        <w:t xml:space="preserve">利率决定将在北京时间9月17日凌晨公布。</w:t>
      </w:r>
    </w:p>
    <w:p>
      <w:pPr>
        <w:pStyle w:val="Compact"/>
        <w:numPr>
          <w:ilvl w:val="0"/>
          <w:numId w:val="1021"/>
        </w:numPr>
      </w:pPr>
      <w:r>
        <w:rPr>
          <w:rFonts w:hint="eastAsia"/>
        </w:rPr>
        <w:t xml:space="preserve">采集新闻显示市场普遍预计加息25个基点，但最终结果必须以美联储正式声明为准。</w:t>
      </w:r>
    </w:p>
    <w:p>
      <w:pPr>
        <w:pStyle w:val="Compact"/>
        <w:numPr>
          <w:ilvl w:val="0"/>
          <w:numId w:val="1021"/>
        </w:numPr>
      </w:pPr>
      <w:r>
        <w:rPr>
          <w:rFonts w:hint="eastAsia"/>
        </w:rPr>
        <w:t xml:space="preserve">会议前夕，全球科技股估值与美元利率敏感资产可能维持高波动。</w:t>
      </w:r>
    </w:p>
    <w:p>
      <w:r>
        <w:pict>
          <v:rect style="width:0;height:1.5pt" o:hralign="center" o:hrstd="t" o:hr="t"/>
        </w:pict>
      </w:r>
    </w:p>
    <w:bookmarkEnd w:id="28"/>
    <w:bookmarkEnd w:id="29"/>
    <w:bookmarkStart w:id="32" w:name="全球事件原油与航运风险升温"/>
    <w:p>
      <w:pPr>
        <w:pStyle w:val="Heading2"/>
      </w:pPr>
      <w:r>
        <w:t xml:space="preserve">🌏 </w:t>
      </w:r>
      <w:r>
        <w:rPr>
          <w:rFonts w:hint="eastAsia"/>
        </w:rPr>
        <w:t xml:space="preserve">全球事件：原油与航运风险升温</w:t>
      </w:r>
    </w:p>
    <w:bookmarkStart w:id="30" w:name="中东局势"/>
    <w:p>
      <w:pPr>
        <w:pStyle w:val="Heading3"/>
      </w:pPr>
      <w:r>
        <w:t xml:space="preserve">⚠️ </w:t>
      </w:r>
      <w:r>
        <w:rPr>
          <w:rFonts w:hint="eastAsia"/>
        </w:rPr>
        <w:t xml:space="preserve">中东局势</w:t>
      </w:r>
    </w:p>
    <w:p>
      <w:pPr>
        <w:pStyle w:val="Compact"/>
        <w:numPr>
          <w:ilvl w:val="0"/>
          <w:numId w:val="1022"/>
        </w:numPr>
      </w:pPr>
      <w:r>
        <w:rPr>
          <w:rFonts w:hint="eastAsia"/>
        </w:rPr>
        <w:t xml:space="preserve">也门胡塞武装称，沙特战机过去24小时对也门6个省发动58次空袭。</w:t>
      </w:r>
    </w:p>
    <w:p>
      <w:pPr>
        <w:pStyle w:val="Compact"/>
        <w:numPr>
          <w:ilvl w:val="0"/>
          <w:numId w:val="1022"/>
        </w:numPr>
      </w:pPr>
      <w:r>
        <w:rPr>
          <w:rFonts w:hint="eastAsia"/>
        </w:rPr>
        <w:t xml:space="preserve">也门政府军称夺回部分阵地，冲突已造成大规模人员伤亡和流离失所。</w:t>
      </w:r>
    </w:p>
    <w:p>
      <w:pPr>
        <w:pStyle w:val="Compact"/>
        <w:numPr>
          <w:ilvl w:val="0"/>
          <w:numId w:val="1022"/>
        </w:numPr>
      </w:pPr>
      <w:r>
        <w:rPr>
          <w:rFonts w:hint="eastAsia"/>
        </w:rPr>
        <w:t xml:space="preserve">阿曼和伊朗宣布推迟原定举行的地区会议，霍尔木兹海峡通航磋商的不确定性延续。</w:t>
      </w:r>
    </w:p>
    <w:p>
      <w:pPr>
        <w:pStyle w:val="Compact"/>
        <w:numPr>
          <w:ilvl w:val="0"/>
          <w:numId w:val="1022"/>
        </w:numPr>
      </w:pPr>
      <w:r>
        <w:rPr>
          <w:rFonts w:hint="eastAsia"/>
        </w:rPr>
        <w:t xml:space="preserve">WTI原油上涨1.28%至102.686，油价已体现部分地缘风险溢价。</w:t>
      </w:r>
    </w:p>
    <w:p>
      <w:pPr>
        <w:pStyle w:val="FirstParagraph"/>
      </w:pPr>
      <w:r>
        <w:t xml:space="preserve">📉</w:t>
      </w:r>
      <w:r>
        <w:t xml:space="preserve"> </w:t>
      </w:r>
      <w:r>
        <w:rPr>
          <w:rFonts w:hint="eastAsia"/>
          <w:b/>
          <w:bCs/>
        </w:rPr>
        <w:t xml:space="preserve">A股影响：</w:t>
      </w:r>
    </w:p>
    <w:p>
      <w:pPr>
        <w:pStyle w:val="Compact"/>
        <w:numPr>
          <w:ilvl w:val="0"/>
          <w:numId w:val="1023"/>
        </w:numPr>
      </w:pPr>
      <w:r>
        <w:rPr>
          <w:rFonts w:hint="eastAsia"/>
        </w:rPr>
        <w:t xml:space="preserve">利好方向：油气开采、油服、能源运输。</w:t>
      </w:r>
    </w:p>
    <w:p>
      <w:pPr>
        <w:pStyle w:val="Compact"/>
        <w:numPr>
          <w:ilvl w:val="0"/>
          <w:numId w:val="1023"/>
        </w:numPr>
      </w:pPr>
      <w:r>
        <w:rPr>
          <w:rFonts w:hint="eastAsia"/>
        </w:rPr>
        <w:t xml:space="preserve">利空方向：航空、化工下游、物流及高能源成本制造业。</w:t>
      </w:r>
    </w:p>
    <w:p>
      <w:pPr>
        <w:pStyle w:val="Compact"/>
        <w:numPr>
          <w:ilvl w:val="0"/>
          <w:numId w:val="1023"/>
        </w:numPr>
      </w:pPr>
      <w:r>
        <w:rPr>
          <w:rFonts w:hint="eastAsia"/>
        </w:rPr>
        <w:t xml:space="preserve">昨日石油石化板块偏弱，油价上涨能否转化为A股行情仍需观察资金回流。</w:t>
      </w:r>
    </w:p>
    <w:bookmarkEnd w:id="30"/>
    <w:bookmarkStart w:id="31" w:name="欧洲及东北亚风险"/>
    <w:p>
      <w:pPr>
        <w:pStyle w:val="Heading3"/>
      </w:pPr>
      <w:r>
        <w:t xml:space="preserve">⚠️ </w:t>
      </w:r>
      <w:r>
        <w:rPr>
          <w:rFonts w:hint="eastAsia"/>
        </w:rPr>
        <w:t xml:space="preserve">欧洲及东北亚风险</w:t>
      </w:r>
    </w:p>
    <w:p>
      <w:pPr>
        <w:pStyle w:val="Compact"/>
        <w:numPr>
          <w:ilvl w:val="0"/>
          <w:numId w:val="1024"/>
        </w:numPr>
      </w:pPr>
      <w:r>
        <w:rPr>
          <w:rFonts w:hint="eastAsia"/>
        </w:rPr>
        <w:t xml:space="preserve">俄方称将采取措施保障加里宁格勒州安全，俄乌与北约边境风险延续。</w:t>
      </w:r>
    </w:p>
    <w:p>
      <w:pPr>
        <w:pStyle w:val="Compact"/>
        <w:numPr>
          <w:ilvl w:val="0"/>
          <w:numId w:val="1024"/>
        </w:numPr>
      </w:pPr>
      <w:r>
        <w:rPr>
          <w:rFonts w:hint="eastAsia"/>
        </w:rPr>
        <w:t xml:space="preserve">以军称将对黎巴嫩南部一处高地维持控制，中东冲突外溢风险未消。</w:t>
      </w:r>
    </w:p>
    <w:p>
      <w:pPr>
        <w:pStyle w:val="Compact"/>
        <w:numPr>
          <w:ilvl w:val="0"/>
          <w:numId w:val="1024"/>
        </w:numPr>
      </w:pPr>
      <w:r>
        <w:rPr>
          <w:rFonts w:hint="eastAsia"/>
        </w:rPr>
        <w:t xml:space="preserve">日本中部电力滨冈核电站被认定存在抗震数据虚假说明和隐瞒，并撤回3号、4号机组重启审查申请。</w:t>
      </w:r>
    </w:p>
    <w:p>
      <w:pPr>
        <w:pStyle w:val="FirstParagraph"/>
      </w:pPr>
      <w:r>
        <w:t xml:space="preserve">💡 </w:t>
      </w:r>
      <w:r>
        <w:rPr>
          <w:rFonts w:hint="eastAsia"/>
        </w:rPr>
        <w:t xml:space="preserve">对A股而言，全球地缘风险更可能通过原油、航运、黄金和风险偏好传导，不宜仅依据单一新闻追逐军工或避险题材。</w:t>
      </w:r>
    </w:p>
    <w:p>
      <w:r>
        <w:pict>
          <v:rect style="width:0;height:1.5pt" o:hralign="center" o:hrstd="t" o:hr="t"/>
        </w:pict>
      </w:r>
    </w:p>
    <w:bookmarkEnd w:id="31"/>
    <w:bookmarkEnd w:id="32"/>
    <w:bookmarkStart w:id="35" w:name="昨日复盘指数弱个股相对活跃成交额明显缩量"/>
    <w:p>
      <w:pPr>
        <w:pStyle w:val="Heading2"/>
      </w:pPr>
      <w:r>
        <w:t xml:space="preserve">📊 </w:t>
      </w:r>
      <w:r>
        <w:rPr>
          <w:rFonts w:hint="eastAsia"/>
        </w:rPr>
        <w:t xml:space="preserve">昨日复盘：指数弱、个股相对活跃，成交额明显缩量</w:t>
      </w:r>
    </w:p>
    <w:bookmarkStart w:id="33" w:name="主要指数"/>
    <w:p>
      <w:pPr>
        <w:pStyle w:val="Heading3"/>
      </w:pPr>
      <w:r>
        <w:t xml:space="preserve">📉 </w:t>
      </w:r>
      <w:r>
        <w:rPr>
          <w:rFonts w:hint="eastAsia"/>
        </w:rPr>
        <w:t xml:space="preserve">主要指数</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c>
          <w:tcPr/>
          <w:p>
            <w:pPr>
              <w:pStyle w:val="Compact"/>
              <w:jc w:val="right"/>
            </w:pPr>
            <w:r>
              <w:rPr>
                <w:rFonts w:hint="eastAsia"/>
              </w:rPr>
              <w:t xml:space="preserve">成交额</w:t>
            </w:r>
          </w:p>
        </w:tc>
      </w:tr>
      <w:tr>
        <w:tc>
          <w:tcPr/>
          <w:p>
            <w:pPr>
              <w:pStyle w:val="Compact"/>
            </w:pPr>
            <w:r>
              <w:rPr>
                <w:rFonts w:hint="eastAsia"/>
              </w:rPr>
              <w:t xml:space="preserve">上证指数</w:t>
            </w:r>
          </w:p>
        </w:tc>
        <w:tc>
          <w:tcPr/>
          <w:p>
            <w:pPr>
              <w:pStyle w:val="Compact"/>
              <w:jc w:val="right"/>
            </w:pPr>
            <w:r>
              <w:t xml:space="preserve">3885.3328</w:t>
            </w:r>
          </w:p>
        </w:tc>
        <w:tc>
          <w:tcPr/>
          <w:p>
            <w:pPr>
              <w:pStyle w:val="Compact"/>
              <w:jc w:val="right"/>
            </w:pPr>
            <w:r>
              <w:t xml:space="preserve">🟢 -0.0714%</w:t>
            </w:r>
          </w:p>
        </w:tc>
        <w:tc>
          <w:tcPr/>
          <w:p>
            <w:pPr>
              <w:pStyle w:val="Compact"/>
              <w:jc w:val="right"/>
            </w:pPr>
            <w:r>
              <w:rPr>
                <w:rFonts w:hint="eastAsia"/>
              </w:rPr>
              <w:t xml:space="preserve">7792.81亿元</w:t>
            </w:r>
          </w:p>
        </w:tc>
      </w:tr>
      <w:tr>
        <w:tc>
          <w:tcPr/>
          <w:p>
            <w:pPr>
              <w:pStyle w:val="Compact"/>
            </w:pPr>
            <w:r>
              <w:rPr>
                <w:rFonts w:hint="eastAsia"/>
              </w:rPr>
              <w:t xml:space="preserve">深证成指</w:t>
            </w:r>
          </w:p>
        </w:tc>
        <w:tc>
          <w:tcPr/>
          <w:p>
            <w:pPr>
              <w:pStyle w:val="Compact"/>
              <w:jc w:val="right"/>
            </w:pPr>
            <w:r>
              <w:t xml:space="preserve">13384.5680</w:t>
            </w:r>
          </w:p>
        </w:tc>
        <w:tc>
          <w:tcPr/>
          <w:p>
            <w:pPr>
              <w:pStyle w:val="Compact"/>
              <w:jc w:val="right"/>
            </w:pPr>
            <w:r>
              <w:t xml:space="preserve">🟢 -0.6435%</w:t>
            </w:r>
          </w:p>
        </w:tc>
        <w:tc>
          <w:tcPr/>
          <w:p>
            <w:pPr>
              <w:pStyle w:val="Compact"/>
              <w:jc w:val="right"/>
            </w:pPr>
            <w:r>
              <w:rPr>
                <w:rFonts w:hint="eastAsia"/>
              </w:rPr>
              <w:t xml:space="preserve">8498.94亿元</w:t>
            </w:r>
          </w:p>
        </w:tc>
      </w:tr>
      <w:tr>
        <w:tc>
          <w:tcPr/>
          <w:p>
            <w:pPr>
              <w:pStyle w:val="Compact"/>
            </w:pPr>
            <w:r>
              <w:rPr>
                <w:rFonts w:hint="eastAsia"/>
              </w:rPr>
              <w:t xml:space="preserve">创业板指</w:t>
            </w:r>
          </w:p>
        </w:tc>
        <w:tc>
          <w:tcPr/>
          <w:p>
            <w:pPr>
              <w:pStyle w:val="Compact"/>
              <w:jc w:val="right"/>
            </w:pPr>
            <w:r>
              <w:t xml:space="preserve">3285.5830</w:t>
            </w:r>
          </w:p>
        </w:tc>
        <w:tc>
          <w:tcPr/>
          <w:p>
            <w:pPr>
              <w:pStyle w:val="Compact"/>
              <w:jc w:val="right"/>
            </w:pPr>
            <w:r>
              <w:t xml:space="preserve">🟢 -1.0974%</w:t>
            </w:r>
          </w:p>
        </w:tc>
        <w:tc>
          <w:tcPr/>
          <w:p>
            <w:pPr>
              <w:pStyle w:val="Compact"/>
              <w:jc w:val="right"/>
            </w:pPr>
            <w:r>
              <w:rPr>
                <w:rFonts w:hint="eastAsia"/>
              </w:rPr>
              <w:t xml:space="preserve">3955.58亿元</w:t>
            </w:r>
          </w:p>
        </w:tc>
      </w:tr>
      <w:tr>
        <w:tc>
          <w:tcPr/>
          <w:p>
            <w:pPr>
              <w:pStyle w:val="Compact"/>
            </w:pPr>
            <w:r>
              <w:rPr>
                <w:rFonts w:hint="eastAsia"/>
              </w:rPr>
              <w:t xml:space="preserve">科创50</w:t>
            </w:r>
          </w:p>
        </w:tc>
        <w:tc>
          <w:tcPr/>
          <w:p>
            <w:pPr>
              <w:pStyle w:val="Compact"/>
              <w:jc w:val="right"/>
            </w:pPr>
            <w:r>
              <w:t xml:space="preserve">1528.2661</w:t>
            </w:r>
          </w:p>
        </w:tc>
        <w:tc>
          <w:tcPr/>
          <w:p>
            <w:pPr>
              <w:pStyle w:val="Compact"/>
              <w:jc w:val="right"/>
            </w:pPr>
            <w:r>
              <w:t xml:space="preserve">🟢 -1.6176%</w:t>
            </w:r>
          </w:p>
        </w:tc>
        <w:tc>
          <w:tcPr/>
          <w:p>
            <w:pPr>
              <w:pStyle w:val="Compact"/>
              <w:jc w:val="right"/>
            </w:pPr>
            <w:r>
              <w:rPr>
                <w:rFonts w:hint="eastAsia"/>
              </w:rPr>
              <w:t xml:space="preserve">610.08亿元</w:t>
            </w:r>
          </w:p>
        </w:tc>
      </w:tr>
      <w:tr>
        <w:tc>
          <w:tcPr/>
          <w:p>
            <w:pPr>
              <w:pStyle w:val="Compact"/>
            </w:pPr>
            <w:r>
              <w:rPr>
                <w:rFonts w:hint="eastAsia"/>
              </w:rPr>
              <w:t xml:space="preserve">沪深300</w:t>
            </w:r>
          </w:p>
        </w:tc>
        <w:tc>
          <w:tcPr/>
          <w:p>
            <w:pPr>
              <w:pStyle w:val="Compact"/>
              <w:jc w:val="right"/>
            </w:pPr>
            <w:r>
              <w:t xml:space="preserve">4480.0821</w:t>
            </w:r>
          </w:p>
        </w:tc>
        <w:tc>
          <w:tcPr/>
          <w:p>
            <w:pPr>
              <w:pStyle w:val="Compact"/>
              <w:jc w:val="right"/>
            </w:pPr>
            <w:r>
              <w:t xml:space="preserve">🟢 -0.6668%</w:t>
            </w:r>
          </w:p>
        </w:tc>
        <w:tc>
          <w:tcPr/>
          <w:p>
            <w:pPr>
              <w:pStyle w:val="Compact"/>
              <w:jc w:val="right"/>
            </w:pPr>
            <w:r>
              <w:rPr>
                <w:rFonts w:hint="eastAsia"/>
              </w:rPr>
              <w:t xml:space="preserve">3986.85亿元</w:t>
            </w:r>
          </w:p>
        </w:tc>
      </w:tr>
    </w:tbl>
    <w:p>
      <w:pPr>
        <w:pStyle w:val="Compact"/>
        <w:numPr>
          <w:ilvl w:val="0"/>
          <w:numId w:val="1025"/>
        </w:numPr>
      </w:pPr>
      <w:r>
        <w:rPr>
          <w:rFonts w:hint="eastAsia"/>
        </w:rPr>
        <w:t xml:space="preserve">全市场上涨3126只、下跌2224只、平盘200只，上下跌比为1.406。</w:t>
      </w:r>
    </w:p>
    <w:p>
      <w:pPr>
        <w:pStyle w:val="Compact"/>
        <w:numPr>
          <w:ilvl w:val="0"/>
          <w:numId w:val="1025"/>
        </w:numPr>
      </w:pPr>
      <w:r>
        <w:rPr>
          <w:rFonts w:hint="eastAsia"/>
        </w:rPr>
        <w:t xml:space="preserve">指数表现呈现上证强于深市、权重强于高弹性成长的结构。</w:t>
      </w:r>
    </w:p>
    <w:p>
      <w:pPr>
        <w:pStyle w:val="Compact"/>
        <w:numPr>
          <w:ilvl w:val="0"/>
          <w:numId w:val="1025"/>
        </w:numPr>
      </w:pPr>
      <w:r>
        <w:rPr>
          <w:rFonts w:hint="eastAsia"/>
        </w:rPr>
        <w:t xml:space="preserve">全市场成交额16429.81亿元，较前一交易日19869.53亿元减少3439.72亿元，降幅17.31%，属于明显缩量。</w:t>
      </w:r>
    </w:p>
    <w:p>
      <w:pPr>
        <w:pStyle w:val="Compact"/>
        <w:numPr>
          <w:ilvl w:val="0"/>
          <w:numId w:val="1025"/>
        </w:numPr>
      </w:pPr>
      <w:r>
        <w:rPr>
          <w:rFonts w:hint="eastAsia"/>
        </w:rPr>
        <w:t xml:space="preserve">医疗研发外包、CRO、培育钻石、医疗服务、诊断服务和网络安全走强。</w:t>
      </w:r>
    </w:p>
    <w:p>
      <w:pPr>
        <w:pStyle w:val="Compact"/>
        <w:numPr>
          <w:ilvl w:val="0"/>
          <w:numId w:val="1025"/>
        </w:numPr>
      </w:pPr>
      <w:r>
        <w:rPr>
          <w:rFonts w:hint="eastAsia"/>
        </w:rPr>
        <w:t xml:space="preserve">通信、半导体、消费电子等高成交科技方向资金分歧加大。</w:t>
      </w:r>
    </w:p>
    <w:bookmarkEnd w:id="33"/>
    <w:bookmarkStart w:id="34" w:name="行为金融观察"/>
    <w:p>
      <w:pPr>
        <w:pStyle w:val="Heading3"/>
      </w:pPr>
      <w:r>
        <w:t xml:space="preserve">🧠 </w:t>
      </w:r>
      <w:r>
        <w:rPr>
          <w:rFonts w:hint="eastAsia"/>
        </w:rPr>
        <w:t xml:space="preserve">行为金融观察</w:t>
      </w:r>
    </w:p>
    <w:p>
      <w:pPr>
        <w:pStyle w:val="FirstParagraph"/>
      </w:pPr>
      <w:r>
        <w:rPr>
          <w:rStyle w:val="VerbatimChar"/>
        </w:rPr>
        <w:t xml:space="preserve">derived.behavioral_finance_signals</w:t>
      </w:r>
      <w:r>
        <w:rPr>
          <w:rFonts w:hint="eastAsia"/>
        </w:rPr>
        <w:t xml:space="preserve">风险评分为1，当前未触发系统性FOMO、估值换手拥挤或亏损厌恶扩散阈值。</w:t>
      </w:r>
    </w:p>
    <w:p>
      <w:pPr>
        <w:pStyle w:val="BodyText"/>
      </w:pPr>
      <w:r>
        <w:rPr>
          <w:rFonts w:hint="eastAsia"/>
        </w:rPr>
        <w:t xml:space="preserve">但局部风险不能忽视：</w:t>
      </w:r>
    </w:p>
    <w:p>
      <w:pPr>
        <w:pStyle w:val="Compact"/>
        <w:numPr>
          <w:ilvl w:val="0"/>
          <w:numId w:val="1026"/>
        </w:numPr>
      </w:pPr>
      <w:r>
        <w:rPr>
          <w:rFonts w:hint="eastAsia"/>
        </w:rPr>
        <w:t xml:space="preserve">风华高科PE为166.10倍、换手率19.15%，属于高估值与高换手组合，最容易诱发注意力交易。</w:t>
      </w:r>
    </w:p>
    <w:p>
      <w:pPr>
        <w:pStyle w:val="Compact"/>
        <w:numPr>
          <w:ilvl w:val="0"/>
          <w:numId w:val="1026"/>
        </w:numPr>
      </w:pPr>
      <w:r>
        <w:rPr>
          <w:rFonts w:hint="eastAsia"/>
        </w:rPr>
        <w:t xml:space="preserve">中际旭创、新易盛等高关注度科技股同时出现在资金流入和流出榜，表明高成交博弈激烈，并非一致性增仓。</w:t>
      </w:r>
    </w:p>
    <w:p>
      <w:pPr>
        <w:pStyle w:val="Compact"/>
        <w:numPr>
          <w:ilvl w:val="0"/>
          <w:numId w:val="1026"/>
        </w:numPr>
      </w:pPr>
      <w:r>
        <w:rPr>
          <w:rFonts w:hint="eastAsia"/>
        </w:rPr>
        <w:t xml:space="preserve">成交额缩量17.31%意味着承接能力下降，投资者容易受前期高点锚定而过早判断“跌够了”。</w:t>
      </w:r>
    </w:p>
    <w:p>
      <w:pPr>
        <w:pStyle w:val="Compact"/>
        <w:numPr>
          <w:ilvl w:val="0"/>
          <w:numId w:val="1026"/>
        </w:numPr>
      </w:pPr>
      <w:r>
        <w:rPr>
          <w:rFonts w:hint="eastAsia"/>
        </w:rPr>
        <w:t xml:space="preserve">今日应以右侧确认替代主观抄底，避免确认偏误和处置效应。</w:t>
      </w:r>
    </w:p>
    <w:p>
      <w:r>
        <w:pict>
          <v:rect style="width:0;height:1.5pt" o:hralign="center" o:hrstd="t" o:hr="t"/>
        </w:pict>
      </w:r>
    </w:p>
    <w:bookmarkEnd w:id="34"/>
    <w:bookmarkEnd w:id="35"/>
    <w:bookmarkStart w:id="44" w:name="上一交易日资金流向四榜"/>
    <w:p>
      <w:pPr>
        <w:pStyle w:val="Heading2"/>
      </w:pPr>
      <w:r>
        <w:t xml:space="preserve">💰 </w:t>
      </w:r>
      <w:r>
        <w:rPr>
          <w:rFonts w:hint="eastAsia"/>
        </w:rPr>
        <w:t xml:space="preserve">上一交易日资金流向四榜</w:t>
      </w:r>
    </w:p>
    <w:p>
      <w:pPr>
        <w:pStyle w:val="FirstParagraph"/>
      </w:pPr>
      <w:r>
        <w:rPr>
          <w:rFonts w:hint="eastAsia"/>
          <w:b/>
          <w:bCs/>
        </w:rPr>
        <w:t xml:space="preserve">统一口径：交易日2026年9月14日，15:00，previous_close，申万二级行业；来源：华泰skill，流出行业榜经东财push2his_fflow校验。以下只展示上一交易日主力资金金额，不混入报告日盘中行情。</w:t>
      </w:r>
    </w:p>
    <w:bookmarkStart w:id="36" w:name="流出top10板块15"/>
    <w:p>
      <w:pPr>
        <w:pStyle w:val="Heading3"/>
      </w:pPr>
      <w:r>
        <w:t xml:space="preserve">💰 </w:t>
      </w:r>
      <w:r>
        <w:rPr>
          <w:rFonts w:hint="eastAsia"/>
        </w:rPr>
        <w:t xml:space="preserve">流出TOP10板块（1—5）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通信设备</w:t>
            </w:r>
          </w:p>
        </w:tc>
        <w:tc>
          <w:tcPr/>
          <w:p>
            <w:pPr>
              <w:pStyle w:val="Compact"/>
              <w:jc w:val="right"/>
            </w:pPr>
            <w:r>
              <w:rPr>
                <w:rFonts w:hint="eastAsia"/>
              </w:rPr>
              <w:t xml:space="preserve">-72.61亿元</w:t>
            </w:r>
          </w:p>
        </w:tc>
      </w:tr>
      <w:tr>
        <w:tc>
          <w:tcPr/>
          <w:p>
            <w:pPr>
              <w:pStyle w:val="Compact"/>
              <w:jc w:val="right"/>
            </w:pPr>
            <w:r>
              <w:t xml:space="preserve">2</w:t>
            </w:r>
          </w:p>
        </w:tc>
        <w:tc>
          <w:tcPr/>
          <w:p>
            <w:pPr>
              <w:pStyle w:val="Compact"/>
            </w:pPr>
            <w:r>
              <w:rPr>
                <w:rFonts w:hint="eastAsia"/>
              </w:rPr>
              <w:t xml:space="preserve">半导体</w:t>
            </w:r>
          </w:p>
        </w:tc>
        <w:tc>
          <w:tcPr/>
          <w:p>
            <w:pPr>
              <w:pStyle w:val="Compact"/>
              <w:jc w:val="right"/>
            </w:pPr>
            <w:r>
              <w:rPr>
                <w:rFonts w:hint="eastAsia"/>
              </w:rPr>
              <w:t xml:space="preserve">-71.00亿元</w:t>
            </w:r>
          </w:p>
        </w:tc>
      </w:tr>
      <w:tr>
        <w:tc>
          <w:tcPr/>
          <w:p>
            <w:pPr>
              <w:pStyle w:val="Compact"/>
              <w:jc w:val="right"/>
            </w:pPr>
            <w:r>
              <w:t xml:space="preserve">3</w:t>
            </w:r>
          </w:p>
        </w:tc>
        <w:tc>
          <w:tcPr/>
          <w:p>
            <w:pPr>
              <w:pStyle w:val="Compact"/>
            </w:pPr>
            <w:r>
              <w:rPr>
                <w:rFonts w:hint="eastAsia"/>
              </w:rPr>
              <w:t xml:space="preserve">消费电子</w:t>
            </w:r>
          </w:p>
        </w:tc>
        <w:tc>
          <w:tcPr/>
          <w:p>
            <w:pPr>
              <w:pStyle w:val="Compact"/>
              <w:jc w:val="right"/>
            </w:pPr>
            <w:r>
              <w:rPr>
                <w:rFonts w:hint="eastAsia"/>
              </w:rPr>
              <w:t xml:space="preserve">-23.82亿元</w:t>
            </w:r>
          </w:p>
        </w:tc>
      </w:tr>
      <w:tr>
        <w:tc>
          <w:tcPr/>
          <w:p>
            <w:pPr>
              <w:pStyle w:val="Compact"/>
              <w:jc w:val="right"/>
            </w:pPr>
            <w:r>
              <w:t xml:space="preserve">4</w:t>
            </w:r>
          </w:p>
        </w:tc>
        <w:tc>
          <w:tcPr/>
          <w:p>
            <w:pPr>
              <w:pStyle w:val="Compact"/>
            </w:pPr>
            <w:r>
              <w:rPr>
                <w:rFonts w:hint="eastAsia"/>
              </w:rPr>
              <w:t xml:space="preserve">自动化设备</w:t>
            </w:r>
          </w:p>
        </w:tc>
        <w:tc>
          <w:tcPr/>
          <w:p>
            <w:pPr>
              <w:pStyle w:val="Compact"/>
              <w:jc w:val="right"/>
            </w:pPr>
            <w:r>
              <w:rPr>
                <w:rFonts w:hint="eastAsia"/>
              </w:rPr>
              <w:t xml:space="preserve">-12.58亿元</w:t>
            </w:r>
          </w:p>
        </w:tc>
      </w:tr>
      <w:tr>
        <w:tc>
          <w:tcPr/>
          <w:p>
            <w:pPr>
              <w:pStyle w:val="Compact"/>
              <w:jc w:val="right"/>
            </w:pPr>
            <w:r>
              <w:t xml:space="preserve">5</w:t>
            </w:r>
          </w:p>
        </w:tc>
        <w:tc>
          <w:tcPr/>
          <w:p>
            <w:pPr>
              <w:pStyle w:val="Compact"/>
            </w:pPr>
            <w:r>
              <w:rPr>
                <w:rFonts w:hint="eastAsia"/>
              </w:rPr>
              <w:t xml:space="preserve">工业金属</w:t>
            </w:r>
          </w:p>
        </w:tc>
        <w:tc>
          <w:tcPr/>
          <w:p>
            <w:pPr>
              <w:pStyle w:val="Compact"/>
              <w:jc w:val="right"/>
            </w:pPr>
            <w:r>
              <w:rPr>
                <w:rFonts w:hint="eastAsia"/>
              </w:rPr>
              <w:t xml:space="preserve">-11.49亿元</w:t>
            </w:r>
          </w:p>
        </w:tc>
      </w:tr>
    </w:tbl>
    <w:bookmarkEnd w:id="36"/>
    <w:bookmarkStart w:id="37" w:name="流出top10板块610"/>
    <w:p>
      <w:pPr>
        <w:pStyle w:val="Heading3"/>
      </w:pPr>
      <w:r>
        <w:t xml:space="preserve">💰 </w:t>
      </w:r>
      <w:r>
        <w:rPr>
          <w:rFonts w:hint="eastAsia"/>
        </w:rPr>
        <w:t xml:space="preserve">流出TOP10板块（6—10）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电网设备</w:t>
            </w:r>
          </w:p>
        </w:tc>
        <w:tc>
          <w:tcPr/>
          <w:p>
            <w:pPr>
              <w:pStyle w:val="Compact"/>
              <w:jc w:val="right"/>
            </w:pPr>
            <w:r>
              <w:rPr>
                <w:rFonts w:hint="eastAsia"/>
              </w:rPr>
              <w:t xml:space="preserve">-11.44亿元</w:t>
            </w:r>
          </w:p>
        </w:tc>
      </w:tr>
      <w:tr>
        <w:tc>
          <w:tcPr/>
          <w:p>
            <w:pPr>
              <w:pStyle w:val="Compact"/>
              <w:jc w:val="right"/>
            </w:pPr>
            <w:r>
              <w:t xml:space="preserve">7</w:t>
            </w:r>
          </w:p>
        </w:tc>
        <w:tc>
          <w:tcPr/>
          <w:p>
            <w:pPr>
              <w:pStyle w:val="Compact"/>
            </w:pPr>
            <w:r>
              <w:rPr>
                <w:rFonts w:hint="eastAsia"/>
              </w:rPr>
              <w:t xml:space="preserve">航空装备Ⅱ</w:t>
            </w:r>
          </w:p>
        </w:tc>
        <w:tc>
          <w:tcPr/>
          <w:p>
            <w:pPr>
              <w:pStyle w:val="Compact"/>
              <w:jc w:val="right"/>
            </w:pPr>
            <w:r>
              <w:rPr>
                <w:rFonts w:hint="eastAsia"/>
              </w:rPr>
              <w:t xml:space="preserve">-10.28亿元</w:t>
            </w:r>
          </w:p>
        </w:tc>
      </w:tr>
      <w:tr>
        <w:tc>
          <w:tcPr/>
          <w:p>
            <w:pPr>
              <w:pStyle w:val="Compact"/>
              <w:jc w:val="right"/>
            </w:pPr>
            <w:r>
              <w:t xml:space="preserve">8</w:t>
            </w:r>
          </w:p>
        </w:tc>
        <w:tc>
          <w:tcPr/>
          <w:p>
            <w:pPr>
              <w:pStyle w:val="Compact"/>
            </w:pPr>
            <w:r>
              <w:rPr>
                <w:rFonts w:hint="eastAsia"/>
              </w:rPr>
              <w:t xml:space="preserve">航海装备Ⅱ</w:t>
            </w:r>
          </w:p>
        </w:tc>
        <w:tc>
          <w:tcPr/>
          <w:p>
            <w:pPr>
              <w:pStyle w:val="Compact"/>
              <w:jc w:val="right"/>
            </w:pPr>
            <w:r>
              <w:rPr>
                <w:rFonts w:hint="eastAsia"/>
              </w:rPr>
              <w:t xml:space="preserve">-9.88亿元</w:t>
            </w:r>
          </w:p>
        </w:tc>
      </w:tr>
      <w:tr>
        <w:tc>
          <w:tcPr/>
          <w:p>
            <w:pPr>
              <w:pStyle w:val="Compact"/>
              <w:jc w:val="right"/>
            </w:pPr>
            <w:r>
              <w:t xml:space="preserve">9</w:t>
            </w:r>
          </w:p>
        </w:tc>
        <w:tc>
          <w:tcPr/>
          <w:p>
            <w:pPr>
              <w:pStyle w:val="Compact"/>
            </w:pPr>
            <w:r>
              <w:rPr>
                <w:rFonts w:hint="eastAsia"/>
              </w:rPr>
              <w:t xml:space="preserve">贵金属</w:t>
            </w:r>
          </w:p>
        </w:tc>
        <w:tc>
          <w:tcPr/>
          <w:p>
            <w:pPr>
              <w:pStyle w:val="Compact"/>
              <w:jc w:val="right"/>
            </w:pPr>
            <w:r>
              <w:rPr>
                <w:rFonts w:hint="eastAsia"/>
              </w:rPr>
              <w:t xml:space="preserve">-8.77亿元</w:t>
            </w:r>
          </w:p>
        </w:tc>
      </w:tr>
      <w:tr>
        <w:tc>
          <w:tcPr/>
          <w:p>
            <w:pPr>
              <w:pStyle w:val="Compact"/>
              <w:jc w:val="right"/>
            </w:pPr>
            <w:r>
              <w:t xml:space="preserve">10</w:t>
            </w:r>
          </w:p>
        </w:tc>
        <w:tc>
          <w:tcPr/>
          <w:p>
            <w:pPr>
              <w:pStyle w:val="Compact"/>
            </w:pPr>
            <w:r>
              <w:rPr>
                <w:rFonts w:hint="eastAsia"/>
              </w:rPr>
              <w:t xml:space="preserve">银行Ⅱ</w:t>
            </w:r>
          </w:p>
        </w:tc>
        <w:tc>
          <w:tcPr/>
          <w:p>
            <w:pPr>
              <w:pStyle w:val="Compact"/>
              <w:jc w:val="right"/>
            </w:pPr>
            <w:r>
              <w:rPr>
                <w:rFonts w:hint="eastAsia"/>
              </w:rPr>
              <w:t xml:space="preserve">-8.47亿元</w:t>
            </w:r>
          </w:p>
        </w:tc>
      </w:tr>
    </w:tbl>
    <w:bookmarkEnd w:id="37"/>
    <w:bookmarkStart w:id="38" w:name="流出top10个股15"/>
    <w:p>
      <w:pPr>
        <w:pStyle w:val="Heading3"/>
      </w:pPr>
      <w:r>
        <w:t xml:space="preserve">💰 </w:t>
      </w:r>
      <w:r>
        <w:rPr>
          <w:rFonts w:hint="eastAsia"/>
        </w:rPr>
        <w:t xml:space="preserve">流出TOP10个股（1—5）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-160.59亿元</w:t>
            </w:r>
          </w:p>
        </w:tc>
      </w:tr>
      <w:tr>
        <w:tc>
          <w:tcPr/>
          <w:p>
            <w:pPr>
              <w:pStyle w:val="Compact"/>
              <w:jc w:val="right"/>
            </w:pPr>
            <w:r>
              <w:t xml:space="preserve">2</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-80.31亿元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-77.08亿元</w:t>
            </w:r>
          </w:p>
        </w:tc>
      </w:tr>
      <w:tr>
        <w:tc>
          <w:tcPr/>
          <w:p>
            <w:pPr>
              <w:pStyle w:val="Compact"/>
              <w:jc w:val="right"/>
            </w:pPr>
            <w:r>
              <w:t xml:space="preserve">4</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-67.14亿元</w:t>
            </w:r>
          </w:p>
        </w:tc>
      </w:tr>
      <w:tr>
        <w:tc>
          <w:tcPr/>
          <w:p>
            <w:pPr>
              <w:pStyle w:val="Compact"/>
              <w:jc w:val="right"/>
            </w:pPr>
            <w:r>
              <w:t xml:space="preserve">5</w:t>
            </w:r>
          </w:p>
        </w:tc>
        <w:tc>
          <w:tcPr/>
          <w:p>
            <w:pPr>
              <w:pStyle w:val="Compact"/>
            </w:pPr>
            <w:r>
              <w:rPr>
                <w:rFonts w:hint="eastAsia"/>
              </w:rPr>
              <w:t xml:space="preserve">风华高科</w:t>
            </w:r>
          </w:p>
        </w:tc>
        <w:tc>
          <w:tcPr/>
          <w:p>
            <w:pPr>
              <w:pStyle w:val="Compact"/>
            </w:pPr>
            <w:r>
              <w:t xml:space="preserve">000636</w:t>
            </w:r>
          </w:p>
        </w:tc>
        <w:tc>
          <w:tcPr/>
          <w:p>
            <w:pPr>
              <w:pStyle w:val="Compact"/>
              <w:jc w:val="right"/>
            </w:pPr>
            <w:r>
              <w:rPr>
                <w:rFonts w:hint="eastAsia"/>
              </w:rPr>
              <w:t xml:space="preserve">-52.82亿元</w:t>
            </w:r>
          </w:p>
        </w:tc>
      </w:tr>
    </w:tbl>
    <w:bookmarkEnd w:id="38"/>
    <w:bookmarkStart w:id="39" w:name="流出top10个股610"/>
    <w:p>
      <w:pPr>
        <w:pStyle w:val="Heading3"/>
      </w:pPr>
      <w:r>
        <w:t xml:space="preserve">💰 </w:t>
      </w:r>
      <w:r>
        <w:rPr>
          <w:rFonts w:hint="eastAsia"/>
        </w:rPr>
        <w:t xml:space="preserve">流出TOP10个股（6—10）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东山精密</w:t>
            </w:r>
          </w:p>
        </w:tc>
        <w:tc>
          <w:tcPr/>
          <w:p>
            <w:pPr>
              <w:pStyle w:val="Compact"/>
            </w:pPr>
            <w:r>
              <w:t xml:space="preserve">002384</w:t>
            </w:r>
          </w:p>
        </w:tc>
        <w:tc>
          <w:tcPr/>
          <w:p>
            <w:pPr>
              <w:pStyle w:val="Compact"/>
              <w:jc w:val="right"/>
            </w:pPr>
            <w:r>
              <w:rPr>
                <w:rFonts w:hint="eastAsia"/>
              </w:rPr>
              <w:t xml:space="preserve">-49.46亿元</w:t>
            </w:r>
          </w:p>
        </w:tc>
      </w:tr>
      <w:tr>
        <w:tc>
          <w:tcPr/>
          <w:p>
            <w:pPr>
              <w:pStyle w:val="Compact"/>
              <w:jc w:val="right"/>
            </w:pPr>
            <w:r>
              <w:t xml:space="preserve">7</w:t>
            </w:r>
          </w:p>
        </w:tc>
        <w:tc>
          <w:tcPr/>
          <w:p>
            <w:pPr>
              <w:pStyle w:val="Compact"/>
            </w:pPr>
            <w:r>
              <w:rPr>
                <w:rFonts w:hint="eastAsia"/>
              </w:rPr>
              <w:t xml:space="preserve">三环集团</w:t>
            </w:r>
          </w:p>
        </w:tc>
        <w:tc>
          <w:tcPr/>
          <w:p>
            <w:pPr>
              <w:pStyle w:val="Compact"/>
            </w:pPr>
            <w:r>
              <w:t xml:space="preserve">300408</w:t>
            </w:r>
          </w:p>
        </w:tc>
        <w:tc>
          <w:tcPr/>
          <w:p>
            <w:pPr>
              <w:pStyle w:val="Compact"/>
              <w:jc w:val="right"/>
            </w:pPr>
            <w:r>
              <w:rPr>
                <w:rFonts w:hint="eastAsia"/>
              </w:rPr>
              <w:t xml:space="preserve">-47.10亿元</w:t>
            </w:r>
          </w:p>
        </w:tc>
      </w:tr>
      <w:tr>
        <w:tc>
          <w:tcPr/>
          <w:p>
            <w:pPr>
              <w:pStyle w:val="Compact"/>
              <w:jc w:val="right"/>
            </w:pPr>
            <w:r>
              <w:t xml:space="preserve">8</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-45.26亿元</w:t>
            </w:r>
          </w:p>
        </w:tc>
      </w:tr>
      <w:tr>
        <w:tc>
          <w:tcPr/>
          <w:p>
            <w:pPr>
              <w:pStyle w:val="Compact"/>
              <w:jc w:val="right"/>
            </w:pPr>
            <w:r>
              <w:t xml:space="preserve">9</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-43.40亿元</w:t>
            </w:r>
          </w:p>
        </w:tc>
      </w:tr>
      <w:tr>
        <w:tc>
          <w:tcPr/>
          <w:p>
            <w:pPr>
              <w:pStyle w:val="Compact"/>
              <w:jc w:val="right"/>
            </w:pPr>
            <w:r>
              <w:t xml:space="preserve">10</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-43.09亿元</w:t>
            </w:r>
          </w:p>
        </w:tc>
      </w:tr>
    </w:tbl>
    <w:bookmarkEnd w:id="39"/>
    <w:bookmarkStart w:id="40" w:name="流入top10板块15"/>
    <w:p>
      <w:pPr>
        <w:pStyle w:val="Heading3"/>
      </w:pPr>
      <w:r>
        <w:t xml:space="preserve">💰 </w:t>
      </w:r>
      <w:r>
        <w:rPr>
          <w:rFonts w:hint="eastAsia"/>
        </w:rPr>
        <w:t xml:space="preserve">流入TOP10板块（1—5）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元件</w:t>
            </w:r>
          </w:p>
        </w:tc>
        <w:tc>
          <w:tcPr/>
          <w:p>
            <w:pPr>
              <w:pStyle w:val="Compact"/>
              <w:jc w:val="right"/>
            </w:pPr>
            <w:r>
              <w:rPr>
                <w:rFonts w:hint="eastAsia"/>
              </w:rPr>
              <w:t xml:space="preserve">+28.84亿元</w:t>
            </w:r>
          </w:p>
        </w:tc>
      </w:tr>
      <w:tr>
        <w:tc>
          <w:tcPr/>
          <w:p>
            <w:pPr>
              <w:pStyle w:val="Compact"/>
              <w:jc w:val="right"/>
            </w:pPr>
            <w:r>
              <w:t xml:space="preserve">2</w:t>
            </w:r>
          </w:p>
        </w:tc>
        <w:tc>
          <w:tcPr/>
          <w:p>
            <w:pPr>
              <w:pStyle w:val="Compact"/>
            </w:pPr>
            <w:r>
              <w:rPr>
                <w:rFonts w:hint="eastAsia"/>
              </w:rPr>
              <w:t xml:space="preserve">通用设备</w:t>
            </w:r>
          </w:p>
        </w:tc>
        <w:tc>
          <w:tcPr/>
          <w:p>
            <w:pPr>
              <w:pStyle w:val="Compact"/>
              <w:jc w:val="right"/>
            </w:pPr>
            <w:r>
              <w:rPr>
                <w:rFonts w:hint="eastAsia"/>
              </w:rPr>
              <w:t xml:space="preserve">+18.52亿元</w:t>
            </w:r>
          </w:p>
        </w:tc>
      </w:tr>
      <w:tr>
        <w:tc>
          <w:tcPr/>
          <w:p>
            <w:pPr>
              <w:pStyle w:val="Compact"/>
              <w:jc w:val="right"/>
            </w:pPr>
            <w:r>
              <w:t xml:space="preserve">3</w:t>
            </w:r>
          </w:p>
        </w:tc>
        <w:tc>
          <w:tcPr/>
          <w:p>
            <w:pPr>
              <w:pStyle w:val="Compact"/>
            </w:pPr>
            <w:r>
              <w:rPr>
                <w:rFonts w:hint="eastAsia"/>
              </w:rPr>
              <w:t xml:space="preserve">电子化学品Ⅱ</w:t>
            </w:r>
          </w:p>
        </w:tc>
        <w:tc>
          <w:tcPr/>
          <w:p>
            <w:pPr>
              <w:pStyle w:val="Compact"/>
              <w:jc w:val="right"/>
            </w:pPr>
            <w:r>
              <w:rPr>
                <w:rFonts w:hint="eastAsia"/>
              </w:rPr>
              <w:t xml:space="preserve">+17.63亿元</w:t>
            </w:r>
          </w:p>
        </w:tc>
      </w:tr>
      <w:tr>
        <w:tc>
          <w:tcPr/>
          <w:p>
            <w:pPr>
              <w:pStyle w:val="Compact"/>
              <w:jc w:val="right"/>
            </w:pPr>
            <w:r>
              <w:t xml:space="preserve">4</w:t>
            </w:r>
          </w:p>
        </w:tc>
        <w:tc>
          <w:tcPr/>
          <w:p>
            <w:pPr>
              <w:pStyle w:val="Compact"/>
            </w:pPr>
            <w:r>
              <w:rPr>
                <w:rFonts w:hint="eastAsia"/>
              </w:rPr>
              <w:t xml:space="preserve">电池</w:t>
            </w:r>
          </w:p>
        </w:tc>
        <w:tc>
          <w:tcPr/>
          <w:p>
            <w:pPr>
              <w:pStyle w:val="Compact"/>
              <w:jc w:val="right"/>
            </w:pPr>
            <w:r>
              <w:rPr>
                <w:rFonts w:hint="eastAsia"/>
              </w:rPr>
              <w:t xml:space="preserve">+17.09亿元</w:t>
            </w:r>
          </w:p>
        </w:tc>
      </w:tr>
      <w:tr>
        <w:tc>
          <w:tcPr/>
          <w:p>
            <w:pPr>
              <w:pStyle w:val="Compact"/>
              <w:jc w:val="right"/>
            </w:pPr>
            <w:r>
              <w:t xml:space="preserve">5</w:t>
            </w:r>
          </w:p>
        </w:tc>
        <w:tc>
          <w:tcPr/>
          <w:p>
            <w:pPr>
              <w:pStyle w:val="Compact"/>
            </w:pPr>
            <w:r>
              <w:rPr>
                <w:rFonts w:hint="eastAsia"/>
              </w:rPr>
              <w:t xml:space="preserve">医疗服务</w:t>
            </w:r>
          </w:p>
        </w:tc>
        <w:tc>
          <w:tcPr/>
          <w:p>
            <w:pPr>
              <w:pStyle w:val="Compact"/>
              <w:jc w:val="right"/>
            </w:pPr>
            <w:r>
              <w:rPr>
                <w:rFonts w:hint="eastAsia"/>
              </w:rPr>
              <w:t xml:space="preserve">+16.36亿元</w:t>
            </w:r>
          </w:p>
        </w:tc>
      </w:tr>
    </w:tbl>
    <w:bookmarkEnd w:id="40"/>
    <w:bookmarkStart w:id="41" w:name="流入top10板块610"/>
    <w:p>
      <w:pPr>
        <w:pStyle w:val="Heading3"/>
      </w:pPr>
      <w:r>
        <w:t xml:space="preserve">💰 </w:t>
      </w:r>
      <w:r>
        <w:rPr>
          <w:rFonts w:hint="eastAsia"/>
        </w:rPr>
        <w:t xml:space="preserve">流入TOP10板块（6—10）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调味发酵品Ⅱ</w:t>
            </w:r>
          </w:p>
        </w:tc>
        <w:tc>
          <w:tcPr/>
          <w:p>
            <w:pPr>
              <w:pStyle w:val="Compact"/>
              <w:jc w:val="right"/>
            </w:pPr>
            <w:r>
              <w:rPr>
                <w:rFonts w:hint="eastAsia"/>
              </w:rPr>
              <w:t xml:space="preserve">+12.10亿元</w:t>
            </w:r>
          </w:p>
        </w:tc>
      </w:tr>
      <w:tr>
        <w:tc>
          <w:tcPr/>
          <w:p>
            <w:pPr>
              <w:pStyle w:val="Compact"/>
              <w:jc w:val="right"/>
            </w:pPr>
            <w:r>
              <w:t xml:space="preserve">7</w:t>
            </w:r>
          </w:p>
        </w:tc>
        <w:tc>
          <w:tcPr/>
          <w:p>
            <w:pPr>
              <w:pStyle w:val="Compact"/>
            </w:pPr>
            <w:r>
              <w:rPr>
                <w:rFonts w:hint="eastAsia"/>
              </w:rPr>
              <w:t xml:space="preserve">玻璃玻纤</w:t>
            </w:r>
          </w:p>
        </w:tc>
        <w:tc>
          <w:tcPr/>
          <w:p>
            <w:pPr>
              <w:pStyle w:val="Compact"/>
              <w:jc w:val="right"/>
            </w:pPr>
            <w:r>
              <w:rPr>
                <w:rFonts w:hint="eastAsia"/>
              </w:rPr>
              <w:t xml:space="preserve">+8.59亿元</w:t>
            </w:r>
          </w:p>
        </w:tc>
      </w:tr>
      <w:tr>
        <w:tc>
          <w:tcPr/>
          <w:p>
            <w:pPr>
              <w:pStyle w:val="Compact"/>
              <w:jc w:val="right"/>
            </w:pPr>
            <w:r>
              <w:t xml:space="preserve">8</w:t>
            </w:r>
          </w:p>
        </w:tc>
        <w:tc>
          <w:tcPr/>
          <w:p>
            <w:pPr>
              <w:pStyle w:val="Compact"/>
            </w:pPr>
            <w:r>
              <w:rPr>
                <w:rFonts w:hint="eastAsia"/>
              </w:rPr>
              <w:t xml:space="preserve">软件开发</w:t>
            </w:r>
          </w:p>
        </w:tc>
        <w:tc>
          <w:tcPr/>
          <w:p>
            <w:pPr>
              <w:pStyle w:val="Compact"/>
              <w:jc w:val="right"/>
            </w:pPr>
            <w:r>
              <w:rPr>
                <w:rFonts w:hint="eastAsia"/>
              </w:rPr>
              <w:t xml:space="preserve">+6.38亿元</w:t>
            </w:r>
          </w:p>
        </w:tc>
      </w:tr>
      <w:tr>
        <w:tc>
          <w:tcPr/>
          <w:p>
            <w:pPr>
              <w:pStyle w:val="Compact"/>
              <w:jc w:val="right"/>
            </w:pPr>
            <w:r>
              <w:t xml:space="preserve">9</w:t>
            </w:r>
          </w:p>
        </w:tc>
        <w:tc>
          <w:tcPr/>
          <w:p>
            <w:pPr>
              <w:pStyle w:val="Compact"/>
            </w:pPr>
            <w:r>
              <w:rPr>
                <w:rFonts w:hint="eastAsia"/>
              </w:rPr>
              <w:t xml:space="preserve">化学制药</w:t>
            </w:r>
          </w:p>
        </w:tc>
        <w:tc>
          <w:tcPr/>
          <w:p>
            <w:pPr>
              <w:pStyle w:val="Compact"/>
              <w:jc w:val="right"/>
            </w:pPr>
            <w:r>
              <w:rPr>
                <w:rFonts w:hint="eastAsia"/>
              </w:rPr>
              <w:t xml:space="preserve">+5.95亿元</w:t>
            </w:r>
          </w:p>
        </w:tc>
      </w:tr>
      <w:tr>
        <w:tc>
          <w:tcPr/>
          <w:p>
            <w:pPr>
              <w:pStyle w:val="Compact"/>
              <w:jc w:val="right"/>
            </w:pPr>
            <w:r>
              <w:t xml:space="preserve">10</w:t>
            </w:r>
          </w:p>
        </w:tc>
        <w:tc>
          <w:tcPr/>
          <w:p>
            <w:pPr>
              <w:pStyle w:val="Compact"/>
            </w:pPr>
            <w:r>
              <w:rPr>
                <w:rFonts w:hint="eastAsia"/>
              </w:rPr>
              <w:t xml:space="preserve">电力</w:t>
            </w:r>
          </w:p>
        </w:tc>
        <w:tc>
          <w:tcPr/>
          <w:p>
            <w:pPr>
              <w:pStyle w:val="Compact"/>
              <w:jc w:val="right"/>
            </w:pPr>
            <w:r>
              <w:rPr>
                <w:rFonts w:hint="eastAsia"/>
              </w:rPr>
              <w:t xml:space="preserve">+5.02亿元</w:t>
            </w:r>
          </w:p>
        </w:tc>
      </w:tr>
    </w:tbl>
    <w:bookmarkEnd w:id="41"/>
    <w:bookmarkStart w:id="42" w:name="流入top10个股15"/>
    <w:p>
      <w:pPr>
        <w:pStyle w:val="Heading3"/>
      </w:pPr>
      <w:r>
        <w:t xml:space="preserve">💰 </w:t>
      </w:r>
      <w:r>
        <w:rPr>
          <w:rFonts w:hint="eastAsia"/>
        </w:rPr>
        <w:t xml:space="preserve">流入TOP10个股（1—5）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+132.19亿元</w:t>
            </w:r>
          </w:p>
        </w:tc>
      </w:tr>
      <w:tr>
        <w:tc>
          <w:tcPr/>
          <w:p>
            <w:pPr>
              <w:pStyle w:val="Compact"/>
              <w:jc w:val="right"/>
            </w:pPr>
            <w:r>
              <w:t xml:space="preserve">2</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+81.47亿元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+65.75亿元</w:t>
            </w:r>
          </w:p>
        </w:tc>
      </w:tr>
      <w:tr>
        <w:tc>
          <w:tcPr/>
          <w:p>
            <w:pPr>
              <w:pStyle w:val="Compact"/>
              <w:jc w:val="right"/>
            </w:pPr>
            <w:r>
              <w:t xml:space="preserve">4</w:t>
            </w:r>
          </w:p>
        </w:tc>
        <w:tc>
          <w:tcPr/>
          <w:p>
            <w:pPr>
              <w:pStyle w:val="Compact"/>
            </w:pPr>
            <w:r>
              <w:rPr>
                <w:rFonts w:hint="eastAsia"/>
              </w:rPr>
              <w:t xml:space="preserve">风华高科</w:t>
            </w:r>
          </w:p>
        </w:tc>
        <w:tc>
          <w:tcPr/>
          <w:p>
            <w:pPr>
              <w:pStyle w:val="Compact"/>
            </w:pPr>
            <w:r>
              <w:t xml:space="preserve">000636</w:t>
            </w:r>
          </w:p>
        </w:tc>
        <w:tc>
          <w:tcPr/>
          <w:p>
            <w:pPr>
              <w:pStyle w:val="Compact"/>
              <w:jc w:val="right"/>
            </w:pPr>
            <w:r>
              <w:rPr>
                <w:rFonts w:hint="eastAsia"/>
              </w:rPr>
              <w:t xml:space="preserve">+52.48亿元</w:t>
            </w:r>
          </w:p>
        </w:tc>
      </w:tr>
      <w:tr>
        <w:tc>
          <w:tcPr/>
          <w:p>
            <w:pPr>
              <w:pStyle w:val="Compact"/>
              <w:jc w:val="right"/>
            </w:pPr>
            <w:r>
              <w:t xml:space="preserve">5</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+51.90亿元</w:t>
            </w:r>
          </w:p>
        </w:tc>
      </w:tr>
    </w:tbl>
    <w:bookmarkEnd w:id="42"/>
    <w:bookmarkStart w:id="43" w:name="流入top10个股610"/>
    <w:p>
      <w:pPr>
        <w:pStyle w:val="Heading3"/>
      </w:pPr>
      <w:r>
        <w:t xml:space="preserve">💰 </w:t>
      </w:r>
      <w:r>
        <w:rPr>
          <w:rFonts w:hint="eastAsia"/>
        </w:rPr>
        <w:t xml:space="preserve">流入TOP10个股（6—10）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三环集团</w:t>
            </w:r>
          </w:p>
        </w:tc>
        <w:tc>
          <w:tcPr/>
          <w:p>
            <w:pPr>
              <w:pStyle w:val="Compact"/>
            </w:pPr>
            <w:r>
              <w:t xml:space="preserve">300408</w:t>
            </w:r>
          </w:p>
        </w:tc>
        <w:tc>
          <w:tcPr/>
          <w:p>
            <w:pPr>
              <w:pStyle w:val="Compact"/>
              <w:jc w:val="right"/>
            </w:pPr>
            <w:r>
              <w:rPr>
                <w:rFonts w:hint="eastAsia"/>
              </w:rPr>
              <w:t xml:space="preserve">+50.92亿元</w:t>
            </w:r>
          </w:p>
        </w:tc>
      </w:tr>
      <w:tr>
        <w:tc>
          <w:tcPr/>
          <w:p>
            <w:pPr>
              <w:pStyle w:val="Compact"/>
              <w:jc w:val="right"/>
            </w:pPr>
            <w:r>
              <w:t xml:space="preserve">7</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+49.62亿元</w:t>
            </w:r>
          </w:p>
        </w:tc>
      </w:tr>
      <w:tr>
        <w:tc>
          <w:tcPr/>
          <w:p>
            <w:pPr>
              <w:pStyle w:val="Compact"/>
              <w:jc w:val="right"/>
            </w:pPr>
            <w:r>
              <w:t xml:space="preserve">8</w:t>
            </w:r>
          </w:p>
        </w:tc>
        <w:tc>
          <w:tcPr/>
          <w:p>
            <w:pPr>
              <w:pStyle w:val="Compact"/>
            </w:pPr>
            <w:r>
              <w:rPr>
                <w:rFonts w:hint="eastAsia"/>
              </w:rPr>
              <w:t xml:space="preserve">中国巨石</w:t>
            </w:r>
          </w:p>
        </w:tc>
        <w:tc>
          <w:tcPr/>
          <w:p>
            <w:pPr>
              <w:pStyle w:val="Compact"/>
            </w:pPr>
            <w:r>
              <w:t xml:space="preserve">600176</w:t>
            </w:r>
          </w:p>
        </w:tc>
        <w:tc>
          <w:tcPr/>
          <w:p>
            <w:pPr>
              <w:pStyle w:val="Compact"/>
              <w:jc w:val="right"/>
            </w:pPr>
            <w:r>
              <w:rPr>
                <w:rFonts w:hint="eastAsia"/>
              </w:rPr>
              <w:t xml:space="preserve">+45.56亿元</w:t>
            </w:r>
          </w:p>
        </w:tc>
      </w:tr>
      <w:tr>
        <w:tc>
          <w:tcPr/>
          <w:p>
            <w:pPr>
              <w:pStyle w:val="Compact"/>
              <w:jc w:val="right"/>
            </w:pPr>
            <w:r>
              <w:t xml:space="preserve">9</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+41.79亿元</w:t>
            </w:r>
          </w:p>
        </w:tc>
      </w:tr>
      <w:tr>
        <w:tc>
          <w:tcPr/>
          <w:p>
            <w:pPr>
              <w:pStyle w:val="Compact"/>
              <w:jc w:val="right"/>
            </w:pPr>
            <w:r>
              <w:t xml:space="preserve">10</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+39.72亿元</w:t>
            </w:r>
          </w:p>
        </w:tc>
      </w:tr>
    </w:tbl>
    <w:p>
      <w:pPr>
        <w:pStyle w:val="BodyText"/>
      </w:pPr>
      <w:r>
        <w:t xml:space="preserve">⚠️ </w:t>
      </w:r>
      <w:r>
        <w:rPr>
          <w:rFonts w:hint="eastAsia"/>
        </w:rPr>
        <w:t xml:space="preserve">多只高成交个股同时出现在流入榜与流出榜，反映的是大额双向交易和激烈换手。不得把单边流入金额直接视为净增仓结论，也不得自行用两张榜相减替代上游统计口径。</w:t>
      </w:r>
    </w:p>
    <w:p>
      <w:r>
        <w:pict>
          <v:rect style="width:0;height:1.5pt" o:hralign="center" o:hrstd="t" o:hr="t"/>
        </w:pict>
      </w:r>
    </w:p>
    <w:bookmarkEnd w:id="43"/>
    <w:bookmarkEnd w:id="44"/>
    <w:bookmarkStart w:id="50" w:name="两融宽基etf成交额恐慌联合信号"/>
    <w:p>
      <w:pPr>
        <w:pStyle w:val="Heading2"/>
      </w:pPr>
      <w:r>
        <w:t xml:space="preserve">💧 </w:t>
      </w:r>
      <w:r>
        <w:rPr>
          <w:rFonts w:hint="eastAsia"/>
        </w:rPr>
        <w:t xml:space="preserve">两融·宽基ETF·成交额·恐慌联合信号</w:t>
      </w:r>
    </w:p>
    <w:bookmarkStart w:id="45"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实际结算日</w:t>
            </w:r>
          </w:p>
        </w:tc>
        <w:tc>
          <w:tcPr/>
          <w:p>
            <w:pPr>
              <w:pStyle w:val="Compact"/>
              <w:jc w:val="right"/>
            </w:pPr>
            <w:r>
              <w:rPr>
                <w:rFonts w:hint="eastAsia"/>
              </w:rPr>
              <w:t xml:space="preserve">两融余额</w:t>
            </w:r>
          </w:p>
        </w:tc>
        <w:tc>
          <w:tcPr/>
          <w:p>
            <w:pPr>
              <w:pStyle w:val="Compact"/>
              <w:jc w:val="right"/>
            </w:pPr>
            <w:r>
              <w:rPr>
                <w:rFonts w:hint="eastAsia"/>
              </w:rPr>
              <w:t xml:space="preserve">融资余额</w:t>
            </w:r>
          </w:p>
        </w:tc>
        <w:tc>
          <w:tcPr/>
          <w:p>
            <w:pPr>
              <w:pStyle w:val="Compact"/>
              <w:jc w:val="right"/>
            </w:pPr>
            <w:r>
              <w:rPr>
                <w:rFonts w:hint="eastAsia"/>
              </w:rPr>
              <w:t xml:space="preserve">融券余额</w:t>
            </w:r>
          </w:p>
        </w:tc>
      </w:tr>
      <w:tr>
        <w:tc>
          <w:tcPr/>
          <w:p>
            <w:pPr>
              <w:pStyle w:val="Compact"/>
            </w:pPr>
            <w:r>
              <w:t xml:space="preserve">2026-09-11</w:t>
            </w:r>
          </w:p>
        </w:tc>
        <w:tc>
          <w:tcPr/>
          <w:p>
            <w:pPr>
              <w:pStyle w:val="Compact"/>
              <w:jc w:val="right"/>
            </w:pPr>
            <w:r>
              <w:rPr>
                <w:rFonts w:hint="eastAsia"/>
              </w:rPr>
              <w:t xml:space="preserve">26316.2588亿元</w:t>
            </w:r>
          </w:p>
        </w:tc>
        <w:tc>
          <w:tcPr/>
          <w:p>
            <w:pPr>
              <w:pStyle w:val="Compact"/>
              <w:jc w:val="right"/>
            </w:pPr>
            <w:r>
              <w:rPr>
                <w:rFonts w:hint="eastAsia"/>
              </w:rPr>
              <w:t xml:space="preserve">26025.9470亿元</w:t>
            </w:r>
          </w:p>
        </w:tc>
        <w:tc>
          <w:tcPr/>
          <w:p>
            <w:pPr>
              <w:pStyle w:val="Compact"/>
              <w:jc w:val="right"/>
            </w:pPr>
            <w:r>
              <w:rPr>
                <w:rFonts w:hint="eastAsia"/>
              </w:rPr>
              <w:t xml:space="preserve">290.3118亿元</w:t>
            </w:r>
          </w:p>
        </w:tc>
      </w:tr>
      <w:tr>
        <w:tc>
          <w:tcPr/>
          <w:p>
            <w:pPr>
              <w:pStyle w:val="Compact"/>
            </w:pPr>
            <w:r>
              <w:t xml:space="preserve">2026-09-10</w:t>
            </w:r>
          </w:p>
        </w:tc>
        <w:tc>
          <w:tcPr/>
          <w:p>
            <w:pPr>
              <w:pStyle w:val="Compact"/>
              <w:jc w:val="right"/>
            </w:pPr>
            <w:r>
              <w:rPr>
                <w:rFonts w:hint="eastAsia"/>
              </w:rPr>
              <w:t xml:space="preserve">26463.6883亿元</w:t>
            </w:r>
          </w:p>
        </w:tc>
        <w:tc>
          <w:tcPr/>
          <w:p>
            <w:pPr>
              <w:pStyle w:val="Compact"/>
              <w:jc w:val="right"/>
            </w:pPr>
            <w:r>
              <w:rPr>
                <w:rFonts w:hint="eastAsia"/>
              </w:rPr>
              <w:t xml:space="preserve">26171.8899亿元</w:t>
            </w:r>
          </w:p>
        </w:tc>
        <w:tc>
          <w:tcPr/>
          <w:p>
            <w:pPr>
              <w:pStyle w:val="Compact"/>
              <w:jc w:val="right"/>
            </w:pPr>
            <w:r>
              <w:rPr>
                <w:rFonts w:hint="eastAsia"/>
              </w:rPr>
              <w:t xml:space="preserve">291.7984亿元</w:t>
            </w:r>
          </w:p>
        </w:tc>
      </w:tr>
    </w:tbl>
    <w:p>
      <w:pPr>
        <w:pStyle w:val="Compact"/>
        <w:numPr>
          <w:ilvl w:val="0"/>
          <w:numId w:val="1027"/>
        </w:numPr>
      </w:pPr>
      <w:r>
        <w:rPr>
          <w:rFonts w:hint="eastAsia"/>
        </w:rPr>
        <w:t xml:space="preserve">两融余额减少147.4295亿元，降幅0.5571%。</w:t>
      </w:r>
    </w:p>
    <w:p>
      <w:pPr>
        <w:pStyle w:val="Compact"/>
        <w:numPr>
          <w:ilvl w:val="0"/>
          <w:numId w:val="1027"/>
        </w:numPr>
      </w:pPr>
      <w:r>
        <w:rPr>
          <w:rFonts w:hint="eastAsia"/>
        </w:rPr>
        <w:t xml:space="preserve">融资余额减少145.9429亿元。</w:t>
      </w:r>
    </w:p>
    <w:p>
      <w:pPr>
        <w:pStyle w:val="Compact"/>
        <w:numPr>
          <w:ilvl w:val="0"/>
          <w:numId w:val="1027"/>
        </w:numPr>
      </w:pPr>
      <w:r>
        <w:rPr>
          <w:rFonts w:hint="eastAsia"/>
        </w:rPr>
        <w:t xml:space="preserve">融券余额减少1.4866亿元。</w:t>
      </w:r>
    </w:p>
    <w:p>
      <w:pPr>
        <w:pStyle w:val="Compact"/>
        <w:numPr>
          <w:ilvl w:val="0"/>
          <w:numId w:val="1027"/>
        </w:numPr>
      </w:pPr>
      <w:r>
        <w:rPr>
          <w:rFonts w:hint="eastAsia"/>
        </w:rPr>
        <w:t xml:space="preserve">本轮下降主要由融资余额减少驱动，说明杠杆资金风险偏好回落，而非融券端变化主导。</w:t>
      </w:r>
    </w:p>
    <w:p>
      <w:pPr>
        <w:pStyle w:val="Compact"/>
        <w:numPr>
          <w:ilvl w:val="0"/>
          <w:numId w:val="1027"/>
        </w:numPr>
      </w:pPr>
      <w:r>
        <w:rPr>
          <w:rFonts w:hint="eastAsia"/>
          <w:b/>
          <w:bCs/>
        </w:rPr>
        <w:t xml:space="preserve">T+1滞后，报告日当日两融尚未发布。</w:t>
      </w:r>
    </w:p>
    <w:bookmarkEnd w:id="45"/>
    <w:bookmarkStart w:id="46" w:name="宽基etf份额与净申购估算"/>
    <w:p>
      <w:pPr>
        <w:pStyle w:val="Heading3"/>
      </w:pPr>
      <w:r>
        <w:t xml:space="preserve">💰 </w:t>
      </w:r>
      <w:r>
        <w:rPr>
          <w:rFonts w:hint="eastAsia"/>
        </w:rPr>
        <w:t xml:space="preserve">宽基ETF份额与净申购估算</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ETF</w:t>
            </w:r>
          </w:p>
        </w:tc>
        <w:tc>
          <w:tcPr/>
          <w:p>
            <w:pPr>
              <w:pStyle w:val="Compact"/>
              <w:jc w:val="right"/>
            </w:pPr>
            <w:r>
              <w:rPr>
                <w:rFonts w:hint="eastAsia"/>
              </w:rPr>
              <w:t xml:space="preserve">最新份额变化</w:t>
            </w:r>
          </w:p>
        </w:tc>
        <w:tc>
          <w:tcPr/>
          <w:p>
            <w:pPr>
              <w:pStyle w:val="Compact"/>
              <w:jc w:val="right"/>
            </w:pPr>
            <w:r>
              <w:rPr>
                <w:rFonts w:hint="eastAsia"/>
              </w:rPr>
              <w:t xml:space="preserve">估算净申购</w:t>
            </w:r>
          </w:p>
        </w:tc>
        <w:tc>
          <w:tcPr/>
          <w:p>
            <w:pPr>
              <w:pStyle w:val="Compact"/>
            </w:pPr>
            <w:r>
              <w:rPr>
                <w:rFonts w:hint="eastAsia"/>
              </w:rPr>
              <w:t xml:space="preserve">连续流入</w:t>
            </w:r>
          </w:p>
        </w:tc>
      </w:tr>
      <w:tr>
        <w:tc>
          <w:tcPr/>
          <w:p>
            <w:pPr>
              <w:pStyle w:val="Compact"/>
            </w:pPr>
            <w:r>
              <w:rPr>
                <w:rFonts w:hint="eastAsia"/>
              </w:rPr>
              <w:t xml:space="preserve">科创50ETF（588000）</w:t>
            </w:r>
          </w:p>
        </w:tc>
        <w:tc>
          <w:tcPr/>
          <w:p>
            <w:pPr>
              <w:pStyle w:val="Compact"/>
              <w:jc w:val="right"/>
            </w:pPr>
            <w:r>
              <w:rPr>
                <w:rFonts w:hint="eastAsia"/>
              </w:rPr>
              <w:t xml:space="preserve">+5.19亿份</w:t>
            </w:r>
          </w:p>
        </w:tc>
        <w:tc>
          <w:tcPr/>
          <w:p>
            <w:pPr>
              <w:pStyle w:val="Compact"/>
              <w:jc w:val="right"/>
            </w:pPr>
            <w:r>
              <w:rPr>
                <w:rFonts w:hint="eastAsia"/>
              </w:rPr>
              <w:t xml:space="preserve">+8.37147亿元</w:t>
            </w:r>
          </w:p>
        </w:tc>
        <w:tc>
          <w:tcPr/>
          <w:p>
            <w:pPr>
              <w:pStyle w:val="Compact"/>
            </w:pPr>
            <w:r>
              <w:rPr>
                <w:rFonts w:hint="eastAsia"/>
              </w:rPr>
              <w:t xml:space="preserve">连续3个区间</w:t>
            </w:r>
          </w:p>
        </w:tc>
      </w:tr>
      <w:tr>
        <w:tc>
          <w:tcPr/>
          <w:p>
            <w:pPr>
              <w:pStyle w:val="Compact"/>
            </w:pPr>
            <w:r>
              <w:rPr>
                <w:rFonts w:hint="eastAsia"/>
              </w:rPr>
              <w:t xml:space="preserve">科创板50ETF（588080）</w:t>
            </w:r>
          </w:p>
        </w:tc>
        <w:tc>
          <w:tcPr/>
          <w:p>
            <w:pPr>
              <w:pStyle w:val="Compact"/>
              <w:jc w:val="right"/>
            </w:pPr>
            <w:r>
              <w:rPr>
                <w:rFonts w:hint="eastAsia"/>
              </w:rPr>
              <w:t xml:space="preserve">+2.01亿份</w:t>
            </w:r>
          </w:p>
        </w:tc>
        <w:tc>
          <w:tcPr/>
          <w:p>
            <w:pPr>
              <w:pStyle w:val="Compact"/>
              <w:jc w:val="right"/>
            </w:pPr>
            <w:r>
              <w:rPr>
                <w:rFonts w:hint="eastAsia"/>
              </w:rPr>
              <w:t xml:space="preserve">+3.14766亿元</w:t>
            </w:r>
          </w:p>
        </w:tc>
        <w:tc>
          <w:tcPr/>
          <w:p>
            <w:pPr>
              <w:pStyle w:val="Compact"/>
            </w:pPr>
            <w:r>
              <w:rPr>
                <w:rFonts w:hint="eastAsia"/>
              </w:rPr>
              <w:t xml:space="preserve">连续3个区间</w:t>
            </w:r>
          </w:p>
        </w:tc>
      </w:tr>
      <w:tr>
        <w:tc>
          <w:tcPr/>
          <w:p>
            <w:pPr>
              <w:pStyle w:val="Compact"/>
            </w:pPr>
            <w:r>
              <w:rPr>
                <w:rFonts w:hint="eastAsia"/>
              </w:rPr>
              <w:t xml:space="preserve">创业板ETF（159915）</w:t>
            </w:r>
          </w:p>
        </w:tc>
        <w:tc>
          <w:tcPr/>
          <w:p>
            <w:pPr>
              <w:pStyle w:val="Compact"/>
              <w:jc w:val="right"/>
            </w:pPr>
            <w:r>
              <w:rPr>
                <w:rFonts w:hint="eastAsia"/>
              </w:rPr>
              <w:t xml:space="preserve">+0.96亿份</w:t>
            </w:r>
          </w:p>
        </w:tc>
        <w:tc>
          <w:tcPr/>
          <w:p>
            <w:pPr>
              <w:pStyle w:val="Compact"/>
              <w:jc w:val="right"/>
            </w:pPr>
            <w:r>
              <w:rPr>
                <w:rFonts w:hint="eastAsia"/>
              </w:rPr>
              <w:t xml:space="preserve">+3.17184亿元</w:t>
            </w:r>
          </w:p>
        </w:tc>
        <w:tc>
          <w:tcPr/>
          <w:p>
            <w:pPr>
              <w:pStyle w:val="Compact"/>
            </w:pPr>
            <w:r>
              <w:rPr>
                <w:rFonts w:hint="eastAsia"/>
              </w:rPr>
              <w:t xml:space="preserve">连续3个区间</w:t>
            </w:r>
          </w:p>
        </w:tc>
      </w:tr>
      <w:tr>
        <w:tc>
          <w:tcPr/>
          <w:p>
            <w:pPr>
              <w:pStyle w:val="Compact"/>
            </w:pPr>
            <w:r>
              <w:rPr>
                <w:rFonts w:hint="eastAsia"/>
              </w:rPr>
              <w:t xml:space="preserve">沪深300ETF（510300）</w:t>
            </w:r>
          </w:p>
        </w:tc>
        <w:tc>
          <w:tcPr/>
          <w:p>
            <w:pPr>
              <w:pStyle w:val="Compact"/>
              <w:jc w:val="right"/>
            </w:pPr>
            <w:r>
              <w:rPr>
                <w:rFonts w:hint="eastAsia"/>
              </w:rPr>
              <w:t xml:space="preserve">+0.045亿份</w:t>
            </w:r>
          </w:p>
        </w:tc>
        <w:tc>
          <w:tcPr/>
          <w:p>
            <w:pPr>
              <w:pStyle w:val="Compact"/>
              <w:jc w:val="right"/>
            </w:pPr>
            <w:r>
              <w:rPr>
                <w:rFonts w:hint="eastAsia"/>
              </w:rPr>
              <w:t xml:space="preserve">+0.20484亿元</w:t>
            </w:r>
          </w:p>
        </w:tc>
        <w:tc>
          <w:tcPr/>
          <w:p>
            <w:pPr>
              <w:pStyle w:val="Compact"/>
            </w:pPr>
            <w:r>
              <w:rPr>
                <w:rFonts w:hint="eastAsia"/>
              </w:rPr>
              <w:t xml:space="preserve">连续3个区间</w:t>
            </w:r>
          </w:p>
        </w:tc>
      </w:tr>
      <w:tr>
        <w:tc>
          <w:tcPr/>
          <w:p>
            <w:pPr>
              <w:pStyle w:val="Compact"/>
            </w:pPr>
            <w:r>
              <w:rPr>
                <w:rFonts w:hint="eastAsia"/>
              </w:rPr>
              <w:t xml:space="preserve">上证50ETF（510050）</w:t>
            </w:r>
          </w:p>
        </w:tc>
        <w:tc>
          <w:tcPr/>
          <w:p>
            <w:pPr>
              <w:pStyle w:val="Compact"/>
              <w:jc w:val="right"/>
            </w:pPr>
            <w:r>
              <w:rPr>
                <w:rFonts w:hint="eastAsia"/>
              </w:rPr>
              <w:t xml:space="preserve">+0.153亿份</w:t>
            </w:r>
          </w:p>
        </w:tc>
        <w:tc>
          <w:tcPr/>
          <w:p>
            <w:pPr>
              <w:pStyle w:val="Compact"/>
              <w:jc w:val="right"/>
            </w:pPr>
            <w:r>
              <w:rPr>
                <w:rFonts w:hint="eastAsia"/>
              </w:rPr>
              <w:t xml:space="preserve">+0.455328亿元</w:t>
            </w:r>
          </w:p>
        </w:tc>
        <w:tc>
          <w:tcPr/>
          <w:p>
            <w:pPr>
              <w:pStyle w:val="Compact"/>
            </w:pPr>
            <w:r>
              <w:rPr>
                <w:rFonts w:hint="eastAsia"/>
              </w:rPr>
              <w:t xml:space="preserve">连续2个区间</w:t>
            </w:r>
          </w:p>
        </w:tc>
      </w:tr>
    </w:tbl>
    <w:p>
      <w:pPr>
        <w:pStyle w:val="BodyText"/>
      </w:pPr>
      <w:r>
        <w:rPr>
          <w:rFonts w:hint="eastAsia"/>
        </w:rPr>
        <w:t xml:space="preserve">补充信号：</w:t>
      </w:r>
    </w:p>
    <w:p>
      <w:pPr>
        <w:pStyle w:val="Compact"/>
        <w:numPr>
          <w:ilvl w:val="0"/>
          <w:numId w:val="1028"/>
        </w:numPr>
      </w:pPr>
      <w:r>
        <w:rPr>
          <w:rFonts w:hint="eastAsia"/>
        </w:rPr>
        <w:t xml:space="preserve">创业板50ETF连续3个区间净申购，最新估算净申购1.1565亿元。</w:t>
      </w:r>
    </w:p>
    <w:p>
      <w:pPr>
        <w:pStyle w:val="Compact"/>
        <w:numPr>
          <w:ilvl w:val="0"/>
          <w:numId w:val="1028"/>
        </w:numPr>
      </w:pPr>
      <w:r>
        <w:rPr>
          <w:rFonts w:hint="eastAsia"/>
        </w:rPr>
        <w:t xml:space="preserve">深证100ETF连续3个区间净申购，最新估算净申购0.48412亿元。</w:t>
      </w:r>
    </w:p>
    <w:p>
      <w:pPr>
        <w:pStyle w:val="Compact"/>
        <w:numPr>
          <w:ilvl w:val="0"/>
          <w:numId w:val="1028"/>
        </w:numPr>
      </w:pPr>
      <w:r>
        <w:rPr>
          <w:rFonts w:hint="eastAsia"/>
        </w:rPr>
        <w:t xml:space="preserve">中证500ETF最新估算净申购4.801936亿元，但只连续1个区间，尚不属于持续流入。</w:t>
      </w:r>
    </w:p>
    <w:p>
      <w:pPr>
        <w:pStyle w:val="Compact"/>
        <w:numPr>
          <w:ilvl w:val="0"/>
          <w:numId w:val="1028"/>
        </w:numPr>
      </w:pPr>
      <w:r>
        <w:rPr>
          <w:rFonts w:hint="eastAsia"/>
        </w:rPr>
        <w:t xml:space="preserve">科创50ETF是唯一达到连续大额净申购标准的宽基ETF。</w:t>
      </w:r>
    </w:p>
    <w:bookmarkEnd w:id="46"/>
    <w:bookmarkStart w:id="47" w:name="成交额质量"/>
    <w:p>
      <w:pPr>
        <w:pStyle w:val="Heading3"/>
      </w:pPr>
      <w:r>
        <w:t xml:space="preserve">📊 </w:t>
      </w:r>
      <w:r>
        <w:rPr>
          <w:rFonts w:hint="eastAsia"/>
        </w:rPr>
        <w:t xml:space="preserve">成交额质量</w:t>
      </w:r>
    </w:p>
    <w:p>
      <w:pPr>
        <w:pStyle w:val="Compact"/>
        <w:numPr>
          <w:ilvl w:val="0"/>
          <w:numId w:val="1029"/>
        </w:numPr>
      </w:pPr>
      <w:r>
        <w:rPr>
          <w:rFonts w:hint="eastAsia"/>
        </w:rPr>
        <w:t xml:space="preserve">上一交易日全市场成交额：16429.81亿元。</w:t>
      </w:r>
    </w:p>
    <w:p>
      <w:pPr>
        <w:pStyle w:val="Compact"/>
        <w:numPr>
          <w:ilvl w:val="0"/>
          <w:numId w:val="1029"/>
        </w:numPr>
      </w:pPr>
      <w:r>
        <w:rPr>
          <w:rFonts w:hint="eastAsia"/>
        </w:rPr>
        <w:t xml:space="preserve">前一交易日成交额：19869.53亿元。</w:t>
      </w:r>
    </w:p>
    <w:p>
      <w:pPr>
        <w:pStyle w:val="Compact"/>
        <w:numPr>
          <w:ilvl w:val="0"/>
          <w:numId w:val="1029"/>
        </w:numPr>
      </w:pPr>
      <w:r>
        <w:rPr>
          <w:rFonts w:hint="eastAsia"/>
        </w:rPr>
        <w:t xml:space="preserve">成交额减少：3439.72亿元。</w:t>
      </w:r>
    </w:p>
    <w:p>
      <w:pPr>
        <w:pStyle w:val="Compact"/>
        <w:numPr>
          <w:ilvl w:val="0"/>
          <w:numId w:val="1029"/>
        </w:numPr>
      </w:pPr>
      <w:r>
        <w:rPr>
          <w:rFonts w:hint="eastAsia"/>
        </w:rPr>
        <w:t xml:space="preserve">环比下降：17.31%。</w:t>
      </w:r>
    </w:p>
    <w:p>
      <w:pPr>
        <w:pStyle w:val="Compact"/>
        <w:numPr>
          <w:ilvl w:val="0"/>
          <w:numId w:val="1029"/>
        </w:numPr>
      </w:pPr>
      <w:r>
        <w:rPr>
          <w:rFonts w:hint="eastAsia"/>
        </w:rPr>
        <w:t xml:space="preserve">质量状态：</w:t>
      </w:r>
      <w:r>
        <w:rPr>
          <w:rFonts w:hint="eastAsia"/>
          <w:b/>
          <w:bCs/>
        </w:rPr>
        <w:t xml:space="preserve">明显缩量</w:t>
      </w:r>
      <w:r>
        <w:t xml:space="preserve">。</w:t>
      </w:r>
    </w:p>
    <w:p>
      <w:pPr>
        <w:pStyle w:val="FirstParagraph"/>
      </w:pPr>
      <w:r>
        <w:rPr>
          <w:rFonts w:hint="eastAsia"/>
        </w:rPr>
        <w:t xml:space="preserve">ETF份额持续增加说明有资金承接宽基资产，但缩量17.31%表明主动交易资金不足。两者组合更接近被动或配置型资金托底，而不是全面风险偏好回升。</w:t>
      </w:r>
    </w:p>
    <w:bookmarkEnd w:id="47"/>
    <w:bookmarkStart w:id="48" w:name="etf-qvix恐慌代理"/>
    <w:p>
      <w:pPr>
        <w:pStyle w:val="Heading3"/>
      </w:pPr>
      <w:r>
        <w:t xml:space="preserve">⚠️ 300ETF </w:t>
      </w:r>
      <w:r>
        <w:rPr>
          <w:rFonts w:hint="eastAsia"/>
        </w:rPr>
        <w:t xml:space="preserve">QVIX恐慌代理</w:t>
      </w:r>
    </w:p>
    <w:p>
      <w:pPr>
        <w:pStyle w:val="Compact"/>
        <w:numPr>
          <w:ilvl w:val="0"/>
          <w:numId w:val="1030"/>
        </w:numPr>
      </w:pPr>
      <w:r>
        <w:rPr>
          <w:rFonts w:hint="eastAsia"/>
        </w:rPr>
        <w:t xml:space="preserve">最新结算值：17.97。</w:t>
      </w:r>
    </w:p>
    <w:p>
      <w:pPr>
        <w:pStyle w:val="Compact"/>
        <w:numPr>
          <w:ilvl w:val="0"/>
          <w:numId w:val="1030"/>
        </w:numPr>
      </w:pPr>
      <w:r>
        <w:rPr>
          <w:rFonts w:hint="eastAsia"/>
        </w:rPr>
        <w:t xml:space="preserve">前收盘：17.82。</w:t>
      </w:r>
    </w:p>
    <w:p>
      <w:pPr>
        <w:pStyle w:val="Compact"/>
        <w:numPr>
          <w:ilvl w:val="0"/>
          <w:numId w:val="1030"/>
        </w:numPr>
      </w:pPr>
      <w:r>
        <w:rPr>
          <w:rFonts w:hint="eastAsia"/>
        </w:rPr>
        <w:t xml:space="preserve">较前收盘上涨0.15，涨幅0.8418%。</w:t>
      </w:r>
    </w:p>
    <w:p>
      <w:pPr>
        <w:pStyle w:val="Compact"/>
        <w:numPr>
          <w:ilvl w:val="0"/>
          <w:numId w:val="1030"/>
        </w:numPr>
      </w:pPr>
      <w:r>
        <w:rPr>
          <w:rFonts w:hint="eastAsia"/>
        </w:rPr>
        <w:t xml:space="preserve">20日峰值：21.35，日期为2026年8月25日。</w:t>
      </w:r>
    </w:p>
    <w:p>
      <w:pPr>
        <w:pStyle w:val="Compact"/>
        <w:numPr>
          <w:ilvl w:val="0"/>
          <w:numId w:val="1030"/>
        </w:numPr>
      </w:pPr>
      <w:r>
        <w:rPr>
          <w:rFonts w:hint="eastAsia"/>
        </w:rPr>
        <w:t xml:space="preserve">较20日峰值回落15.8314%。</w:t>
      </w:r>
    </w:p>
    <w:p>
      <w:pPr>
        <w:pStyle w:val="Compact"/>
        <w:numPr>
          <w:ilvl w:val="0"/>
          <w:numId w:val="1030"/>
        </w:numPr>
      </w:pPr>
      <w:r>
        <w:rPr>
          <w:rFonts w:hint="eastAsia"/>
        </w:rPr>
        <w:t xml:space="preserve">虽然相对峰值已有明显回落，但最新值较前收盘上升，不满足“高位降温”判定条件。</w:t>
      </w:r>
    </w:p>
    <w:bookmarkEnd w:id="48"/>
    <w:bookmarkStart w:id="49"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not_confirmed</w:t>
      </w:r>
      <w:r>
        <w:t xml:space="preserve">。</w:t>
      </w:r>
    </w:p>
    <w:p>
      <w:pPr>
        <w:pStyle w:val="BodyText"/>
      </w:pPr>
      <w:r>
        <w:rPr>
          <w:rFonts w:hint="eastAsia"/>
          <w:b/>
          <w:bCs/>
        </w:rPr>
        <w:t xml:space="preserve">恐慌高位降温且宽基ETF持续流入未确认。</w:t>
      </w:r>
    </w:p>
    <w:p>
      <w:pPr>
        <w:pStyle w:val="BodyText"/>
      </w:pPr>
      <w:r>
        <w:rPr>
          <w:rFonts w:hint="eastAsia"/>
        </w:rPr>
        <w:t xml:space="preserve">原因是宽基ETF持续流入已经成立，但300ETF</w:t>
      </w:r>
      <w:r>
        <w:t xml:space="preserve"> </w:t>
      </w:r>
      <w:r>
        <w:rPr>
          <w:rFonts w:hint="eastAsia"/>
        </w:rPr>
        <w:t xml:space="preserve">QVIX最新值由17.82升至17.97，恐慌降温条件未满足；同时两融余额主要受融资减少拖累，杠杆风险偏好仍偏谨慎。</w:t>
      </w:r>
    </w:p>
    <w:p>
      <w:r>
        <w:pict>
          <v:rect style="width:0;height:1.5pt" o:hralign="center" o:hrstd="t" o:hr="t"/>
        </w:pict>
      </w:r>
    </w:p>
    <w:bookmarkEnd w:id="49"/>
    <w:bookmarkEnd w:id="50"/>
    <w:bookmarkStart w:id="54" w:name="市场风格预判价值权重相对占优成长科技先承压后分化"/>
    <w:p>
      <w:pPr>
        <w:pStyle w:val="Heading2"/>
      </w:pPr>
      <w:r>
        <w:t xml:space="preserve">🧭 </w:t>
      </w:r>
      <w:r>
        <w:rPr>
          <w:rFonts w:hint="eastAsia"/>
        </w:rPr>
        <w:t xml:space="preserve">市场风格预判：价值权重相对占优，成长科技先承压后分化</w:t>
      </w:r>
    </w:p>
    <w:bookmarkStart w:id="51" w:name="相对占优"/>
    <w:p>
      <w:pPr>
        <w:pStyle w:val="Heading3"/>
      </w:pPr>
      <w:r>
        <w:t xml:space="preserve">📈 </w:t>
      </w:r>
      <w:r>
        <w:rPr>
          <w:rFonts w:hint="eastAsia"/>
        </w:rPr>
        <w:t xml:space="preserve">相对占优</w:t>
      </w:r>
    </w:p>
    <w:p>
      <w:pPr>
        <w:pStyle w:val="Compact"/>
        <w:numPr>
          <w:ilvl w:val="0"/>
          <w:numId w:val="1031"/>
        </w:numPr>
      </w:pPr>
      <w:r>
        <w:rPr>
          <w:rFonts w:hint="eastAsia"/>
        </w:rPr>
        <w:t xml:space="preserve">上证指数昨日仅下跌0.0714%，明显强于创业板指的-1.0974%和科创50的-1.6176%。</w:t>
      </w:r>
    </w:p>
    <w:p>
      <w:pPr>
        <w:pStyle w:val="Compact"/>
        <w:numPr>
          <w:ilvl w:val="0"/>
          <w:numId w:val="1031"/>
        </w:numPr>
      </w:pPr>
      <w:r>
        <w:rPr>
          <w:rFonts w:hint="eastAsia"/>
        </w:rPr>
        <w:t xml:space="preserve">风格仪表盘指向“偏权重、偏价值/权重、机构与成交额核心主导”。</w:t>
      </w:r>
    </w:p>
    <w:p>
      <w:pPr>
        <w:pStyle w:val="Compact"/>
        <w:numPr>
          <w:ilvl w:val="0"/>
          <w:numId w:val="1031"/>
        </w:numPr>
      </w:pPr>
      <w:r>
        <w:rPr>
          <w:rFonts w:hint="eastAsia"/>
        </w:rPr>
        <w:t xml:space="preserve">金融流动性保持宽松，宽基ETF连续净申购，对指数权重形成一定托底。</w:t>
      </w:r>
    </w:p>
    <w:bookmarkEnd w:id="51"/>
    <w:bookmarkStart w:id="52" w:name="相对承压"/>
    <w:p>
      <w:pPr>
        <w:pStyle w:val="Heading3"/>
      </w:pPr>
      <w:r>
        <w:t xml:space="preserve">📉 </w:t>
      </w:r>
      <w:r>
        <w:rPr>
          <w:rFonts w:hint="eastAsia"/>
        </w:rPr>
        <w:t xml:space="preserve">相对承压</w:t>
      </w:r>
    </w:p>
    <w:p>
      <w:pPr>
        <w:pStyle w:val="Compact"/>
        <w:numPr>
          <w:ilvl w:val="0"/>
          <w:numId w:val="1032"/>
        </w:numPr>
      </w:pPr>
      <w:r>
        <w:rPr>
          <w:rFonts w:hint="eastAsia"/>
        </w:rPr>
        <w:t xml:space="preserve">美股半导体五股隔夜全部大跌。</w:t>
      </w:r>
    </w:p>
    <w:p>
      <w:pPr>
        <w:pStyle w:val="Compact"/>
        <w:numPr>
          <w:ilvl w:val="0"/>
          <w:numId w:val="1032"/>
        </w:numPr>
      </w:pPr>
      <w:r>
        <w:rPr>
          <w:rFonts w:hint="eastAsia"/>
        </w:rPr>
        <w:t xml:space="preserve">通信设备、半导体和消费电子分别净流出72.61亿元、71.00亿元和23.82亿元。</w:t>
      </w:r>
    </w:p>
    <w:p>
      <w:pPr>
        <w:pStyle w:val="Compact"/>
        <w:numPr>
          <w:ilvl w:val="0"/>
          <w:numId w:val="1032"/>
        </w:numPr>
      </w:pPr>
      <w:r>
        <w:rPr>
          <w:rFonts w:hint="eastAsia"/>
        </w:rPr>
        <w:t xml:space="preserve">TickFlow重点股样本中A/B级为0只、C级1只、D级8只，尚无明确右侧确认标的。</w:t>
      </w:r>
    </w:p>
    <w:p>
      <w:pPr>
        <w:pStyle w:val="Compact"/>
        <w:numPr>
          <w:ilvl w:val="0"/>
          <w:numId w:val="1032"/>
        </w:numPr>
      </w:pPr>
      <w:r>
        <w:rPr>
          <w:rFonts w:hint="eastAsia"/>
        </w:rPr>
        <w:t xml:space="preserve">重点股样本仅10只，样本中站上MA20比例为50%、站上MA60比例为10%；该数据仅代表重点股样本，不能表述为全A股趋势宽度。</w:t>
      </w:r>
    </w:p>
    <w:bookmarkEnd w:id="52"/>
    <w:bookmarkStart w:id="53" w:name="日内推演"/>
    <w:p>
      <w:pPr>
        <w:pStyle w:val="Heading3"/>
      </w:pPr>
      <w:r>
        <w:t xml:space="preserve">💡 </w:t>
      </w:r>
      <w:r>
        <w:rPr>
          <w:rFonts w:hint="eastAsia"/>
        </w:rPr>
        <w:t xml:space="preserve">日内推演</w:t>
      </w:r>
    </w:p>
    <w:p>
      <w:pPr>
        <w:pStyle w:val="Compact"/>
        <w:numPr>
          <w:ilvl w:val="0"/>
          <w:numId w:val="1033"/>
        </w:numPr>
      </w:pPr>
      <w:r>
        <w:rPr>
          <w:rFonts w:hint="eastAsia"/>
          <w:b/>
          <w:bCs/>
        </w:rPr>
        <w:t xml:space="preserve">开盘阶段</w:t>
      </w:r>
      <w:r>
        <w:rPr>
          <w:rFonts w:hint="eastAsia"/>
        </w:rPr>
        <w:t xml:space="preserve">：科技硬件受海外映射压制，医药、汽车、网络安全可能承接政策注意力。</w:t>
      </w:r>
    </w:p>
    <w:p>
      <w:pPr>
        <w:pStyle w:val="Compact"/>
        <w:numPr>
          <w:ilvl w:val="0"/>
          <w:numId w:val="1033"/>
        </w:numPr>
      </w:pPr>
      <w:r>
        <w:rPr>
          <w:rFonts w:hint="eastAsia"/>
          <w:b/>
          <w:bCs/>
        </w:rPr>
        <w:t xml:space="preserve">上午确认点</w:t>
      </w:r>
      <w:r>
        <w:rPr>
          <w:rFonts w:hint="eastAsia"/>
        </w:rPr>
        <w:t xml:space="preserve">：观察上证指数能否收复昨日高点3895.5095，以及全市场成交额能否出现有效回补。</w:t>
      </w:r>
    </w:p>
    <w:p>
      <w:pPr>
        <w:pStyle w:val="Compact"/>
        <w:numPr>
          <w:ilvl w:val="0"/>
          <w:numId w:val="1033"/>
        </w:numPr>
      </w:pPr>
      <w:r>
        <w:rPr>
          <w:rFonts w:hint="eastAsia"/>
          <w:b/>
          <w:bCs/>
        </w:rPr>
        <w:t xml:space="preserve">风格转强条件</w:t>
      </w:r>
      <w:r>
        <w:rPr>
          <w:rFonts w:hint="eastAsia"/>
        </w:rPr>
        <w:t xml:space="preserve">：科技权重止跌、通信与半导体资金由流出转为回流、成交额运行节奏指向17000亿元以上。</w:t>
      </w:r>
    </w:p>
    <w:p>
      <w:pPr>
        <w:pStyle w:val="Compact"/>
        <w:numPr>
          <w:ilvl w:val="0"/>
          <w:numId w:val="1033"/>
        </w:numPr>
      </w:pPr>
      <w:r>
        <w:rPr>
          <w:rFonts w:hint="eastAsia"/>
          <w:b/>
          <w:bCs/>
        </w:rPr>
        <w:t xml:space="preserve">转弱条件</w:t>
      </w:r>
      <w:r>
        <w:rPr>
          <w:rFonts w:hint="eastAsia"/>
        </w:rPr>
        <w:t xml:space="preserve">：上证跌破昨日低点3867.0216，同时科技与高估值元件继续放量下跌。</w:t>
      </w:r>
    </w:p>
    <w:p>
      <w:r>
        <w:pict>
          <v:rect style="width:0;height:1.5pt" o:hralign="center" o:hrstd="t" o:hr="t"/>
        </w:pict>
      </w:r>
    </w:p>
    <w:bookmarkEnd w:id="53"/>
    <w:bookmarkEnd w:id="54"/>
    <w:bookmarkStart w:id="61" w:name="投资方向分层"/>
    <w:p>
      <w:pPr>
        <w:pStyle w:val="Heading2"/>
      </w:pPr>
      <w:r>
        <w:t xml:space="preserve">🧱 </w:t>
      </w:r>
      <w:r>
        <w:rPr>
          <w:rFonts w:hint="eastAsia"/>
        </w:rPr>
        <w:t xml:space="preserve">投资方向分层</w:t>
      </w:r>
    </w:p>
    <w:bookmarkStart w:id="55" w:name="可参与医疗服务与健康中国链条"/>
    <w:p>
      <w:pPr>
        <w:pStyle w:val="Heading3"/>
      </w:pPr>
      <w:r>
        <w:t xml:space="preserve">📈 </w:t>
      </w:r>
      <w:r>
        <w:rPr>
          <w:rFonts w:hint="eastAsia"/>
        </w:rPr>
        <w:t xml:space="preserve">可参与：医疗服务与健康中国链条</w:t>
      </w:r>
    </w:p>
    <w:p>
      <w:pPr>
        <w:pStyle w:val="FirstParagraph"/>
      </w:pPr>
      <w:r>
        <w:rPr>
          <w:rFonts w:hint="eastAsia"/>
          <w:b/>
          <w:bCs/>
        </w:rPr>
        <w:t xml:space="preserve">证据链：</w:t>
      </w:r>
    </w:p>
    <w:p>
      <w:pPr>
        <w:pStyle w:val="Compact"/>
        <w:numPr>
          <w:ilvl w:val="0"/>
          <w:numId w:val="1034"/>
        </w:numPr>
      </w:pPr>
      <w:r>
        <w:rPr>
          <w:rFonts w:hint="eastAsia"/>
        </w:rPr>
        <w:t xml:space="preserve">健康中国进入“十五五”关键期，基层医疗、儿科诊疗和医疗服务能力建设有明确政策目标。</w:t>
      </w:r>
    </w:p>
    <w:p>
      <w:pPr>
        <w:pStyle w:val="Compact"/>
        <w:numPr>
          <w:ilvl w:val="0"/>
          <w:numId w:val="1034"/>
        </w:numPr>
      </w:pPr>
      <w:r>
        <w:rPr>
          <w:rFonts w:hint="eastAsia"/>
        </w:rPr>
        <w:t xml:space="preserve">昨日医疗研发外包上涨5.75%、CRO概念上涨4.56%、医疗服务上涨4.09%。</w:t>
      </w:r>
    </w:p>
    <w:p>
      <w:pPr>
        <w:pStyle w:val="Compact"/>
        <w:numPr>
          <w:ilvl w:val="0"/>
          <w:numId w:val="1034"/>
        </w:numPr>
      </w:pPr>
      <w:r>
        <w:rPr>
          <w:rFonts w:hint="eastAsia"/>
        </w:rPr>
        <w:t xml:space="preserve">医疗服务主力净流入16.36亿元，化学制药主力净流入5.95亿元。</w:t>
      </w:r>
    </w:p>
    <w:p>
      <w:pPr>
        <w:pStyle w:val="Compact"/>
        <w:numPr>
          <w:ilvl w:val="0"/>
          <w:numId w:val="1034"/>
        </w:numPr>
      </w:pPr>
      <w:r>
        <w:rPr>
          <w:rFonts w:hint="eastAsia"/>
        </w:rPr>
        <w:t xml:space="preserve">政策、价格和资金形成三重共振。</w:t>
      </w:r>
    </w:p>
    <w:p>
      <w:pPr>
        <w:pStyle w:val="FirstParagraph"/>
      </w:pPr>
      <w:r>
        <w:rPr>
          <w:rFonts w:hint="eastAsia"/>
          <w:b/>
          <w:bCs/>
        </w:rPr>
        <w:t xml:space="preserve">核心标的范围：</w:t>
      </w:r>
    </w:p>
    <w:p>
      <w:pPr>
        <w:pStyle w:val="Compact"/>
        <w:numPr>
          <w:ilvl w:val="0"/>
          <w:numId w:val="1035"/>
        </w:numPr>
      </w:pPr>
      <w:r>
        <w:rPr>
          <w:rFonts w:hint="eastAsia"/>
        </w:rPr>
        <w:t xml:space="preserve">基层医疗设备、儿科诊疗、医疗服务、CRO、化学制药。</w:t>
      </w:r>
    </w:p>
    <w:p>
      <w:pPr>
        <w:pStyle w:val="Compact"/>
        <w:numPr>
          <w:ilvl w:val="0"/>
          <w:numId w:val="1035"/>
        </w:numPr>
      </w:pPr>
      <w:r>
        <w:rPr>
          <w:rFonts w:hint="eastAsia"/>
        </w:rPr>
        <w:t xml:space="preserve">采集JSON未提供上述方向核心个股的TickFlow</w:t>
      </w:r>
      <w:r>
        <w:t xml:space="preserve"> </w:t>
      </w:r>
      <w:r>
        <w:rPr>
          <w:rFonts w:hint="eastAsia"/>
        </w:rPr>
        <w:t xml:space="preserve">A/B评级，因此不指定个股直接买点。</w:t>
      </w:r>
    </w:p>
    <w:p>
      <w:pPr>
        <w:pStyle w:val="FirstParagraph"/>
      </w:pPr>
      <w:r>
        <w:rPr>
          <w:rFonts w:hint="eastAsia"/>
          <w:b/>
          <w:bCs/>
        </w:rPr>
        <w:t xml:space="preserve">触发条件：</w:t>
      </w:r>
    </w:p>
    <w:p>
      <w:pPr>
        <w:pStyle w:val="Compact"/>
        <w:numPr>
          <w:ilvl w:val="0"/>
          <w:numId w:val="1036"/>
        </w:numPr>
      </w:pPr>
      <w:r>
        <w:rPr>
          <w:rFonts w:hint="eastAsia"/>
        </w:rPr>
        <w:t xml:space="preserve">板块高开后出现回踩承接，而非单边冲高。</w:t>
      </w:r>
    </w:p>
    <w:p>
      <w:pPr>
        <w:pStyle w:val="Compact"/>
        <w:numPr>
          <w:ilvl w:val="0"/>
          <w:numId w:val="1036"/>
        </w:numPr>
      </w:pPr>
      <w:r>
        <w:rPr>
          <w:rFonts w:hint="eastAsia"/>
        </w:rPr>
        <w:t xml:space="preserve">医疗服务和化学制药继续保持主力净流入。</w:t>
      </w:r>
    </w:p>
    <w:p>
      <w:pPr>
        <w:pStyle w:val="Compact"/>
        <w:numPr>
          <w:ilvl w:val="0"/>
          <w:numId w:val="1036"/>
        </w:numPr>
      </w:pPr>
      <w:r>
        <w:rPr>
          <w:rFonts w:hint="eastAsia"/>
        </w:rPr>
        <w:t xml:space="preserve">核心个股缩量回踩不破开盘承接区，随后再放量突破早盘高点。</w:t>
      </w:r>
    </w:p>
    <w:p>
      <w:pPr>
        <w:pStyle w:val="FirstParagraph"/>
      </w:pPr>
      <w:r>
        <w:rPr>
          <w:rFonts w:hint="eastAsia"/>
          <w:b/>
          <w:bCs/>
        </w:rPr>
        <w:t xml:space="preserve">失效条件：</w:t>
      </w:r>
    </w:p>
    <w:p>
      <w:pPr>
        <w:pStyle w:val="Compact"/>
        <w:numPr>
          <w:ilvl w:val="0"/>
          <w:numId w:val="1037"/>
        </w:numPr>
      </w:pPr>
      <w:r>
        <w:rPr>
          <w:rFonts w:hint="eastAsia"/>
        </w:rPr>
        <w:t xml:space="preserve">高开低走且资金由净流入转为明显净流出。</w:t>
      </w:r>
    </w:p>
    <w:p>
      <w:pPr>
        <w:pStyle w:val="Compact"/>
        <w:numPr>
          <w:ilvl w:val="0"/>
          <w:numId w:val="1037"/>
        </w:numPr>
      </w:pPr>
      <w:r>
        <w:rPr>
          <w:rFonts w:hint="eastAsia"/>
        </w:rPr>
        <w:t xml:space="preserve">医疗服务无法维持相对强势，政策催化退化为单日脉冲。</w:t>
      </w:r>
    </w:p>
    <w:p>
      <w:pPr>
        <w:pStyle w:val="Compact"/>
        <w:numPr>
          <w:ilvl w:val="0"/>
          <w:numId w:val="1037"/>
        </w:numPr>
      </w:pPr>
      <w:r>
        <w:rPr>
          <w:rFonts w:hint="eastAsia"/>
        </w:rPr>
        <w:t xml:space="preserve">高位个股出现放量滞涨，不再新增仓位。</w:t>
      </w:r>
    </w:p>
    <w:bookmarkEnd w:id="55"/>
    <w:bookmarkStart w:id="56" w:name="可参与网络安全与ai安全治理"/>
    <w:p>
      <w:pPr>
        <w:pStyle w:val="Heading3"/>
      </w:pPr>
      <w:r>
        <w:t xml:space="preserve">📈 </w:t>
      </w:r>
      <w:r>
        <w:rPr>
          <w:rFonts w:hint="eastAsia"/>
        </w:rPr>
        <w:t xml:space="preserve">可参与：网络安全与AI安全治理</w:t>
      </w:r>
    </w:p>
    <w:p>
      <w:pPr>
        <w:pStyle w:val="FirstParagraph"/>
      </w:pPr>
      <w:r>
        <w:rPr>
          <w:rFonts w:hint="eastAsia"/>
          <w:b/>
          <w:bCs/>
        </w:rPr>
        <w:t xml:space="preserve">证据链：</w:t>
      </w:r>
    </w:p>
    <w:p>
      <w:pPr>
        <w:pStyle w:val="Compact"/>
        <w:numPr>
          <w:ilvl w:val="0"/>
          <w:numId w:val="1038"/>
        </w:numPr>
      </w:pPr>
      <w:r>
        <w:rPr>
          <w:rFonts w:hint="eastAsia"/>
        </w:rPr>
        <w:t xml:space="preserve">国家网络安全宣传周启动，《人工智能安全治理框架》3.0发布。</w:t>
      </w:r>
    </w:p>
    <w:p>
      <w:pPr>
        <w:pStyle w:val="Compact"/>
        <w:numPr>
          <w:ilvl w:val="0"/>
          <w:numId w:val="1038"/>
        </w:numPr>
      </w:pPr>
      <w:r>
        <w:rPr>
          <w:rFonts w:hint="eastAsia"/>
        </w:rPr>
        <w:t xml:space="preserve">昨日网络安全上涨3.58%，软件开发主力净流入6.38亿元。</w:t>
      </w:r>
    </w:p>
    <w:p>
      <w:pPr>
        <w:pStyle w:val="Compact"/>
        <w:numPr>
          <w:ilvl w:val="0"/>
          <w:numId w:val="1038"/>
        </w:numPr>
      </w:pPr>
      <w:r>
        <w:rPr>
          <w:rFonts w:hint="eastAsia"/>
        </w:rPr>
        <w:t xml:space="preserve">政策催化与资金流向一致，且不直接依赖海外半导体行情。</w:t>
      </w:r>
    </w:p>
    <w:p>
      <w:pPr>
        <w:pStyle w:val="FirstParagraph"/>
      </w:pPr>
      <w:r>
        <w:rPr>
          <w:rFonts w:hint="eastAsia"/>
          <w:b/>
          <w:bCs/>
        </w:rPr>
        <w:t xml:space="preserve">核心标的范围：</w:t>
      </w:r>
    </w:p>
    <w:p>
      <w:pPr>
        <w:pStyle w:val="Compact"/>
        <w:numPr>
          <w:ilvl w:val="0"/>
          <w:numId w:val="1039"/>
        </w:numPr>
      </w:pPr>
      <w:r>
        <w:rPr>
          <w:rFonts w:hint="eastAsia"/>
        </w:rPr>
        <w:t xml:space="preserve">网络安全、数据安全、密码认证、AI治理和政企安全服务。</w:t>
      </w:r>
    </w:p>
    <w:p>
      <w:pPr>
        <w:pStyle w:val="Compact"/>
        <w:numPr>
          <w:ilvl w:val="0"/>
          <w:numId w:val="1039"/>
        </w:numPr>
      </w:pPr>
      <w:r>
        <w:rPr>
          <w:rFonts w:hint="eastAsia"/>
        </w:rPr>
        <w:t xml:space="preserve">个股技术数据未进入重点股样本，必须盘中重新核验趋势与成交量。</w:t>
      </w:r>
    </w:p>
    <w:p>
      <w:pPr>
        <w:pStyle w:val="FirstParagraph"/>
      </w:pPr>
      <w:r>
        <w:rPr>
          <w:rFonts w:hint="eastAsia"/>
          <w:b/>
          <w:bCs/>
        </w:rPr>
        <w:t xml:space="preserve">触发条件：</w:t>
      </w:r>
    </w:p>
    <w:p>
      <w:pPr>
        <w:pStyle w:val="Compact"/>
        <w:numPr>
          <w:ilvl w:val="0"/>
          <w:numId w:val="1040"/>
        </w:numPr>
      </w:pPr>
      <w:r>
        <w:rPr>
          <w:rFonts w:hint="eastAsia"/>
        </w:rPr>
        <w:t xml:space="preserve">板块指数不因高开出现快速回落。</w:t>
      </w:r>
    </w:p>
    <w:p>
      <w:pPr>
        <w:pStyle w:val="Compact"/>
        <w:numPr>
          <w:ilvl w:val="0"/>
          <w:numId w:val="1040"/>
        </w:numPr>
      </w:pPr>
      <w:r>
        <w:rPr>
          <w:rFonts w:hint="eastAsia"/>
        </w:rPr>
        <w:t xml:space="preserve">软件开发延续净流入，核心股放量突破前高后能站稳。</w:t>
      </w:r>
    </w:p>
    <w:p>
      <w:pPr>
        <w:pStyle w:val="Compact"/>
        <w:numPr>
          <w:ilvl w:val="0"/>
          <w:numId w:val="1040"/>
        </w:numPr>
      </w:pPr>
      <w:r>
        <w:rPr>
          <w:rFonts w:hint="eastAsia"/>
        </w:rPr>
        <w:t xml:space="preserve">优先选择回踩不破趋势线的右侧标的，不追开盘直线拉升。</w:t>
      </w:r>
    </w:p>
    <w:p>
      <w:pPr>
        <w:pStyle w:val="FirstParagraph"/>
      </w:pPr>
      <w:r>
        <w:rPr>
          <w:rFonts w:hint="eastAsia"/>
          <w:b/>
          <w:bCs/>
        </w:rPr>
        <w:t xml:space="preserve">失效条件：</w:t>
      </w:r>
    </w:p>
    <w:p>
      <w:pPr>
        <w:pStyle w:val="Compact"/>
        <w:numPr>
          <w:ilvl w:val="0"/>
          <w:numId w:val="1041"/>
        </w:numPr>
      </w:pPr>
      <w:r>
        <w:rPr>
          <w:rFonts w:hint="eastAsia"/>
        </w:rPr>
        <w:t xml:space="preserve">板块冲高回落并跌破昨日启动位置。</w:t>
      </w:r>
    </w:p>
    <w:p>
      <w:pPr>
        <w:pStyle w:val="Compact"/>
        <w:numPr>
          <w:ilvl w:val="0"/>
          <w:numId w:val="1041"/>
        </w:numPr>
      </w:pPr>
      <w:r>
        <w:rPr>
          <w:rFonts w:hint="eastAsia"/>
        </w:rPr>
        <w:t xml:space="preserve">资金只集中于少数高位股，板块扩散不足。</w:t>
      </w:r>
    </w:p>
    <w:p>
      <w:pPr>
        <w:pStyle w:val="Compact"/>
        <w:numPr>
          <w:ilvl w:val="0"/>
          <w:numId w:val="1041"/>
        </w:numPr>
      </w:pPr>
      <w:r>
        <w:rPr>
          <w:rFonts w:hint="eastAsia"/>
        </w:rPr>
        <w:t xml:space="preserve">成交额继续明显缩量，题材轮动速度加快。</w:t>
      </w:r>
    </w:p>
    <w:bookmarkEnd w:id="56"/>
    <w:bookmarkStart w:id="57" w:name="只观察智能网联新能源汽车"/>
    <w:p>
      <w:pPr>
        <w:pStyle w:val="Heading3"/>
      </w:pPr>
      <w:r>
        <w:t xml:space="preserve">👀 </w:t>
      </w:r>
      <w:r>
        <w:rPr>
          <w:rFonts w:hint="eastAsia"/>
        </w:rPr>
        <w:t xml:space="preserve">只观察：智能网联新能源汽车</w:t>
      </w:r>
    </w:p>
    <w:p>
      <w:pPr>
        <w:pStyle w:val="FirstParagraph"/>
      </w:pPr>
      <w:r>
        <w:rPr>
          <w:rFonts w:hint="eastAsia"/>
          <w:b/>
          <w:bCs/>
        </w:rPr>
        <w:t xml:space="preserve">证据链：</w:t>
      </w:r>
    </w:p>
    <w:p>
      <w:pPr>
        <w:pStyle w:val="Compact"/>
        <w:numPr>
          <w:ilvl w:val="0"/>
          <w:numId w:val="1042"/>
        </w:numPr>
      </w:pPr>
      <w:r>
        <w:rPr>
          <w:rFonts w:hint="eastAsia"/>
        </w:rPr>
        <w:t xml:space="preserve">“十五五”规划给出2030年新能源乘用车70%、商用车40%的明确目标。</w:t>
      </w:r>
    </w:p>
    <w:p>
      <w:pPr>
        <w:pStyle w:val="Compact"/>
        <w:numPr>
          <w:ilvl w:val="0"/>
          <w:numId w:val="1042"/>
        </w:numPr>
      </w:pPr>
      <w:r>
        <w:rPr>
          <w:rFonts w:hint="eastAsia"/>
        </w:rPr>
        <w:t xml:space="preserve">昨日商用载客车上涨3.87%、综合乘用车上涨3.11%。</w:t>
      </w:r>
    </w:p>
    <w:p>
      <w:pPr>
        <w:pStyle w:val="Compact"/>
        <w:numPr>
          <w:ilvl w:val="0"/>
          <w:numId w:val="1042"/>
        </w:numPr>
      </w:pPr>
      <w:r>
        <w:rPr>
          <w:rFonts w:hint="eastAsia"/>
        </w:rPr>
        <w:t xml:space="preserve">电池行业主力净流入17.09亿元，宁德时代主力流入榜金额51.90亿元。</w:t>
      </w:r>
    </w:p>
    <w:p>
      <w:pPr>
        <w:pStyle w:val="FirstParagraph"/>
      </w:pPr>
      <w:r>
        <w:rPr>
          <w:rFonts w:hint="eastAsia"/>
          <w:b/>
          <w:bCs/>
        </w:rPr>
        <w:t xml:space="preserve">核心标的：</w:t>
      </w:r>
    </w:p>
    <w:p>
      <w:pPr>
        <w:pStyle w:val="Compact"/>
        <w:numPr>
          <w:ilvl w:val="0"/>
          <w:numId w:val="1043"/>
        </w:numPr>
      </w:pPr>
      <w:r>
        <w:rPr>
          <w:rFonts w:hint="eastAsia"/>
        </w:rPr>
        <w:t xml:space="preserve">宁德时代（300750）：昨日收盘337.11元，上涨2.00%，成交额88.72亿元。</w:t>
      </w:r>
    </w:p>
    <w:p>
      <w:pPr>
        <w:pStyle w:val="Compact"/>
        <w:numPr>
          <w:ilvl w:val="0"/>
          <w:numId w:val="1043"/>
        </w:numPr>
      </w:pPr>
      <w:r>
        <w:rPr>
          <w:rFonts w:hint="eastAsia"/>
        </w:rPr>
        <w:t xml:space="preserve">但TickFlow截至9月11日评级为D，MA20为365.3025元、MA60为378.2643元，趋势仍处破位状态。</w:t>
      </w:r>
    </w:p>
    <w:p>
      <w:pPr>
        <w:pStyle w:val="Compact"/>
        <w:numPr>
          <w:ilvl w:val="0"/>
          <w:numId w:val="1043"/>
        </w:numPr>
      </w:pPr>
      <w:r>
        <w:rPr>
          <w:rFonts w:hint="eastAsia"/>
        </w:rPr>
        <w:t xml:space="preserve">广汽集团（601238）：重大资产重组停牌，仅作产业观察，不可交易。</w:t>
      </w:r>
    </w:p>
    <w:p>
      <w:pPr>
        <w:pStyle w:val="FirstParagraph"/>
      </w:pPr>
      <w:r>
        <w:rPr>
          <w:rFonts w:hint="eastAsia"/>
          <w:b/>
          <w:bCs/>
        </w:rPr>
        <w:t xml:space="preserve">触发条件：</w:t>
      </w:r>
    </w:p>
    <w:p>
      <w:pPr>
        <w:pStyle w:val="Compact"/>
        <w:numPr>
          <w:ilvl w:val="0"/>
          <w:numId w:val="1044"/>
        </w:numPr>
      </w:pPr>
      <w:r>
        <w:rPr>
          <w:rFonts w:hint="eastAsia"/>
        </w:rPr>
        <w:t xml:space="preserve">宁德时代先重新站回MA20，再确认MA60；未完成前不开新仓。</w:t>
      </w:r>
    </w:p>
    <w:p>
      <w:pPr>
        <w:pStyle w:val="Compact"/>
        <w:numPr>
          <w:ilvl w:val="0"/>
          <w:numId w:val="1044"/>
        </w:numPr>
      </w:pPr>
      <w:r>
        <w:rPr>
          <w:rFonts w:hint="eastAsia"/>
        </w:rPr>
        <w:t xml:space="preserve">汽车板块资金连续流入，整车与零部件形成扩散。</w:t>
      </w:r>
    </w:p>
    <w:p>
      <w:pPr>
        <w:pStyle w:val="Compact"/>
        <w:numPr>
          <w:ilvl w:val="0"/>
          <w:numId w:val="1044"/>
        </w:numPr>
      </w:pPr>
      <w:r>
        <w:rPr>
          <w:rFonts w:hint="eastAsia"/>
        </w:rPr>
        <w:t xml:space="preserve">政策催化后出现缩量回踩、再放量突破，而不是追逐首日高开。</w:t>
      </w:r>
    </w:p>
    <w:p>
      <w:pPr>
        <w:pStyle w:val="FirstParagraph"/>
      </w:pPr>
      <w:r>
        <w:rPr>
          <w:rFonts w:hint="eastAsia"/>
          <w:b/>
          <w:bCs/>
        </w:rPr>
        <w:t xml:space="preserve">失效条件：</w:t>
      </w:r>
    </w:p>
    <w:p>
      <w:pPr>
        <w:pStyle w:val="Compact"/>
        <w:numPr>
          <w:ilvl w:val="0"/>
          <w:numId w:val="1045"/>
        </w:numPr>
      </w:pPr>
      <w:r>
        <w:rPr>
          <w:rFonts w:hint="eastAsia"/>
        </w:rPr>
        <w:t xml:space="preserve">宁德时代继续处于MA20和MA60下方。</w:t>
      </w:r>
    </w:p>
    <w:p>
      <w:pPr>
        <w:pStyle w:val="Compact"/>
        <w:numPr>
          <w:ilvl w:val="0"/>
          <w:numId w:val="1045"/>
        </w:numPr>
      </w:pPr>
      <w:r>
        <w:rPr>
          <w:rFonts w:hint="eastAsia"/>
        </w:rPr>
        <w:t xml:space="preserve">电池资金转为净流出。</w:t>
      </w:r>
    </w:p>
    <w:p>
      <w:pPr>
        <w:pStyle w:val="Compact"/>
        <w:numPr>
          <w:ilvl w:val="0"/>
          <w:numId w:val="1045"/>
        </w:numPr>
      </w:pPr>
      <w:r>
        <w:rPr>
          <w:rFonts w:hint="eastAsia"/>
        </w:rPr>
        <w:t xml:space="preserve">汽车板块仅由重组股和停牌预期驱动，缺少基本面中军响应。</w:t>
      </w:r>
    </w:p>
    <w:bookmarkEnd w:id="57"/>
    <w:bookmarkStart w:id="58" w:name="只观察清洁能源电力与储能"/>
    <w:p>
      <w:pPr>
        <w:pStyle w:val="Heading3"/>
      </w:pPr>
      <w:r>
        <w:t xml:space="preserve">👀 </w:t>
      </w:r>
      <w:r>
        <w:rPr>
          <w:rFonts w:hint="eastAsia"/>
        </w:rPr>
        <w:t xml:space="preserve">只观察：清洁能源、电力与储能</w:t>
      </w:r>
    </w:p>
    <w:p>
      <w:pPr>
        <w:pStyle w:val="FirstParagraph"/>
      </w:pPr>
      <w:r>
        <w:rPr>
          <w:rFonts w:hint="eastAsia"/>
          <w:b/>
          <w:bCs/>
        </w:rPr>
        <w:t xml:space="preserve">证据链：</w:t>
      </w:r>
    </w:p>
    <w:p>
      <w:pPr>
        <w:pStyle w:val="Compact"/>
        <w:numPr>
          <w:ilvl w:val="0"/>
          <w:numId w:val="1046"/>
        </w:numPr>
      </w:pPr>
      <w:r>
        <w:rPr>
          <w:rFonts w:hint="eastAsia"/>
        </w:rPr>
        <w:t xml:space="preserve">四川提出2030年水电、新能源及新型储能明确建设目标。</w:t>
      </w:r>
    </w:p>
    <w:p>
      <w:pPr>
        <w:pStyle w:val="Compact"/>
        <w:numPr>
          <w:ilvl w:val="0"/>
          <w:numId w:val="1046"/>
        </w:numPr>
      </w:pPr>
      <w:r>
        <w:rPr>
          <w:rFonts w:hint="eastAsia"/>
        </w:rPr>
        <w:t xml:space="preserve">电力行业昨日主力净流入5.02亿元。</w:t>
      </w:r>
    </w:p>
    <w:p>
      <w:pPr>
        <w:pStyle w:val="Compact"/>
        <w:numPr>
          <w:ilvl w:val="0"/>
          <w:numId w:val="1046"/>
        </w:numPr>
      </w:pPr>
      <w:r>
        <w:rPr>
          <w:rFonts w:hint="eastAsia"/>
        </w:rPr>
        <w:t xml:space="preserve">数据中心绿电直购、水风光储氢协同提供中期需求逻辑。</w:t>
      </w:r>
    </w:p>
    <w:p>
      <w:pPr>
        <w:pStyle w:val="FirstParagraph"/>
      </w:pPr>
      <w:r>
        <w:rPr>
          <w:rFonts w:hint="eastAsia"/>
          <w:b/>
          <w:bCs/>
        </w:rPr>
        <w:t xml:space="preserve">核心标的范围：</w:t>
      </w:r>
    </w:p>
    <w:p>
      <w:pPr>
        <w:pStyle w:val="Compact"/>
        <w:numPr>
          <w:ilvl w:val="0"/>
          <w:numId w:val="1047"/>
        </w:numPr>
      </w:pPr>
      <w:r>
        <w:rPr>
          <w:rFonts w:hint="eastAsia"/>
        </w:rPr>
        <w:t xml:space="preserve">水电运营、储能系统、绿氢和新能源消纳。</w:t>
      </w:r>
    </w:p>
    <w:p>
      <w:pPr>
        <w:pStyle w:val="Compact"/>
        <w:numPr>
          <w:ilvl w:val="0"/>
          <w:numId w:val="1047"/>
        </w:numPr>
      </w:pPr>
      <w:r>
        <w:rPr>
          <w:rFonts w:hint="eastAsia"/>
        </w:rPr>
        <w:t xml:space="preserve">电网设备昨日净流出11.44亿元，暂不列为优先参与方向。</w:t>
      </w:r>
    </w:p>
    <w:p>
      <w:pPr>
        <w:pStyle w:val="FirstParagraph"/>
      </w:pPr>
      <w:r>
        <w:rPr>
          <w:rFonts w:hint="eastAsia"/>
          <w:b/>
          <w:bCs/>
        </w:rPr>
        <w:t xml:space="preserve">触发条件：</w:t>
      </w:r>
    </w:p>
    <w:p>
      <w:pPr>
        <w:pStyle w:val="Compact"/>
        <w:numPr>
          <w:ilvl w:val="0"/>
          <w:numId w:val="1048"/>
        </w:numPr>
      </w:pPr>
      <w:r>
        <w:rPr>
          <w:rFonts w:hint="eastAsia"/>
        </w:rPr>
        <w:t xml:space="preserve">电力行业继续净流入。</w:t>
      </w:r>
    </w:p>
    <w:p>
      <w:pPr>
        <w:pStyle w:val="Compact"/>
        <w:numPr>
          <w:ilvl w:val="0"/>
          <w:numId w:val="1048"/>
        </w:numPr>
      </w:pPr>
      <w:r>
        <w:rPr>
          <w:rFonts w:hint="eastAsia"/>
        </w:rPr>
        <w:t xml:space="preserve">电网设备由净流出转为净流入，形成产业链扩散。</w:t>
      </w:r>
    </w:p>
    <w:p>
      <w:pPr>
        <w:pStyle w:val="Compact"/>
        <w:numPr>
          <w:ilvl w:val="0"/>
          <w:numId w:val="1048"/>
        </w:numPr>
      </w:pPr>
      <w:r>
        <w:rPr>
          <w:rFonts w:hint="eastAsia"/>
        </w:rPr>
        <w:t xml:space="preserve">核心标的完成右侧突破并缩量回踩不破。</w:t>
      </w:r>
    </w:p>
    <w:p>
      <w:pPr>
        <w:pStyle w:val="FirstParagraph"/>
      </w:pPr>
      <w:r>
        <w:rPr>
          <w:rFonts w:hint="eastAsia"/>
          <w:b/>
          <w:bCs/>
        </w:rPr>
        <w:t xml:space="preserve">失效条件：</w:t>
      </w:r>
    </w:p>
    <w:p>
      <w:pPr>
        <w:pStyle w:val="Compact"/>
        <w:numPr>
          <w:ilvl w:val="0"/>
          <w:numId w:val="1049"/>
        </w:numPr>
      </w:pPr>
      <w:r>
        <w:rPr>
          <w:rFonts w:hint="eastAsia"/>
        </w:rPr>
        <w:t xml:space="preserve">电力资金流入不能延续。</w:t>
      </w:r>
    </w:p>
    <w:p>
      <w:pPr>
        <w:pStyle w:val="Compact"/>
        <w:numPr>
          <w:ilvl w:val="0"/>
          <w:numId w:val="1049"/>
        </w:numPr>
      </w:pPr>
      <w:r>
        <w:rPr>
          <w:rFonts w:hint="eastAsia"/>
        </w:rPr>
        <w:t xml:space="preserve">高位电力股出现放量兑现。</w:t>
      </w:r>
    </w:p>
    <w:p>
      <w:pPr>
        <w:pStyle w:val="Compact"/>
        <w:numPr>
          <w:ilvl w:val="0"/>
          <w:numId w:val="1049"/>
        </w:numPr>
      </w:pPr>
      <w:r>
        <w:rPr>
          <w:rFonts w:hint="eastAsia"/>
        </w:rPr>
        <w:t xml:space="preserve">政策预期无法带动储能、电网和运营商同步走强。</w:t>
      </w:r>
    </w:p>
    <w:bookmarkEnd w:id="58"/>
    <w:bookmarkStart w:id="59" w:name="只观察三环集团与元件修复"/>
    <w:p>
      <w:pPr>
        <w:pStyle w:val="Heading3"/>
      </w:pPr>
      <w:r>
        <w:t xml:space="preserve">👀 </w:t>
      </w:r>
      <w:r>
        <w:rPr>
          <w:rFonts w:hint="eastAsia"/>
        </w:rPr>
        <w:t xml:space="preserve">只观察：三环集团与元件修复</w:t>
      </w:r>
    </w:p>
    <w:p>
      <w:pPr>
        <w:pStyle w:val="FirstParagraph"/>
      </w:pPr>
      <w:r>
        <w:rPr>
          <w:rFonts w:hint="eastAsia"/>
          <w:b/>
          <w:bCs/>
        </w:rPr>
        <w:t xml:space="preserve">证据链：</w:t>
      </w:r>
    </w:p>
    <w:p>
      <w:pPr>
        <w:pStyle w:val="Compact"/>
        <w:numPr>
          <w:ilvl w:val="0"/>
          <w:numId w:val="1050"/>
        </w:numPr>
      </w:pPr>
      <w:r>
        <w:rPr>
          <w:rFonts w:hint="eastAsia"/>
        </w:rPr>
        <w:t xml:space="preserve">元件行业昨日主力净流入28.84亿元，位列板块流入第一。</w:t>
      </w:r>
    </w:p>
    <w:p>
      <w:pPr>
        <w:pStyle w:val="Compact"/>
        <w:numPr>
          <w:ilvl w:val="0"/>
          <w:numId w:val="1050"/>
        </w:numPr>
      </w:pPr>
      <w:r>
        <w:rPr>
          <w:rFonts w:hint="eastAsia"/>
        </w:rPr>
        <w:t xml:space="preserve">三环集团主力流入50.92亿元，昨日上涨1.18%，成交额94.45亿元。</w:t>
      </w:r>
    </w:p>
    <w:p>
      <w:pPr>
        <w:pStyle w:val="Compact"/>
        <w:numPr>
          <w:ilvl w:val="0"/>
          <w:numId w:val="1050"/>
        </w:numPr>
      </w:pPr>
      <w:r>
        <w:rPr>
          <w:rFonts w:hint="eastAsia"/>
        </w:rPr>
        <w:t xml:space="preserve">TickFlow评级为C，是重点股样本中唯一非D级标的。</w:t>
      </w:r>
    </w:p>
    <w:p>
      <w:pPr>
        <w:pStyle w:val="FirstParagraph"/>
      </w:pPr>
      <w:r>
        <w:rPr>
          <w:rFonts w:hint="eastAsia"/>
          <w:b/>
          <w:bCs/>
        </w:rPr>
        <w:t xml:space="preserve">技术与行动：</w:t>
      </w:r>
    </w:p>
    <w:p>
      <w:pPr>
        <w:pStyle w:val="Compact"/>
        <w:numPr>
          <w:ilvl w:val="0"/>
          <w:numId w:val="1051"/>
        </w:numPr>
      </w:pPr>
      <w:r>
        <w:rPr>
          <w:rFonts w:hint="eastAsia"/>
        </w:rPr>
        <w:t xml:space="preserve">截至9月11日收盘124.36元，MA20为114.096元、MA60为123.049元。</w:t>
      </w:r>
    </w:p>
    <w:p>
      <w:pPr>
        <w:pStyle w:val="Compact"/>
        <w:numPr>
          <w:ilvl w:val="0"/>
          <w:numId w:val="1051"/>
        </w:numPr>
      </w:pPr>
      <w:r>
        <w:rPr>
          <w:rFonts w:hint="eastAsia"/>
        </w:rPr>
        <w:t xml:space="preserve">已站上MA20和MA60，但MA20尚未上行，距离60日高点170.46元仍为27.04%。</w:t>
      </w:r>
    </w:p>
    <w:p>
      <w:pPr>
        <w:pStyle w:val="Compact"/>
        <w:numPr>
          <w:ilvl w:val="0"/>
          <w:numId w:val="1051"/>
        </w:numPr>
      </w:pPr>
      <w:r>
        <w:rPr>
          <w:rFonts w:hint="eastAsia"/>
        </w:rPr>
        <w:t xml:space="preserve">评级C代表反弹修复、趋势未确认，当前只观察，不开新仓。</w:t>
      </w:r>
    </w:p>
    <w:p>
      <w:pPr>
        <w:pStyle w:val="Compact"/>
        <w:numPr>
          <w:ilvl w:val="0"/>
          <w:numId w:val="1051"/>
        </w:numPr>
      </w:pPr>
      <w:r>
        <w:rPr>
          <w:rFonts w:hint="eastAsia"/>
        </w:rPr>
        <w:t xml:space="preserve">只有收盘站稳170.46元且量比不低于1.2，或缩量回踩MA20不破后再放量，才重新评估。</w:t>
      </w:r>
    </w:p>
    <w:p>
      <w:pPr>
        <w:pStyle w:val="Compact"/>
        <w:numPr>
          <w:ilvl w:val="0"/>
          <w:numId w:val="1051"/>
        </w:numPr>
      </w:pPr>
      <w:r>
        <w:rPr>
          <w:rFonts w:hint="eastAsia"/>
        </w:rPr>
        <w:t xml:space="preserve">ATR证伪参考为110.125元。</w:t>
      </w:r>
    </w:p>
    <w:bookmarkEnd w:id="59"/>
    <w:bookmarkStart w:id="60" w:name="应回避ai光模块半导体与高估值元件追涨"/>
    <w:p>
      <w:pPr>
        <w:pStyle w:val="Heading3"/>
      </w:pPr>
      <w:r>
        <w:t xml:space="preserve">📉 </w:t>
      </w:r>
      <w:r>
        <w:rPr>
          <w:rFonts w:hint="eastAsia"/>
        </w:rPr>
        <w:t xml:space="preserve">应回避：AI光模块、半导体与高估值元件追涨</w:t>
      </w:r>
    </w:p>
    <w:p>
      <w:pPr>
        <w:pStyle w:val="FirstParagraph"/>
      </w:pPr>
      <w:r>
        <w:rPr>
          <w:rFonts w:hint="eastAsia"/>
          <w:b/>
          <w:bCs/>
        </w:rPr>
        <w:t xml:space="preserve">证据链：</w:t>
      </w:r>
    </w:p>
    <w:p>
      <w:pPr>
        <w:pStyle w:val="Compact"/>
        <w:numPr>
          <w:ilvl w:val="0"/>
          <w:numId w:val="1052"/>
        </w:numPr>
      </w:pPr>
      <w:r>
        <w:rPr>
          <w:rFonts w:hint="eastAsia"/>
        </w:rPr>
        <w:t xml:space="preserve">英伟达、AMD、台积电、博通和美光隔夜分别下跌3.36%、4.40%、3.52%、4.77%和5.25%。</w:t>
      </w:r>
    </w:p>
    <w:p>
      <w:pPr>
        <w:pStyle w:val="Compact"/>
        <w:numPr>
          <w:ilvl w:val="0"/>
          <w:numId w:val="1052"/>
        </w:numPr>
      </w:pPr>
      <w:r>
        <w:rPr>
          <w:rFonts w:hint="eastAsia"/>
        </w:rPr>
        <w:t xml:space="preserve">昨日通信设备净流出72.61亿元、半导体净流出71.00亿元。</w:t>
      </w:r>
    </w:p>
    <w:p>
      <w:pPr>
        <w:pStyle w:val="Compact"/>
        <w:numPr>
          <w:ilvl w:val="0"/>
          <w:numId w:val="1052"/>
        </w:numPr>
      </w:pPr>
      <w:r>
        <w:rPr>
          <w:rFonts w:hint="eastAsia"/>
        </w:rPr>
        <w:t xml:space="preserve">中际旭创、新易盛、东山精密、兆易创新、寒武纪均为D级。</w:t>
      </w:r>
    </w:p>
    <w:p>
      <w:pPr>
        <w:pStyle w:val="Compact"/>
        <w:numPr>
          <w:ilvl w:val="0"/>
          <w:numId w:val="1052"/>
        </w:numPr>
      </w:pPr>
      <w:r>
        <w:rPr>
          <w:rFonts w:hint="eastAsia"/>
        </w:rPr>
        <w:t xml:space="preserve">风华高科PE为166.10倍、换手率19.15%，存在估值和交易拥挤风险。</w:t>
      </w:r>
    </w:p>
    <w:p>
      <w:pPr>
        <w:pStyle w:val="FirstParagraph"/>
      </w:pPr>
      <w:r>
        <w:rPr>
          <w:rFonts w:hint="eastAsia"/>
          <w:b/>
          <w:bCs/>
        </w:rPr>
        <w:t xml:space="preserve">重点标的技术约束：</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标的</w:t>
            </w:r>
          </w:p>
        </w:tc>
        <w:tc>
          <w:tcPr/>
          <w:p>
            <w:pPr>
              <w:pStyle w:val="Compact"/>
            </w:pPr>
            <w:r>
              <w:rPr>
                <w:rFonts w:hint="eastAsia"/>
              </w:rPr>
              <w:t xml:space="preserve">评级</w:t>
            </w:r>
          </w:p>
        </w:tc>
        <w:tc>
          <w:tcPr/>
          <w:p>
            <w:pPr>
              <w:pStyle w:val="Compact"/>
              <w:jc w:val="right"/>
            </w:pPr>
            <w:r>
              <w:t xml:space="preserve">MA20</w:t>
            </w:r>
          </w:p>
        </w:tc>
        <w:tc>
          <w:tcPr/>
          <w:p>
            <w:pPr>
              <w:pStyle w:val="Compact"/>
              <w:jc w:val="right"/>
            </w:pPr>
            <w:r>
              <w:t xml:space="preserve">MA60</w:t>
            </w:r>
          </w:p>
        </w:tc>
        <w:tc>
          <w:tcPr/>
          <w:p>
            <w:pPr>
              <w:pStyle w:val="Compact"/>
            </w:pPr>
            <w:r>
              <w:rPr>
                <w:rFonts w:hint="eastAsia"/>
              </w:rPr>
              <w:t xml:space="preserve">明确行动</w:t>
            </w:r>
          </w:p>
        </w:tc>
      </w:tr>
      <w:tr>
        <w:tc>
          <w:tcPr/>
          <w:p>
            <w:pPr>
              <w:pStyle w:val="Compact"/>
            </w:pPr>
            <w:r>
              <w:rPr>
                <w:rFonts w:hint="eastAsia"/>
              </w:rPr>
              <w:t xml:space="preserve">中际旭创</w:t>
            </w:r>
          </w:p>
        </w:tc>
        <w:tc>
          <w:tcPr/>
          <w:p>
            <w:pPr>
              <w:pStyle w:val="Compact"/>
            </w:pPr>
            <w:r>
              <w:t xml:space="preserve">D</w:t>
            </w:r>
          </w:p>
        </w:tc>
        <w:tc>
          <w:tcPr/>
          <w:p>
            <w:pPr>
              <w:pStyle w:val="Compact"/>
              <w:jc w:val="right"/>
            </w:pPr>
            <w:r>
              <w:t xml:space="preserve">885.4975</w:t>
            </w:r>
          </w:p>
        </w:tc>
        <w:tc>
          <w:tcPr/>
          <w:p>
            <w:pPr>
              <w:pStyle w:val="Compact"/>
              <w:jc w:val="right"/>
            </w:pPr>
            <w:r>
              <w:t xml:space="preserve">1012.6968</w:t>
            </w:r>
          </w:p>
        </w:tc>
        <w:tc>
          <w:tcPr/>
          <w:p>
            <w:pPr>
              <w:pStyle w:val="Compact"/>
            </w:pPr>
            <w:r>
              <w:rPr>
                <w:rFonts w:hint="eastAsia"/>
              </w:rPr>
              <w:t xml:space="preserve">回避，重回MA20/MA60后复评</w:t>
            </w:r>
          </w:p>
        </w:tc>
      </w:tr>
      <w:tr>
        <w:tc>
          <w:tcPr/>
          <w:p>
            <w:pPr>
              <w:pStyle w:val="Compact"/>
            </w:pPr>
            <w:r>
              <w:rPr>
                <w:rFonts w:hint="eastAsia"/>
              </w:rPr>
              <w:t xml:space="preserve">新易盛</w:t>
            </w:r>
          </w:p>
        </w:tc>
        <w:tc>
          <w:tcPr/>
          <w:p>
            <w:pPr>
              <w:pStyle w:val="Compact"/>
            </w:pPr>
            <w:r>
              <w:t xml:space="preserve">D</w:t>
            </w:r>
          </w:p>
        </w:tc>
        <w:tc>
          <w:tcPr/>
          <w:p>
            <w:pPr>
              <w:pStyle w:val="Compact"/>
              <w:jc w:val="right"/>
            </w:pPr>
            <w:r>
              <w:t xml:space="preserve">412.5300</w:t>
            </w:r>
          </w:p>
        </w:tc>
        <w:tc>
          <w:tcPr/>
          <w:p>
            <w:pPr>
              <w:pStyle w:val="Compact"/>
              <w:jc w:val="right"/>
            </w:pPr>
            <w:r>
              <w:t xml:space="preserve">466.8073</w:t>
            </w:r>
          </w:p>
        </w:tc>
        <w:tc>
          <w:tcPr/>
          <w:p>
            <w:pPr>
              <w:pStyle w:val="Compact"/>
            </w:pPr>
            <w:r>
              <w:rPr>
                <w:rFonts w:hint="eastAsia"/>
              </w:rPr>
              <w:t xml:space="preserve">回避，重回MA20/MA60后复评</w:t>
            </w:r>
          </w:p>
        </w:tc>
      </w:tr>
      <w:tr>
        <w:tc>
          <w:tcPr/>
          <w:p>
            <w:pPr>
              <w:pStyle w:val="Compact"/>
            </w:pPr>
            <w:r>
              <w:rPr>
                <w:rFonts w:hint="eastAsia"/>
              </w:rPr>
              <w:t xml:space="preserve">东山精密</w:t>
            </w:r>
          </w:p>
        </w:tc>
        <w:tc>
          <w:tcPr/>
          <w:p>
            <w:pPr>
              <w:pStyle w:val="Compact"/>
            </w:pPr>
            <w:r>
              <w:t xml:space="preserve">D</w:t>
            </w:r>
          </w:p>
        </w:tc>
        <w:tc>
          <w:tcPr/>
          <w:p>
            <w:pPr>
              <w:pStyle w:val="Compact"/>
              <w:jc w:val="right"/>
            </w:pPr>
            <w:r>
              <w:t xml:space="preserve">194.5745</w:t>
            </w:r>
          </w:p>
        </w:tc>
        <w:tc>
          <w:tcPr/>
          <w:p>
            <w:pPr>
              <w:pStyle w:val="Compact"/>
              <w:jc w:val="right"/>
            </w:pPr>
            <w:r>
              <w:t xml:space="preserve">213.0745</w:t>
            </w:r>
          </w:p>
        </w:tc>
        <w:tc>
          <w:tcPr/>
          <w:p>
            <w:pPr>
              <w:pStyle w:val="Compact"/>
            </w:pPr>
            <w:r>
              <w:rPr>
                <w:rFonts w:hint="eastAsia"/>
              </w:rPr>
              <w:t xml:space="preserve">已出现MA20破位信号</w:t>
            </w:r>
          </w:p>
        </w:tc>
      </w:tr>
      <w:tr>
        <w:tc>
          <w:tcPr/>
          <w:p>
            <w:pPr>
              <w:pStyle w:val="Compact"/>
            </w:pPr>
            <w:r>
              <w:rPr>
                <w:rFonts w:hint="eastAsia"/>
              </w:rPr>
              <w:t xml:space="preserve">兆易创新</w:t>
            </w:r>
          </w:p>
        </w:tc>
        <w:tc>
          <w:tcPr/>
          <w:p>
            <w:pPr>
              <w:pStyle w:val="Compact"/>
            </w:pPr>
            <w:r>
              <w:t xml:space="preserve">D</w:t>
            </w:r>
          </w:p>
        </w:tc>
        <w:tc>
          <w:tcPr/>
          <w:p>
            <w:pPr>
              <w:pStyle w:val="Compact"/>
              <w:jc w:val="right"/>
            </w:pPr>
            <w:r>
              <w:t xml:space="preserve">397.3925</w:t>
            </w:r>
          </w:p>
        </w:tc>
        <w:tc>
          <w:tcPr/>
          <w:p>
            <w:pPr>
              <w:pStyle w:val="Compact"/>
              <w:jc w:val="right"/>
            </w:pPr>
            <w:r>
              <w:t xml:space="preserve">492.1190</w:t>
            </w:r>
          </w:p>
        </w:tc>
        <w:tc>
          <w:tcPr/>
          <w:p>
            <w:pPr>
              <w:pStyle w:val="Compact"/>
            </w:pPr>
            <w:r>
              <w:rPr>
                <w:rFonts w:hint="eastAsia"/>
              </w:rPr>
              <w:t xml:space="preserve">回避，趋势破位</w:t>
            </w:r>
          </w:p>
        </w:tc>
      </w:tr>
      <w:tr>
        <w:tc>
          <w:tcPr/>
          <w:p>
            <w:pPr>
              <w:pStyle w:val="Compact"/>
            </w:pPr>
            <w:r>
              <w:rPr>
                <w:rFonts w:hint="eastAsia"/>
              </w:rPr>
              <w:t xml:space="preserve">寒武纪</w:t>
            </w:r>
          </w:p>
        </w:tc>
        <w:tc>
          <w:tcPr/>
          <w:p>
            <w:pPr>
              <w:pStyle w:val="Compact"/>
            </w:pPr>
            <w:r>
              <w:t xml:space="preserve">D</w:t>
            </w:r>
          </w:p>
        </w:tc>
        <w:tc>
          <w:tcPr/>
          <w:p>
            <w:pPr>
              <w:pStyle w:val="Compact"/>
              <w:jc w:val="right"/>
            </w:pPr>
            <w:r>
              <w:t xml:space="preserve">1068.6685</w:t>
            </w:r>
          </w:p>
        </w:tc>
        <w:tc>
          <w:tcPr/>
          <w:p>
            <w:pPr>
              <w:pStyle w:val="Compact"/>
              <w:jc w:val="right"/>
            </w:pPr>
            <w:r>
              <w:t xml:space="preserve">1220.3892</w:t>
            </w:r>
          </w:p>
        </w:tc>
        <w:tc>
          <w:tcPr/>
          <w:p>
            <w:pPr>
              <w:pStyle w:val="Compact"/>
            </w:pPr>
            <w:r>
              <w:rPr>
                <w:rFonts w:hint="eastAsia"/>
              </w:rPr>
              <w:t xml:space="preserve">回避，趋势破位</w:t>
            </w:r>
          </w:p>
        </w:tc>
      </w:tr>
    </w:tbl>
    <w:p>
      <w:pPr>
        <w:pStyle w:val="BodyText"/>
      </w:pPr>
      <w:r>
        <w:rPr>
          <w:rFonts w:hint="eastAsia"/>
        </w:rPr>
        <w:t xml:space="preserve">中际旭创和新易盛2026年中报业绩仍然强劲：</w:t>
      </w:r>
    </w:p>
    <w:p>
      <w:pPr>
        <w:pStyle w:val="Compact"/>
        <w:numPr>
          <w:ilvl w:val="0"/>
          <w:numId w:val="1053"/>
        </w:numPr>
      </w:pPr>
      <w:r>
        <w:rPr>
          <w:rFonts w:hint="eastAsia"/>
        </w:rPr>
        <w:t xml:space="preserve">中际旭创营收同比增长182.5%，净利润同比增长247.3%，ROE为37.62%，PE为50.28倍。</w:t>
      </w:r>
    </w:p>
    <w:p>
      <w:pPr>
        <w:pStyle w:val="Compact"/>
        <w:numPr>
          <w:ilvl w:val="0"/>
          <w:numId w:val="1053"/>
        </w:numPr>
      </w:pPr>
      <w:r>
        <w:rPr>
          <w:rFonts w:hint="eastAsia"/>
        </w:rPr>
        <w:t xml:space="preserve">新易盛营收同比增长100.3%，净利润同比增长91.93%，ROE为34.86%，PE为42.71倍。</w:t>
      </w:r>
    </w:p>
    <w:p>
      <w:pPr>
        <w:pStyle w:val="FirstParagraph"/>
      </w:pPr>
      <w:r>
        <w:rPr>
          <w:rFonts w:hint="eastAsia"/>
        </w:rPr>
        <w:t xml:space="preserve">基本面增长能够提供中长期跟踪价值，但不能覆盖当前趋势破位、海外映射下跌和资金双向剧烈博弈。</w:t>
      </w:r>
      <w:r>
        <w:rPr>
          <w:rFonts w:hint="eastAsia"/>
          <w:b/>
          <w:bCs/>
        </w:rPr>
        <w:t xml:space="preserve">好公司不等于今天有买点。</w:t>
      </w:r>
    </w:p>
    <w:p>
      <w:r>
        <w:pict>
          <v:rect style="width:0;height:1.5pt" o:hralign="center" o:hrstd="t" o:hr="t"/>
        </w:pict>
      </w:r>
    </w:p>
    <w:bookmarkEnd w:id="60"/>
    <w:bookmarkEnd w:id="61"/>
    <w:bookmarkStart w:id="65" w:name="今日操作策略先防守等待右侧确认"/>
    <w:p>
      <w:pPr>
        <w:pStyle w:val="Heading2"/>
      </w:pPr>
      <w:r>
        <w:t xml:space="preserve">💡 </w:t>
      </w:r>
      <w:r>
        <w:rPr>
          <w:rFonts w:hint="eastAsia"/>
        </w:rPr>
        <w:t xml:space="preserve">今日操作策略：先防守，等待右侧确认</w:t>
      </w:r>
    </w:p>
    <w:bookmarkStart w:id="62" w:name="强势情景最高仓位50"/>
    <w:p>
      <w:pPr>
        <w:pStyle w:val="Heading3"/>
      </w:pPr>
      <w:r>
        <w:t xml:space="preserve">📈 </w:t>
      </w:r>
      <w:r>
        <w:rPr>
          <w:rFonts w:hint="eastAsia"/>
        </w:rPr>
        <w:t xml:space="preserve">强势情景：最高仓位50%</w:t>
      </w:r>
    </w:p>
    <w:p>
      <w:pPr>
        <w:pStyle w:val="FirstParagraph"/>
      </w:pPr>
      <w:r>
        <w:rPr>
          <w:rFonts w:hint="eastAsia"/>
        </w:rPr>
        <w:t xml:space="preserve">满足以下条件后采用进取档：</w:t>
      </w:r>
    </w:p>
    <w:p>
      <w:pPr>
        <w:pStyle w:val="Compact"/>
        <w:numPr>
          <w:ilvl w:val="0"/>
          <w:numId w:val="1054"/>
        </w:numPr>
      </w:pPr>
      <w:r>
        <w:rPr>
          <w:rFonts w:hint="eastAsia"/>
        </w:rPr>
        <w:t xml:space="preserve">上证指数收复3895.5095。</w:t>
      </w:r>
    </w:p>
    <w:p>
      <w:pPr>
        <w:pStyle w:val="Compact"/>
        <w:numPr>
          <w:ilvl w:val="0"/>
          <w:numId w:val="1054"/>
        </w:numPr>
      </w:pPr>
      <w:r>
        <w:rPr>
          <w:rFonts w:hint="eastAsia"/>
        </w:rPr>
        <w:t xml:space="preserve">全市场成交节奏指向17000亿元以上。</w:t>
      </w:r>
    </w:p>
    <w:p>
      <w:pPr>
        <w:pStyle w:val="Compact"/>
        <w:numPr>
          <w:ilvl w:val="0"/>
          <w:numId w:val="1054"/>
        </w:numPr>
      </w:pPr>
      <w:r>
        <w:rPr>
          <w:rFonts w:hint="eastAsia"/>
        </w:rPr>
        <w:t xml:space="preserve">科技权重止跌，通信或半导体主力资金由流出转为回流。</w:t>
      </w:r>
    </w:p>
    <w:p>
      <w:pPr>
        <w:pStyle w:val="Compact"/>
        <w:numPr>
          <w:ilvl w:val="0"/>
          <w:numId w:val="1054"/>
        </w:numPr>
      </w:pPr>
      <w:r>
        <w:rPr>
          <w:rFonts w:hint="eastAsia"/>
        </w:rPr>
        <w:t xml:space="preserve">医疗、网络安全等政策方向回踩后重新放量上攻。</w:t>
      </w:r>
    </w:p>
    <w:p>
      <w:pPr>
        <w:pStyle w:val="FirstParagraph"/>
      </w:pPr>
      <w:r>
        <w:rPr>
          <w:rFonts w:hint="eastAsia"/>
          <w:b/>
          <w:bCs/>
        </w:rPr>
        <w:t xml:space="preserve">执行：</w:t>
      </w:r>
    </w:p>
    <w:p>
      <w:pPr>
        <w:pStyle w:val="Compact"/>
        <w:numPr>
          <w:ilvl w:val="0"/>
          <w:numId w:val="1055"/>
        </w:numPr>
      </w:pPr>
      <w:r>
        <w:rPr>
          <w:rFonts w:hint="eastAsia"/>
        </w:rPr>
        <w:t xml:space="preserve">底仓控制在30%。</w:t>
      </w:r>
    </w:p>
    <w:p>
      <w:pPr>
        <w:pStyle w:val="Compact"/>
        <w:numPr>
          <w:ilvl w:val="0"/>
          <w:numId w:val="1055"/>
        </w:numPr>
      </w:pPr>
      <w:r>
        <w:rPr>
          <w:rFonts w:hint="eastAsia"/>
        </w:rPr>
        <w:t xml:space="preserve">确认主线后提升至50%，不一次性满仓。</w:t>
      </w:r>
    </w:p>
    <w:p>
      <w:pPr>
        <w:pStyle w:val="Compact"/>
        <w:numPr>
          <w:ilvl w:val="0"/>
          <w:numId w:val="1055"/>
        </w:numPr>
      </w:pPr>
      <w:r>
        <w:rPr>
          <w:rFonts w:hint="eastAsia"/>
        </w:rPr>
        <w:t xml:space="preserve">只参与右侧突破或缩量回踩后的二次确认，不追开盘急拉。</w:t>
      </w:r>
    </w:p>
    <w:p>
      <w:pPr>
        <w:pStyle w:val="Compact"/>
        <w:numPr>
          <w:ilvl w:val="0"/>
          <w:numId w:val="1055"/>
        </w:numPr>
      </w:pPr>
      <w:r>
        <w:rPr>
          <w:rFonts w:hint="eastAsia"/>
        </w:rPr>
        <w:t xml:space="preserve">当前重点股样本无A/B级，即使强势情景成立，也需等待个股自身确认。</w:t>
      </w:r>
    </w:p>
    <w:bookmarkEnd w:id="62"/>
    <w:bookmarkStart w:id="63" w:name="平衡情景仓位42"/>
    <w:p>
      <w:pPr>
        <w:pStyle w:val="Heading3"/>
      </w:pPr>
      <w:r>
        <w:t xml:space="preserve">➖ </w:t>
      </w:r>
      <w:r>
        <w:rPr>
          <w:rFonts w:hint="eastAsia"/>
        </w:rPr>
        <w:t xml:space="preserve">平衡情景：仓位42%</w:t>
      </w:r>
    </w:p>
    <w:p>
      <w:pPr>
        <w:pStyle w:val="FirstParagraph"/>
      </w:pPr>
      <w:r>
        <w:rPr>
          <w:rFonts w:hint="eastAsia"/>
        </w:rPr>
        <w:t xml:space="preserve">适用条件：</w:t>
      </w:r>
    </w:p>
    <w:p>
      <w:pPr>
        <w:pStyle w:val="Compact"/>
        <w:numPr>
          <w:ilvl w:val="0"/>
          <w:numId w:val="1056"/>
        </w:numPr>
      </w:pPr>
      <w:r>
        <w:rPr>
          <w:rFonts w:hint="eastAsia"/>
        </w:rPr>
        <w:t xml:space="preserve">指数维持在3867.0216—3895.5095区间。</w:t>
      </w:r>
    </w:p>
    <w:p>
      <w:pPr>
        <w:pStyle w:val="Compact"/>
        <w:numPr>
          <w:ilvl w:val="0"/>
          <w:numId w:val="1056"/>
        </w:numPr>
      </w:pPr>
      <w:r>
        <w:rPr>
          <w:rFonts w:hint="eastAsia"/>
        </w:rPr>
        <w:t xml:space="preserve">成交额没有进一步恶化，但也未明显放量。</w:t>
      </w:r>
    </w:p>
    <w:p>
      <w:pPr>
        <w:pStyle w:val="Compact"/>
        <w:numPr>
          <w:ilvl w:val="0"/>
          <w:numId w:val="1056"/>
        </w:numPr>
      </w:pPr>
      <w:r>
        <w:rPr>
          <w:rFonts w:hint="eastAsia"/>
        </w:rPr>
        <w:t xml:space="preserve">医药、汽车、网安和科技之间快速轮动，没有单一主线。</w:t>
      </w:r>
    </w:p>
    <w:p>
      <w:pPr>
        <w:pStyle w:val="FirstParagraph"/>
      </w:pPr>
      <w:r>
        <w:rPr>
          <w:rFonts w:hint="eastAsia"/>
          <w:b/>
          <w:bCs/>
        </w:rPr>
        <w:t xml:space="preserve">执行：</w:t>
      </w:r>
    </w:p>
    <w:p>
      <w:pPr>
        <w:pStyle w:val="Compact"/>
        <w:numPr>
          <w:ilvl w:val="0"/>
          <w:numId w:val="1057"/>
        </w:numPr>
      </w:pPr>
      <w:r>
        <w:rPr>
          <w:rFonts w:hint="eastAsia"/>
        </w:rPr>
        <w:t xml:space="preserve">总仓位控制在42%。</w:t>
      </w:r>
    </w:p>
    <w:p>
      <w:pPr>
        <w:pStyle w:val="Compact"/>
        <w:numPr>
          <w:ilvl w:val="0"/>
          <w:numId w:val="1057"/>
        </w:numPr>
      </w:pPr>
      <w:r>
        <w:rPr>
          <w:rFonts w:hint="eastAsia"/>
        </w:rPr>
        <w:t xml:space="preserve">以30%底仓配合12%机动仓。</w:t>
      </w:r>
    </w:p>
    <w:p>
      <w:pPr>
        <w:pStyle w:val="Compact"/>
        <w:numPr>
          <w:ilvl w:val="0"/>
          <w:numId w:val="1057"/>
        </w:numPr>
      </w:pPr>
      <w:r>
        <w:rPr>
          <w:rFonts w:hint="eastAsia"/>
        </w:rPr>
        <w:t xml:space="preserve">冲高兑现弱势持仓，避免在轮动后排追加仓位。</w:t>
      </w:r>
    </w:p>
    <w:p>
      <w:pPr>
        <w:pStyle w:val="Compact"/>
        <w:numPr>
          <w:ilvl w:val="0"/>
          <w:numId w:val="1057"/>
        </w:numPr>
      </w:pPr>
      <w:r>
        <w:rPr>
          <w:rFonts w:hint="eastAsia"/>
        </w:rPr>
        <w:t xml:space="preserve">新开仓只选趋势未破、回踩承接明确的低位品种。</w:t>
      </w:r>
    </w:p>
    <w:bookmarkEnd w:id="63"/>
    <w:bookmarkStart w:id="64" w:name="弱势情景仓位27"/>
    <w:p>
      <w:pPr>
        <w:pStyle w:val="Heading3"/>
      </w:pPr>
      <w:r>
        <w:t xml:space="preserve">📉 </w:t>
      </w:r>
      <w:r>
        <w:rPr>
          <w:rFonts w:hint="eastAsia"/>
        </w:rPr>
        <w:t xml:space="preserve">弱势情景：仓位27%</w:t>
      </w:r>
    </w:p>
    <w:p>
      <w:pPr>
        <w:pStyle w:val="FirstParagraph"/>
      </w:pPr>
      <w:r>
        <w:rPr>
          <w:rFonts w:hint="eastAsia"/>
        </w:rPr>
        <w:t xml:space="preserve">触发条件：</w:t>
      </w:r>
    </w:p>
    <w:p>
      <w:pPr>
        <w:pStyle w:val="Compact"/>
        <w:numPr>
          <w:ilvl w:val="0"/>
          <w:numId w:val="1058"/>
        </w:numPr>
      </w:pPr>
      <w:r>
        <w:rPr>
          <w:rFonts w:hint="eastAsia"/>
        </w:rPr>
        <w:t xml:space="preserve">上证指数跌破3867.0216。</w:t>
      </w:r>
    </w:p>
    <w:p>
      <w:pPr>
        <w:pStyle w:val="Compact"/>
        <w:numPr>
          <w:ilvl w:val="0"/>
          <w:numId w:val="1058"/>
        </w:numPr>
      </w:pPr>
      <w:r>
        <w:rPr>
          <w:rFonts w:hint="eastAsia"/>
        </w:rPr>
        <w:t xml:space="preserve">成交额继续缩量。</w:t>
      </w:r>
    </w:p>
    <w:p>
      <w:pPr>
        <w:pStyle w:val="Compact"/>
        <w:numPr>
          <w:ilvl w:val="0"/>
          <w:numId w:val="1058"/>
        </w:numPr>
      </w:pPr>
      <w:r>
        <w:rPr>
          <w:rFonts w:hint="eastAsia"/>
        </w:rPr>
        <w:t xml:space="preserve">海外半导体压力向A股扩散，科技核心继续放量下跌。</w:t>
      </w:r>
    </w:p>
    <w:p>
      <w:pPr>
        <w:pStyle w:val="Compact"/>
        <w:numPr>
          <w:ilvl w:val="0"/>
          <w:numId w:val="1058"/>
        </w:numPr>
      </w:pPr>
      <w:r>
        <w:rPr>
          <w:rFonts w:hint="eastAsia"/>
        </w:rPr>
        <w:t xml:space="preserve">QVIX继续上升，宽基ETF承接无法稳定指数。</w:t>
      </w:r>
    </w:p>
    <w:p>
      <w:pPr>
        <w:pStyle w:val="FirstParagraph"/>
      </w:pPr>
      <w:r>
        <w:rPr>
          <w:rFonts w:hint="eastAsia"/>
          <w:b/>
          <w:bCs/>
        </w:rPr>
        <w:t xml:space="preserve">执行：</w:t>
      </w:r>
    </w:p>
    <w:p>
      <w:pPr>
        <w:pStyle w:val="Compact"/>
        <w:numPr>
          <w:ilvl w:val="0"/>
          <w:numId w:val="1059"/>
        </w:numPr>
      </w:pPr>
      <w:r>
        <w:rPr>
          <w:rFonts w:hint="eastAsia"/>
        </w:rPr>
        <w:t xml:space="preserve">总仓位降至27%。</w:t>
      </w:r>
    </w:p>
    <w:p>
      <w:pPr>
        <w:pStyle w:val="Compact"/>
        <w:numPr>
          <w:ilvl w:val="0"/>
          <w:numId w:val="1059"/>
        </w:numPr>
      </w:pPr>
      <w:r>
        <w:rPr>
          <w:rFonts w:hint="eastAsia"/>
        </w:rPr>
        <w:t xml:space="preserve">仅保留趋势未破、基本面有支撑的底仓。</w:t>
      </w:r>
    </w:p>
    <w:p>
      <w:pPr>
        <w:pStyle w:val="Compact"/>
        <w:numPr>
          <w:ilvl w:val="0"/>
          <w:numId w:val="1059"/>
        </w:numPr>
      </w:pPr>
      <w:r>
        <w:rPr>
          <w:rFonts w:hint="eastAsia"/>
        </w:rPr>
        <w:t xml:space="preserve">D级标的不补仓，不因亏损扩大而延后止损。</w:t>
      </w:r>
    </w:p>
    <w:p>
      <w:pPr>
        <w:pStyle w:val="Compact"/>
        <w:numPr>
          <w:ilvl w:val="0"/>
          <w:numId w:val="1059"/>
        </w:numPr>
      </w:pPr>
      <w:r>
        <w:rPr>
          <w:rFonts w:hint="eastAsia"/>
        </w:rPr>
        <w:t xml:space="preserve">重组复牌、减持、高估值高换手和海外映射弱势股全部回避。</w:t>
      </w:r>
    </w:p>
    <w:p>
      <w:r>
        <w:pict>
          <v:rect style="width:0;height:1.5pt" o:hralign="center" o:hrstd="t" o:hr="t"/>
        </w:pict>
      </w:r>
    </w:p>
    <w:bookmarkEnd w:id="64"/>
    <w:bookmarkEnd w:id="65"/>
    <w:bookmarkStart w:id="67" w:name="仓位模型量化结论偏谨慎"/>
    <w:p>
      <w:pPr>
        <w:pStyle w:val="Heading2"/>
      </w:pPr>
      <w:r>
        <w:t xml:space="preserve">🧮 </w:t>
      </w:r>
      <w:r>
        <w:rPr>
          <w:rFonts w:hint="eastAsia"/>
        </w:rPr>
        <w:t xml:space="preserve">仓位模型：量化结论偏谨慎</w:t>
      </w:r>
    </w:p>
    <w:p>
      <w:pPr>
        <w:pStyle w:val="FirstParagraph"/>
      </w:pPr>
      <w:r>
        <w:rPr>
          <w:rFonts w:hint="eastAsia"/>
        </w:rPr>
        <w:t xml:space="preserve">自动仓位模型输出：</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档位</w:t>
            </w:r>
          </w:p>
        </w:tc>
        <w:tc>
          <w:tcPr/>
          <w:p>
            <w:pPr>
              <w:pStyle w:val="Compact"/>
              <w:jc w:val="right"/>
            </w:pPr>
            <w:r>
              <w:rPr>
                <w:rFonts w:hint="eastAsia"/>
              </w:rPr>
              <w:t xml:space="preserve">建议仓位</w:t>
            </w:r>
          </w:p>
        </w:tc>
      </w:tr>
      <w:tr>
        <w:tc>
          <w:tcPr/>
          <w:p>
            <w:pPr>
              <w:pStyle w:val="Compact"/>
            </w:pPr>
            <w:r>
              <w:rPr>
                <w:rFonts w:hint="eastAsia"/>
              </w:rPr>
              <w:t xml:space="preserve">进取档</w:t>
            </w:r>
          </w:p>
        </w:tc>
        <w:tc>
          <w:tcPr/>
          <w:p>
            <w:pPr>
              <w:pStyle w:val="Compact"/>
              <w:jc w:val="right"/>
            </w:pPr>
            <w:r>
              <w:t xml:space="preserve">50%</w:t>
            </w:r>
          </w:p>
        </w:tc>
      </w:tr>
      <w:tr>
        <w:tc>
          <w:tcPr/>
          <w:p>
            <w:pPr>
              <w:pStyle w:val="Compact"/>
            </w:pPr>
            <w:r>
              <w:rPr>
                <w:rFonts w:hint="eastAsia"/>
              </w:rPr>
              <w:t xml:space="preserve">平衡档</w:t>
            </w:r>
          </w:p>
        </w:tc>
        <w:tc>
          <w:tcPr/>
          <w:p>
            <w:pPr>
              <w:pStyle w:val="Compact"/>
              <w:jc w:val="right"/>
            </w:pPr>
            <w:r>
              <w:t xml:space="preserve">42%</w:t>
            </w:r>
          </w:p>
        </w:tc>
      </w:tr>
      <w:tr>
        <w:tc>
          <w:tcPr/>
          <w:p>
            <w:pPr>
              <w:pStyle w:val="Compact"/>
            </w:pPr>
            <w:r>
              <w:rPr>
                <w:rFonts w:hint="eastAsia"/>
              </w:rPr>
              <w:t xml:space="preserve">保守档</w:t>
            </w:r>
          </w:p>
        </w:tc>
        <w:tc>
          <w:tcPr/>
          <w:p>
            <w:pPr>
              <w:pStyle w:val="Compact"/>
              <w:jc w:val="right"/>
            </w:pPr>
            <w:r>
              <w:t xml:space="preserve">27%</w:t>
            </w:r>
          </w:p>
        </w:tc>
      </w:tr>
    </w:tbl>
    <w:bookmarkStart w:id="66" w:name="加减分依据"/>
    <w:p>
      <w:pPr>
        <w:pStyle w:val="Heading3"/>
      </w:pPr>
      <w:r>
        <w:t xml:space="preserve">📊 </w:t>
      </w:r>
      <w:r>
        <w:rPr>
          <w:rFonts w:hint="eastAsia"/>
        </w:rPr>
        <w:t xml:space="preserve">加减分依据</w:t>
      </w:r>
    </w:p>
    <w:p>
      <w:pPr>
        <w:pStyle w:val="Compact"/>
        <w:numPr>
          <w:ilvl w:val="0"/>
          <w:numId w:val="1060"/>
        </w:numPr>
      </w:pPr>
      <w:r>
        <w:rPr>
          <w:rFonts w:hint="eastAsia"/>
        </w:rPr>
        <w:t xml:space="preserve">上下跌比1.406，市场个股广度偏正，仓位加10个百分点。</w:t>
      </w:r>
    </w:p>
    <w:p>
      <w:pPr>
        <w:pStyle w:val="Compact"/>
        <w:numPr>
          <w:ilvl w:val="0"/>
          <w:numId w:val="1060"/>
        </w:numPr>
      </w:pPr>
      <w:r>
        <w:rPr>
          <w:rFonts w:hint="eastAsia"/>
        </w:rPr>
        <w:t xml:space="preserve">全市场成交额下降17.31%，属于明显缩量，仓位减8个百分点。</w:t>
      </w:r>
    </w:p>
    <w:p>
      <w:pPr>
        <w:pStyle w:val="Compact"/>
        <w:numPr>
          <w:ilvl w:val="0"/>
          <w:numId w:val="1060"/>
        </w:numPr>
      </w:pPr>
      <w:r>
        <w:rPr>
          <w:rFonts w:hint="eastAsia"/>
        </w:rPr>
        <w:t xml:space="preserve">两融余额减少147.4295亿元，主要由融资余额下降驱动，杠杆风险偏好减分。</w:t>
      </w:r>
    </w:p>
    <w:p>
      <w:pPr>
        <w:pStyle w:val="Compact"/>
        <w:numPr>
          <w:ilvl w:val="0"/>
          <w:numId w:val="1060"/>
        </w:numPr>
      </w:pPr>
      <w:r>
        <w:rPr>
          <w:rFonts w:hint="eastAsia"/>
        </w:rPr>
        <w:t xml:space="preserve">宽基ETF中7只出现连续净申购，形成被动资金托底加分。</w:t>
      </w:r>
    </w:p>
    <w:p>
      <w:pPr>
        <w:pStyle w:val="Compact"/>
        <w:numPr>
          <w:ilvl w:val="0"/>
          <w:numId w:val="1060"/>
        </w:numPr>
      </w:pPr>
      <w:r>
        <w:rPr>
          <w:rFonts w:hint="eastAsia"/>
        </w:rPr>
        <w:t xml:space="preserve">QVIX由17.82升至17.97，恐慌降温未确认，不给予风险偏好提升加分。</w:t>
      </w:r>
    </w:p>
    <w:p>
      <w:pPr>
        <w:pStyle w:val="Compact"/>
        <w:numPr>
          <w:ilvl w:val="0"/>
          <w:numId w:val="1060"/>
        </w:numPr>
      </w:pPr>
      <w:r>
        <w:rPr>
          <w:rFonts w:hint="eastAsia"/>
        </w:rPr>
        <w:t xml:space="preserve">海外半导体五只核心股全部下跌，科技成长方向额外减分。</w:t>
      </w:r>
    </w:p>
    <w:p>
      <w:pPr>
        <w:pStyle w:val="Compact"/>
        <w:numPr>
          <w:ilvl w:val="0"/>
          <w:numId w:val="1060"/>
        </w:numPr>
      </w:pPr>
      <w:r>
        <w:rPr>
          <w:rFonts w:hint="eastAsia"/>
        </w:rPr>
        <w:t xml:space="preserve">TickFlow重点股样本A/B级为0只，缺少高质量右侧标的，限制进取档实际使用。</w:t>
      </w:r>
    </w:p>
    <w:p>
      <w:pPr>
        <w:pStyle w:val="FirstParagraph"/>
      </w:pPr>
      <w:r>
        <w:t xml:space="preserve">💡</w:t>
      </w:r>
      <w:r>
        <w:t xml:space="preserve"> </w:t>
      </w:r>
      <w:r>
        <w:rPr>
          <w:rFonts w:hint="eastAsia"/>
          <w:b/>
          <w:bCs/>
        </w:rPr>
        <w:t xml:space="preserve">最终采用平衡偏保守立场：默认42%，开盘弱于预期则迅速切换至27%；只有强势条件全部满足，才允许提高至50%。</w:t>
      </w:r>
    </w:p>
    <w:p>
      <w:r>
        <w:pict>
          <v:rect style="width:0;height:1.5pt" o:hralign="center" o:hrstd="t" o:hr="t"/>
        </w:pict>
      </w:r>
    </w:p>
    <w:bookmarkEnd w:id="66"/>
    <w:bookmarkEnd w:id="67"/>
    <w:bookmarkStart w:id="71" w:name="回避清单"/>
    <w:p>
      <w:pPr>
        <w:pStyle w:val="Heading2"/>
      </w:pPr>
      <w:r>
        <w:t xml:space="preserve">🚫 </w:t>
      </w:r>
      <w:r>
        <w:rPr>
          <w:rFonts w:hint="eastAsia"/>
        </w:rPr>
        <w:t xml:space="preserve">回避清单</w:t>
      </w:r>
    </w:p>
    <w:bookmarkStart w:id="68" w:name="技术破位股"/>
    <w:p>
      <w:pPr>
        <w:pStyle w:val="Heading3"/>
      </w:pPr>
      <w:r>
        <w:t xml:space="preserve">📉 </w:t>
      </w:r>
      <w:r>
        <w:rPr>
          <w:rFonts w:hint="eastAsia"/>
        </w:rPr>
        <w:t xml:space="preserve">技术破位股</w:t>
      </w:r>
    </w:p>
    <w:p>
      <w:pPr>
        <w:pStyle w:val="Compact"/>
        <w:numPr>
          <w:ilvl w:val="0"/>
          <w:numId w:val="1061"/>
        </w:numPr>
      </w:pPr>
      <w:r>
        <w:rPr>
          <w:rFonts w:hint="eastAsia"/>
        </w:rPr>
        <w:t xml:space="preserve">中际旭创：D级，未站稳MA60。</w:t>
      </w:r>
    </w:p>
    <w:p>
      <w:pPr>
        <w:pStyle w:val="Compact"/>
        <w:numPr>
          <w:ilvl w:val="0"/>
          <w:numId w:val="1061"/>
        </w:numPr>
      </w:pPr>
      <w:r>
        <w:rPr>
          <w:rFonts w:hint="eastAsia"/>
        </w:rPr>
        <w:t xml:space="preserve">新易盛：D级，未站稳MA60。</w:t>
      </w:r>
    </w:p>
    <w:p>
      <w:pPr>
        <w:pStyle w:val="Compact"/>
        <w:numPr>
          <w:ilvl w:val="0"/>
          <w:numId w:val="1061"/>
        </w:numPr>
      </w:pPr>
      <w:r>
        <w:rPr>
          <w:rFonts w:hint="eastAsia"/>
        </w:rPr>
        <w:t xml:space="preserve">东山精密：D级，出现MA20破位信号。</w:t>
      </w:r>
    </w:p>
    <w:p>
      <w:pPr>
        <w:pStyle w:val="Compact"/>
        <w:numPr>
          <w:ilvl w:val="0"/>
          <w:numId w:val="1061"/>
        </w:numPr>
      </w:pPr>
      <w:r>
        <w:rPr>
          <w:rFonts w:hint="eastAsia"/>
        </w:rPr>
        <w:t xml:space="preserve">兆易创新：D级，MA20和MA60下方运行。</w:t>
      </w:r>
    </w:p>
    <w:p>
      <w:pPr>
        <w:pStyle w:val="Compact"/>
        <w:numPr>
          <w:ilvl w:val="0"/>
          <w:numId w:val="1061"/>
        </w:numPr>
      </w:pPr>
      <w:r>
        <w:rPr>
          <w:rFonts w:hint="eastAsia"/>
        </w:rPr>
        <w:t xml:space="preserve">宁德时代：D级，MA20和MA60下方运行。</w:t>
      </w:r>
    </w:p>
    <w:p>
      <w:pPr>
        <w:pStyle w:val="Compact"/>
        <w:numPr>
          <w:ilvl w:val="0"/>
          <w:numId w:val="1061"/>
        </w:numPr>
      </w:pPr>
      <w:r>
        <w:rPr>
          <w:rFonts w:hint="eastAsia"/>
        </w:rPr>
        <w:t xml:space="preserve">寒武纪：D级，趋势破位。</w:t>
      </w:r>
    </w:p>
    <w:p>
      <w:pPr>
        <w:pStyle w:val="Compact"/>
        <w:numPr>
          <w:ilvl w:val="0"/>
          <w:numId w:val="1061"/>
        </w:numPr>
      </w:pPr>
      <w:r>
        <w:rPr>
          <w:rFonts w:hint="eastAsia"/>
        </w:rPr>
        <w:t xml:space="preserve">风华高科：中国巨石均为D级，不因单日上涨改变回避结论。</w:t>
      </w:r>
    </w:p>
    <w:p>
      <w:pPr>
        <w:pStyle w:val="Compact"/>
        <w:numPr>
          <w:ilvl w:val="0"/>
          <w:numId w:val="1061"/>
        </w:numPr>
      </w:pPr>
      <w:r>
        <w:rPr>
          <w:rFonts w:hint="eastAsia"/>
        </w:rPr>
        <w:t xml:space="preserve">长鑫科技：MA60数据不足，评级因技术数据不足暂不评级，不做判断、不据此交易。</w:t>
      </w:r>
    </w:p>
    <w:bookmarkEnd w:id="68"/>
    <w:bookmarkStart w:id="69" w:name="公告风险股"/>
    <w:p>
      <w:pPr>
        <w:pStyle w:val="Heading3"/>
      </w:pPr>
      <w:r>
        <w:t xml:space="preserve">⚠️ </w:t>
      </w:r>
      <w:r>
        <w:rPr>
          <w:rFonts w:hint="eastAsia"/>
        </w:rPr>
        <w:t xml:space="preserve">公告风险股</w:t>
      </w:r>
    </w:p>
    <w:p>
      <w:pPr>
        <w:pStyle w:val="Compact"/>
        <w:numPr>
          <w:ilvl w:val="0"/>
          <w:numId w:val="1062"/>
        </w:numPr>
      </w:pPr>
      <w:r>
        <w:rPr>
          <w:rFonts w:hint="eastAsia"/>
        </w:rPr>
        <w:t xml:space="preserve">焦作万方：终止重大资产重组。</w:t>
      </w:r>
    </w:p>
    <w:p>
      <w:pPr>
        <w:pStyle w:val="Compact"/>
        <w:numPr>
          <w:ilvl w:val="0"/>
          <w:numId w:val="1062"/>
        </w:numPr>
      </w:pPr>
      <w:r>
        <w:rPr>
          <w:rFonts w:hint="eastAsia"/>
        </w:rPr>
        <w:t xml:space="preserve">金橙子：终止购买资产并复牌。</w:t>
      </w:r>
    </w:p>
    <w:p>
      <w:pPr>
        <w:pStyle w:val="Compact"/>
        <w:numPr>
          <w:ilvl w:val="0"/>
          <w:numId w:val="1062"/>
        </w:numPr>
      </w:pPr>
      <w:r>
        <w:rPr>
          <w:rFonts w:hint="eastAsia"/>
        </w:rPr>
        <w:t xml:space="preserve">天顺风能：半年报及非经常性损益更正。</w:t>
      </w:r>
    </w:p>
    <w:p>
      <w:pPr>
        <w:pStyle w:val="Compact"/>
        <w:numPr>
          <w:ilvl w:val="0"/>
          <w:numId w:val="1062"/>
        </w:numPr>
      </w:pPr>
      <w:r>
        <w:rPr>
          <w:rFonts w:hint="eastAsia"/>
        </w:rPr>
        <w:t xml:space="preserve">奥浦迈、江河集团、山东玻纤：减持计划。</w:t>
      </w:r>
    </w:p>
    <w:p>
      <w:pPr>
        <w:pStyle w:val="Compact"/>
        <w:numPr>
          <w:ilvl w:val="0"/>
          <w:numId w:val="1062"/>
        </w:numPr>
      </w:pPr>
      <w:r>
        <w:rPr>
          <w:rFonts w:hint="eastAsia"/>
        </w:rPr>
        <w:t xml:space="preserve">誉衡药业、美年健康、莱茵生物：董事、高管或相关股东减持预披露。</w:t>
      </w:r>
    </w:p>
    <w:p>
      <w:pPr>
        <w:pStyle w:val="Compact"/>
        <w:numPr>
          <w:ilvl w:val="0"/>
          <w:numId w:val="1062"/>
        </w:numPr>
      </w:pPr>
      <w:r>
        <w:rPr>
          <w:rFonts w:hint="eastAsia"/>
        </w:rPr>
        <w:t xml:space="preserve">奥瑞德：监管处罚及整改事项需审慎核查。</w:t>
      </w:r>
    </w:p>
    <w:bookmarkEnd w:id="69"/>
    <w:bookmarkStart w:id="70" w:name="交易行为风险"/>
    <w:p>
      <w:pPr>
        <w:pStyle w:val="Heading3"/>
      </w:pPr>
      <w:r>
        <w:t xml:space="preserve">⚠️ </w:t>
      </w:r>
      <w:r>
        <w:rPr>
          <w:rFonts w:hint="eastAsia"/>
        </w:rPr>
        <w:t xml:space="preserve">交易行为风险</w:t>
      </w:r>
    </w:p>
    <w:p>
      <w:pPr>
        <w:pStyle w:val="Compact"/>
        <w:numPr>
          <w:ilvl w:val="0"/>
          <w:numId w:val="1063"/>
        </w:numPr>
      </w:pPr>
      <w:r>
        <w:rPr>
          <w:rFonts w:hint="eastAsia"/>
        </w:rPr>
        <w:t xml:space="preserve">重组复牌后无换手的一字或大幅高开。</w:t>
      </w:r>
    </w:p>
    <w:p>
      <w:pPr>
        <w:pStyle w:val="Compact"/>
        <w:numPr>
          <w:ilvl w:val="0"/>
          <w:numId w:val="1063"/>
        </w:numPr>
      </w:pPr>
      <w:r>
        <w:rPr>
          <w:rFonts w:hint="eastAsia"/>
        </w:rPr>
        <w:t xml:space="preserve">政策题材开盘快速拉升但成交额没有同步增加。</w:t>
      </w:r>
    </w:p>
    <w:p>
      <w:pPr>
        <w:pStyle w:val="Compact"/>
        <w:numPr>
          <w:ilvl w:val="0"/>
          <w:numId w:val="1063"/>
        </w:numPr>
      </w:pPr>
      <w:r>
        <w:rPr>
          <w:rFonts w:hint="eastAsia"/>
        </w:rPr>
        <w:t xml:space="preserve">高PE、高换手且连续异动的注意力核心。</w:t>
      </w:r>
    </w:p>
    <w:p>
      <w:pPr>
        <w:pStyle w:val="Compact"/>
        <w:numPr>
          <w:ilvl w:val="0"/>
          <w:numId w:val="1063"/>
        </w:numPr>
      </w:pPr>
      <w:r>
        <w:rPr>
          <w:rFonts w:hint="eastAsia"/>
        </w:rPr>
        <w:t xml:space="preserve">同时出现在资金流入和流出榜、但趋势评级仍为D的高博弈个股。</w:t>
      </w:r>
    </w:p>
    <w:p>
      <w:pPr>
        <w:pStyle w:val="Compact"/>
        <w:numPr>
          <w:ilvl w:val="0"/>
          <w:numId w:val="1063"/>
        </w:numPr>
      </w:pPr>
      <w:r>
        <w:rPr>
          <w:rFonts w:hint="eastAsia"/>
        </w:rPr>
        <w:t xml:space="preserve">仅凭“跌幅大”“回到前期价格”进行锚定式抄底。</w:t>
      </w:r>
    </w:p>
    <w:p>
      <w:r>
        <w:pict>
          <v:rect style="width:0;height:1.5pt" o:hralign="center" o:hrstd="t" o:hr="t"/>
        </w:pict>
      </w:r>
    </w:p>
    <w:bookmarkEnd w:id="70"/>
    <w:bookmarkEnd w:id="71"/>
    <w:bookmarkStart w:id="72" w:name="风险日历"/>
    <w:p>
      <w:pPr>
        <w:pStyle w:val="Heading2"/>
      </w:pPr>
      <w:r>
        <w:t xml:space="preserve">🗓️ </w:t>
      </w:r>
      <w:r>
        <w:rPr>
          <w:rFonts w:hint="eastAsia"/>
        </w:rPr>
        <w:t xml:space="preserve">风险日历</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日期</w:t>
            </w:r>
          </w:p>
        </w:tc>
        <w:tc>
          <w:tcPr/>
          <w:p>
            <w:pPr>
              <w:pStyle w:val="Compact"/>
            </w:pPr>
            <w:r>
              <w:rPr>
                <w:rFonts w:hint="eastAsia"/>
              </w:rPr>
              <w:t xml:space="preserve">事件</w:t>
            </w:r>
          </w:p>
        </w:tc>
        <w:tc>
          <w:tcPr/>
          <w:p>
            <w:pPr>
              <w:pStyle w:val="Compact"/>
            </w:pPr>
            <w:r>
              <w:rPr>
                <w:rFonts w:hint="eastAsia"/>
              </w:rPr>
              <w:t xml:space="preserve">主要影响</w:t>
            </w:r>
          </w:p>
        </w:tc>
      </w:tr>
      <w:tr>
        <w:tc>
          <w:tcPr/>
          <w:p>
            <w:pPr>
              <w:pStyle w:val="Compact"/>
            </w:pPr>
            <w:r>
              <w:rPr>
                <w:rFonts w:hint="eastAsia"/>
              </w:rPr>
              <w:t xml:space="preserve">9月15日10:00</w:t>
            </w:r>
          </w:p>
        </w:tc>
        <w:tc>
          <w:tcPr/>
          <w:p>
            <w:pPr>
              <w:pStyle w:val="Compact"/>
            </w:pPr>
            <w:r>
              <w:rPr>
                <w:rFonts w:hint="eastAsia"/>
              </w:rPr>
              <w:t xml:space="preserve">8月国民经济运行数据发布会</w:t>
            </w:r>
          </w:p>
        </w:tc>
        <w:tc>
          <w:tcPr/>
          <w:p>
            <w:pPr>
              <w:pStyle w:val="Compact"/>
            </w:pPr>
            <w:r>
              <w:rPr>
                <w:rFonts w:hint="eastAsia"/>
              </w:rPr>
              <w:t xml:space="preserve">顺周期、消费、地产链波动</w:t>
            </w:r>
          </w:p>
        </w:tc>
      </w:tr>
      <w:tr>
        <w:tc>
          <w:tcPr/>
          <w:p>
            <w:pPr>
              <w:pStyle w:val="Compact"/>
            </w:pPr>
            <w:r>
              <w:rPr>
                <w:rFonts w:hint="eastAsia"/>
              </w:rPr>
              <w:t xml:space="preserve">9月15日</w:t>
            </w:r>
          </w:p>
        </w:tc>
        <w:tc>
          <w:tcPr/>
          <w:p>
            <w:pPr>
              <w:pStyle w:val="Compact"/>
            </w:pPr>
            <w:r>
              <w:rPr>
                <w:rFonts w:hint="eastAsia"/>
              </w:rPr>
              <w:t xml:space="preserve">5000亿元6个月买断式逆回购</w:t>
            </w:r>
          </w:p>
        </w:tc>
        <w:tc>
          <w:tcPr/>
          <w:p>
            <w:pPr>
              <w:pStyle w:val="Compact"/>
            </w:pPr>
            <w:r>
              <w:rPr>
                <w:rFonts w:hint="eastAsia"/>
              </w:rPr>
              <w:t xml:space="preserve">银行间流动性与利率预期</w:t>
            </w:r>
          </w:p>
        </w:tc>
      </w:tr>
      <w:tr>
        <w:tc>
          <w:tcPr/>
          <w:p>
            <w:pPr>
              <w:pStyle w:val="Compact"/>
            </w:pPr>
            <w:r>
              <w:rPr>
                <w:rFonts w:hint="eastAsia"/>
              </w:rPr>
              <w:t xml:space="preserve">9月15—16日</w:t>
            </w:r>
          </w:p>
        </w:tc>
        <w:tc>
          <w:tcPr/>
          <w:p>
            <w:pPr>
              <w:pStyle w:val="Compact"/>
            </w:pPr>
            <w:r>
              <w:rPr>
                <w:rFonts w:hint="eastAsia"/>
              </w:rPr>
              <w:t xml:space="preserve">美联储议息会议</w:t>
            </w:r>
          </w:p>
        </w:tc>
        <w:tc>
          <w:tcPr/>
          <w:p>
            <w:pPr>
              <w:pStyle w:val="Compact"/>
            </w:pPr>
            <w:r>
              <w:rPr>
                <w:rFonts w:hint="eastAsia"/>
              </w:rPr>
              <w:t xml:space="preserve">全球成长估值、美元与人民币</w:t>
            </w:r>
          </w:p>
        </w:tc>
      </w:tr>
      <w:tr>
        <w:tc>
          <w:tcPr/>
          <w:p>
            <w:pPr>
              <w:pStyle w:val="Compact"/>
            </w:pPr>
            <w:r>
              <w:rPr>
                <w:rFonts w:hint="eastAsia"/>
              </w:rPr>
              <w:t xml:space="preserve">9月17日凌晨</w:t>
            </w:r>
          </w:p>
        </w:tc>
        <w:tc>
          <w:tcPr/>
          <w:p>
            <w:pPr>
              <w:pStyle w:val="Compact"/>
            </w:pPr>
            <w:r>
              <w:rPr>
                <w:rFonts w:hint="eastAsia"/>
              </w:rPr>
              <w:t xml:space="preserve">美联储公布利率决定</w:t>
            </w:r>
          </w:p>
        </w:tc>
        <w:tc>
          <w:tcPr/>
          <w:p>
            <w:pPr>
              <w:pStyle w:val="Compact"/>
            </w:pPr>
            <w:r>
              <w:rPr>
                <w:rFonts w:hint="eastAsia"/>
              </w:rPr>
              <w:t xml:space="preserve">科技股与高估值资产高波动</w:t>
            </w:r>
          </w:p>
        </w:tc>
      </w:tr>
      <w:tr>
        <w:tc>
          <w:tcPr/>
          <w:p>
            <w:pPr>
              <w:pStyle w:val="Compact"/>
            </w:pPr>
            <w:r>
              <w:rPr>
                <w:rFonts w:hint="eastAsia"/>
              </w:rPr>
              <w:t xml:space="preserve">9月17—21日</w:t>
            </w:r>
          </w:p>
        </w:tc>
        <w:tc>
          <w:tcPr/>
          <w:p>
            <w:pPr>
              <w:pStyle w:val="Compact"/>
            </w:pPr>
            <w:r>
              <w:rPr>
                <w:rFonts w:hint="eastAsia"/>
              </w:rPr>
              <w:t xml:space="preserve">第23届中国—东盟博览会</w:t>
            </w:r>
          </w:p>
        </w:tc>
        <w:tc>
          <w:tcPr/>
          <w:p>
            <w:pPr>
              <w:pStyle w:val="Compact"/>
            </w:pPr>
            <w:r>
              <w:rPr>
                <w:rFonts w:hint="eastAsia"/>
              </w:rPr>
              <w:t xml:space="preserve">广西、跨境贸易与物流催化</w:t>
            </w:r>
          </w:p>
        </w:tc>
      </w:tr>
    </w:tbl>
    <w:p>
      <w:pPr>
        <w:pStyle w:val="BodyText"/>
      </w:pPr>
      <w:r>
        <w:rPr>
          <w:rFonts w:hint="eastAsia"/>
        </w:rPr>
        <w:t xml:space="preserve">其他风险：</w:t>
      </w:r>
    </w:p>
    <w:p>
      <w:pPr>
        <w:pStyle w:val="Compact"/>
        <w:numPr>
          <w:ilvl w:val="0"/>
          <w:numId w:val="1064"/>
        </w:numPr>
      </w:pPr>
      <w:r>
        <w:rPr>
          <w:rFonts w:hint="eastAsia"/>
        </w:rPr>
        <w:t xml:space="preserve">中东冲突升级及霍尔木兹海峡通航不确定性可能继续推高油价。</w:t>
      </w:r>
    </w:p>
    <w:p>
      <w:pPr>
        <w:pStyle w:val="Compact"/>
        <w:numPr>
          <w:ilvl w:val="0"/>
          <w:numId w:val="1064"/>
        </w:numPr>
      </w:pPr>
      <w:r>
        <w:rPr>
          <w:rFonts w:hint="eastAsia"/>
        </w:rPr>
        <w:t xml:space="preserve">青岛北海造船重大火灾事故提级调查，船舶修造和高风险工业领域安全检查可能强化。</w:t>
      </w:r>
    </w:p>
    <w:p>
      <w:pPr>
        <w:pStyle w:val="Compact"/>
        <w:numPr>
          <w:ilvl w:val="0"/>
          <w:numId w:val="1064"/>
        </w:numPr>
      </w:pPr>
      <w:r>
        <w:rPr>
          <w:rFonts w:hint="eastAsia"/>
        </w:rPr>
        <w:t xml:space="preserve">今日共有17项减持类公告、10项限售解禁类公告、8项问询函相关事项，个股公告风险高于指数风险。</w:t>
      </w:r>
    </w:p>
    <w:p>
      <w:pPr>
        <w:pStyle w:val="Compact"/>
        <w:numPr>
          <w:ilvl w:val="0"/>
          <w:numId w:val="1064"/>
        </w:numPr>
      </w:pPr>
      <w:r>
        <w:rPr>
          <w:rFonts w:hint="eastAsia"/>
        </w:rPr>
        <w:t xml:space="preserve">当前TickFlow全市场快照因成交额和市场宽度校验失败未采用，不能用其零值推导市场结论。</w:t>
      </w:r>
    </w:p>
    <w:p>
      <w:r>
        <w:pict>
          <v:rect style="width:0;height:1.5pt" o:hralign="center" o:hrstd="t" o:hr="t"/>
        </w:pict>
      </w:r>
    </w:p>
    <w:bookmarkEnd w:id="72"/>
    <w:bookmarkStart w:id="73" w:name="外资与离岸风险偏好"/>
    <w:p>
      <w:pPr>
        <w:pStyle w:val="Heading2"/>
      </w:pPr>
      <w:r>
        <w:t xml:space="preserve">🌊 </w:t>
      </w:r>
      <w:r>
        <w:rPr>
          <w:rFonts w:hint="eastAsia"/>
        </w:rPr>
        <w:t xml:space="preserve">外资与离岸风险偏好</w:t>
      </w:r>
    </w:p>
    <w:p>
      <w:pPr>
        <w:pStyle w:val="Compact"/>
        <w:numPr>
          <w:ilvl w:val="0"/>
          <w:numId w:val="1065"/>
        </w:numPr>
      </w:pPr>
      <w:r>
        <w:rPr>
          <w:rFonts w:hint="eastAsia"/>
        </w:rPr>
        <w:t xml:space="preserve">美元兑离岸人民币报6.7102，上涨0.02%，人民币汇率波动有限，暂未出现明显离岸压力。</w:t>
      </w:r>
    </w:p>
    <w:p>
      <w:pPr>
        <w:pStyle w:val="Compact"/>
        <w:numPr>
          <w:ilvl w:val="0"/>
          <w:numId w:val="1065"/>
        </w:numPr>
      </w:pPr>
      <w:r>
        <w:rPr>
          <w:rFonts w:hint="eastAsia"/>
        </w:rPr>
        <w:t xml:space="preserve">富时中国A50期指上涨0.02%，对A股开盘指引接近平稳。</w:t>
      </w:r>
    </w:p>
    <w:p>
      <w:pPr>
        <w:pStyle w:val="Compact"/>
        <w:numPr>
          <w:ilvl w:val="0"/>
          <w:numId w:val="1065"/>
        </w:numPr>
      </w:pPr>
      <w:r>
        <w:rPr>
          <w:rFonts w:hint="eastAsia"/>
        </w:rPr>
        <w:t xml:space="preserve">恒生指数上一交易时段上涨0.45%，港股风险偏好相对A股略有韧性。</w:t>
      </w:r>
    </w:p>
    <w:p>
      <w:pPr>
        <w:pStyle w:val="Compact"/>
        <w:numPr>
          <w:ilvl w:val="0"/>
          <w:numId w:val="1065"/>
        </w:numPr>
      </w:pPr>
      <w:r>
        <w:rPr>
          <w:rFonts w:hint="eastAsia"/>
        </w:rPr>
        <w:t xml:space="preserve">但美股科技与半导体显著下跌，全球成长风格风险偏好转弱。</w:t>
      </w:r>
    </w:p>
    <w:p>
      <w:pPr>
        <w:pStyle w:val="Compact"/>
        <w:numPr>
          <w:ilvl w:val="0"/>
          <w:numId w:val="1065"/>
        </w:numPr>
      </w:pPr>
      <w:r>
        <w:rPr>
          <w:rFonts w:hint="eastAsia"/>
        </w:rPr>
        <w:t xml:space="preserve">南向资金上一交易日净买入77.71亿港元，显示内地资金仍在配置港股资产。</w:t>
      </w:r>
    </w:p>
    <w:p>
      <w:pPr>
        <w:pStyle w:val="Compact"/>
        <w:numPr>
          <w:ilvl w:val="0"/>
          <w:numId w:val="1065"/>
        </w:numPr>
      </w:pPr>
      <w:r>
        <w:rPr>
          <w:rFonts w:hint="eastAsia"/>
        </w:rPr>
        <w:t xml:space="preserve">港股通最近5个交易日数据显示，中际旭创H股持股额增加7.90亿元；中芯国际持股额减少18.31亿元，科技内部同样存在明显分化。</w:t>
      </w:r>
    </w:p>
    <w:p>
      <w:pPr>
        <w:pStyle w:val="Compact"/>
        <w:numPr>
          <w:ilvl w:val="0"/>
          <w:numId w:val="1065"/>
        </w:numPr>
      </w:pPr>
      <w:r>
        <w:rPr>
          <w:rFonts w:hint="eastAsia"/>
        </w:rPr>
        <w:t xml:space="preserve">采集数据未提供当日北向资金可比净流入数值，因此北向流向记为</w:t>
      </w:r>
      <w:r>
        <w:rPr>
          <w:rFonts w:hint="eastAsia"/>
          <w:b/>
          <w:bCs/>
        </w:rPr>
        <w:t xml:space="preserve">当前数据源未返回</w:t>
      </w:r>
      <w:r>
        <w:rPr>
          <w:rFonts w:hint="eastAsia"/>
        </w:rPr>
        <w:t xml:space="preserve">，不以港股通或ETF数据替代。</w:t>
      </w:r>
    </w:p>
    <w:p>
      <w:pPr>
        <w:pStyle w:val="FirstParagraph"/>
      </w:pPr>
      <w:r>
        <w:t xml:space="preserve">💡</w:t>
      </w:r>
      <w:r>
        <w:t xml:space="preserve"> </w:t>
      </w:r>
      <w:r>
        <w:rPr>
          <w:rFonts w:hint="eastAsia"/>
          <w:b/>
          <w:bCs/>
        </w:rPr>
        <w:t xml:space="preserve">综合结论：</w:t>
      </w:r>
      <w:r>
        <w:t xml:space="preserve"> </w:t>
      </w:r>
      <w:r>
        <w:rPr>
          <w:rFonts w:hint="eastAsia"/>
        </w:rPr>
        <w:t xml:space="preserve">离岸人民币和A50期指保持稳定，未形成系统性外资撤离信号；但海外半导体下跌意味着外资风险偏好更偏向价值与防御。今日应观察人民币是否继续稳定、A50能否由平转强，以及A股科技核心能否独立于海外完成止跌。</w:t>
      </w:r>
    </w:p>
    <w:p>
      <w:r>
        <w:pict>
          <v:rect style="width:0;height:1.5pt" o:hralign="center" o:hrstd="t" o:hr="t"/>
        </w:pict>
      </w:r>
    </w:p>
    <w:bookmarkEnd w:id="73"/>
    <w:bookmarkStart w:id="74" w:name="盘前结论"/>
    <w:p>
      <w:pPr>
        <w:pStyle w:val="Heading2"/>
      </w:pPr>
      <w:r>
        <w:t xml:space="preserve">🎯 </w:t>
      </w:r>
      <w:r>
        <w:rPr>
          <w:rFonts w:hint="eastAsia"/>
        </w:rPr>
        <w:t xml:space="preserve">盘前结论</w:t>
      </w:r>
    </w:p>
    <w:p>
      <w:pPr>
        <w:pStyle w:val="Compact"/>
        <w:numPr>
          <w:ilvl w:val="0"/>
          <w:numId w:val="1066"/>
        </w:numPr>
      </w:pPr>
      <w:r>
        <w:rPr>
          <w:rFonts w:hint="eastAsia"/>
          <w:b/>
          <w:bCs/>
        </w:rPr>
        <w:t xml:space="preserve">市场定性：偏权重、偏价值，科技成长仍在风险释放阶段。</w:t>
      </w:r>
    </w:p>
    <w:p>
      <w:pPr>
        <w:pStyle w:val="Compact"/>
        <w:numPr>
          <w:ilvl w:val="0"/>
          <w:numId w:val="1066"/>
        </w:numPr>
      </w:pPr>
      <w:r>
        <w:rPr>
          <w:rFonts w:hint="eastAsia"/>
          <w:b/>
          <w:bCs/>
        </w:rPr>
        <w:t xml:space="preserve">默认仓位：42%；弱势触发后降至27%，强势条件完整确认后最高50%。</w:t>
      </w:r>
    </w:p>
    <w:p>
      <w:pPr>
        <w:pStyle w:val="Compact"/>
        <w:numPr>
          <w:ilvl w:val="0"/>
          <w:numId w:val="1066"/>
        </w:numPr>
      </w:pPr>
      <w:r>
        <w:rPr>
          <w:rFonts w:hint="eastAsia"/>
          <w:b/>
          <w:bCs/>
        </w:rPr>
        <w:t xml:space="preserve">优先方向：医疗服务、健康中国、网络安全。</w:t>
      </w:r>
    </w:p>
    <w:p>
      <w:pPr>
        <w:pStyle w:val="Compact"/>
        <w:numPr>
          <w:ilvl w:val="0"/>
          <w:numId w:val="1066"/>
        </w:numPr>
      </w:pPr>
      <w:r>
        <w:rPr>
          <w:rFonts w:hint="eastAsia"/>
          <w:b/>
          <w:bCs/>
        </w:rPr>
        <w:t xml:space="preserve">观察方向：智能汽车、清洁能源、电力、三环集团代表的元件修复。</w:t>
      </w:r>
    </w:p>
    <w:p>
      <w:pPr>
        <w:pStyle w:val="Compact"/>
        <w:numPr>
          <w:ilvl w:val="0"/>
          <w:numId w:val="1066"/>
        </w:numPr>
      </w:pPr>
      <w:r>
        <w:rPr>
          <w:rFonts w:hint="eastAsia"/>
          <w:b/>
          <w:bCs/>
        </w:rPr>
        <w:t xml:space="preserve">明确回避：AI光模块和半导体的无确认抄底、高估值元件追涨、D级技术破位股、重组终止及减持风险股。</w:t>
      </w:r>
    </w:p>
    <w:p>
      <w:pPr>
        <w:pStyle w:val="Compact"/>
        <w:numPr>
          <w:ilvl w:val="0"/>
          <w:numId w:val="1066"/>
        </w:numPr>
      </w:pPr>
      <w:r>
        <w:rPr>
          <w:rFonts w:hint="eastAsia"/>
          <w:b/>
          <w:bCs/>
        </w:rPr>
        <w:t xml:space="preserve">今日最重要门槛：成交额能否从16429.81亿元的明显缩量状态修复，以及科技权重能否停止资金外流。</w:t>
      </w:r>
    </w:p>
    <w:p>
      <w:pPr>
        <w:pStyle w:val="Compact"/>
        <w:numPr>
          <w:ilvl w:val="0"/>
          <w:numId w:val="1066"/>
        </w:numPr>
      </w:pPr>
      <w:r>
        <w:rPr>
          <w:rFonts w:hint="eastAsia"/>
          <w:b/>
          <w:bCs/>
        </w:rPr>
        <w:t xml:space="preserve">联合流动性信号：未确认。宽基ETF持续流入成立，但QVIX未降温、融资余额下降，尚不能提高整体风险暴露。</w:t>
      </w:r>
    </w:p>
    <w:p>
      <w:pPr>
        <w:pStyle w:val="BlockText"/>
      </w:pPr>
      <w:r>
        <w:t xml:space="preserve">📊 </w:t>
      </w:r>
      <w:r>
        <w:rPr>
          <w:rFonts w:hint="eastAsia"/>
        </w:rPr>
        <w:t xml:space="preserve">生成时间：2026-09-15</w:t>
      </w:r>
      <w:r>
        <w:t xml:space="preserve"> 08:30:24</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74"/>
    <w:bookmarkEnd w:id="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2026-09-15T01:20:23Z</dcterms:created>
  <dcterms:modified xsi:type="dcterms:W3CDTF">2026-09-15T01:20:23Z</dcterms:modified>
</cp:coreProperties>
</file>

<file path=docProps/custom.xml><?xml version="1.0" encoding="utf-8"?>
<Properties xmlns="http://schemas.openxmlformats.org/officeDocument/2006/custom-properties" xmlns:vt="http://schemas.openxmlformats.org/officeDocument/2006/docPropsVTypes"/>
</file>