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9" w:name="奇迹早知道2026年9月10日盘前简报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奇迹早知道｜2026年9月10日盘前简报</w:t>
      </w:r>
    </w:p>
    <w:bookmarkStart w:id="11" w:name="隔夜全球市场"/>
    <w:p>
      <w:pPr>
        <w:pStyle w:val="Heading2"/>
      </w:pPr>
      <w:r>
        <w:t xml:space="preserve">🌐 </w:t>
      </w:r>
      <w:r>
        <w:rPr>
          <w:rFonts w:hint="eastAsia"/>
        </w:rPr>
        <w:t xml:space="preserve">隔夜全球市场</w:t>
      </w:r>
    </w:p>
    <w:bookmarkStart w:id="9" w:name="美股三大指数"/>
    <w:p>
      <w:pPr>
        <w:pStyle w:val="Heading3"/>
      </w:pPr>
      <w:r>
        <w:t xml:space="preserve">📉 </w:t>
      </w:r>
      <w:r>
        <w:rPr>
          <w:rFonts w:hint="eastAsia"/>
        </w:rPr>
        <w:t xml:space="preserve">美股三大指数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道琼斯工业指数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52380.6602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-0.77%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26253.3398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-0.64%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7636.3599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-0.48%</w:t>
            </w:r>
          </w:p>
        </w:tc>
      </w:tr>
    </w:tbl>
    <w:p>
      <w:pPr>
        <w:pStyle w:val="Compact"/>
        <w:numPr>
          <w:ilvl w:val="0"/>
          <w:numId w:val="1001"/>
        </w:numPr>
      </w:pPr>
      <w:r>
        <w:t xml:space="preserve">🟢 </w:t>
      </w:r>
      <w:r>
        <w:rPr>
          <w:rFonts w:hint="eastAsia"/>
        </w:rPr>
        <w:t xml:space="preserve">三大指数同步收跌，外部风险偏好偏弱，不利于A股高估值成长方向直接高开扩张。</w:t>
      </w:r>
    </w:p>
    <w:p>
      <w:pPr>
        <w:pStyle w:val="Compact"/>
        <w:numPr>
          <w:ilvl w:val="0"/>
          <w:numId w:val="1001"/>
        </w:numPr>
      </w:pPr>
      <w:r>
        <w:t xml:space="preserve">💡 </w:t>
      </w:r>
      <w:r>
        <w:rPr>
          <w:rFonts w:hint="eastAsia"/>
        </w:rPr>
        <w:t xml:space="preserve">盘前重点不是判断科技主线终结，而是观察A股科技硬件能否脱离美股指数调整，走出资金独立性。</w:t>
      </w:r>
    </w:p>
    <w:p>
      <w:pPr>
        <w:pStyle w:val="Compact"/>
        <w:numPr>
          <w:ilvl w:val="0"/>
          <w:numId w:val="1001"/>
        </w:numPr>
      </w:pPr>
      <w:r>
        <w:t xml:space="preserve">⚠️ </w:t>
      </w:r>
      <w:r>
        <w:rPr>
          <w:rFonts w:hint="eastAsia"/>
        </w:rPr>
        <w:t xml:space="preserve">富时中国A50、恒生指数、离岸人民币、黄金、原油和伦铜仅采集到报告日盘中报价，不纳入盘前判断。</w:t>
      </w:r>
    </w:p>
    <w:bookmarkEnd w:id="9"/>
    <w:bookmarkStart w:id="10" w:name="美股核心半导体个股"/>
    <w:p>
      <w:pPr>
        <w:pStyle w:val="Heading3"/>
      </w:pPr>
      <w:r>
        <w:t xml:space="preserve">🧠 </w:t>
      </w:r>
      <w:r>
        <w:rPr>
          <w:rFonts w:hint="eastAsia"/>
        </w:rPr>
        <w:t xml:space="preserve">美股核心半导体个股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223.67美元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-0.91%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521.095美元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+3.04%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435.36美元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-0.83%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364.38美元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-1.13%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1027.77美元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+2.75%</w:t>
            </w:r>
          </w:p>
        </w:tc>
      </w:tr>
    </w:tbl>
    <w:p>
      <w:pPr>
        <w:pStyle w:val="Compact"/>
        <w:numPr>
          <w:ilvl w:val="0"/>
          <w:numId w:val="1002"/>
        </w:numPr>
      </w:pPr>
      <w:r>
        <w:t xml:space="preserve">📈 </w:t>
      </w:r>
      <w:r>
        <w:rPr>
          <w:rFonts w:hint="eastAsia"/>
        </w:rPr>
        <w:t xml:space="preserve">AMD与美光逆势上涨，说明资金仍在半导体内部寻找业绩和景气度更强的细分方向。</w:t>
      </w:r>
    </w:p>
    <w:p>
      <w:pPr>
        <w:pStyle w:val="Compact"/>
        <w:numPr>
          <w:ilvl w:val="0"/>
          <w:numId w:val="1002"/>
        </w:numPr>
      </w:pPr>
      <w:r>
        <w:t xml:space="preserve">📉 </w:t>
      </w:r>
      <w:r>
        <w:rPr>
          <w:rFonts w:hint="eastAsia"/>
        </w:rPr>
        <w:t xml:space="preserve">英伟达、台积电、博通同步回落，海外AI硬件并非全面进攻，A股映射更可能表现为存储、PCB、光通信之间的结构轮动。</w:t>
      </w:r>
    </w:p>
    <w:p>
      <w:pPr>
        <w:pStyle w:val="Compact"/>
        <w:numPr>
          <w:ilvl w:val="0"/>
          <w:numId w:val="1002"/>
        </w:numPr>
      </w:pPr>
      <w:r>
        <w:t xml:space="preserve">💡 </w:t>
      </w:r>
      <w:r>
        <w:rPr>
          <w:rFonts w:hint="eastAsia"/>
        </w:rPr>
        <w:t xml:space="preserve">A股半导体需区分：存储方向有美光上涨映射，PCB及元件有国内资金支撑；半导体行业整体上一交易日却净流出65.48亿元，不能把局部强势外推为全行业转强。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23" w:name="新闻联播政策面深度解读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新闻联播政策面深度解读</w:t>
      </w:r>
    </w:p>
    <w:bookmarkStart w:id="12" w:name="教育强国与教师队伍建设"/>
    <w:p>
      <w:pPr>
        <w:pStyle w:val="Heading3"/>
      </w:pPr>
      <w:r>
        <w:t xml:space="preserve">🎓 </w:t>
      </w:r>
      <w:r>
        <w:rPr>
          <w:rFonts w:hint="eastAsia"/>
        </w:rPr>
        <w:t xml:space="preserve">教育强国与教师队伍建设</w:t>
      </w:r>
    </w:p>
    <w:p>
      <w:pPr>
        <w:pStyle w:val="FirstParagraph"/>
      </w:pPr>
      <w:r>
        <w:rPr>
          <w:rFonts w:hint="eastAsia"/>
        </w:rPr>
        <w:t xml:space="preserve">习近平向全国教师和教育工作者致以节日祝贺，强调落实立德树人、弘扬教育家精神、提升教师专业能力，各级政府要加强教师队伍建设。</w:t>
      </w:r>
    </w:p>
    <w:p>
      <w:pPr>
        <w:pStyle w:val="Compact"/>
        <w:numPr>
          <w:ilvl w:val="0"/>
          <w:numId w:val="1003"/>
        </w:numPr>
      </w:pPr>
      <w:r>
        <w:t xml:space="preserve">📈 </w:t>
      </w:r>
      <w:r>
        <w:rPr>
          <w:rFonts w:hint="eastAsia"/>
        </w:rPr>
        <w:t xml:space="preserve">A股映射：职业教育、教育信息化、智慧校园、教育数字化服务。</w:t>
      </w:r>
    </w:p>
    <w:p>
      <w:pPr>
        <w:pStyle w:val="Compact"/>
        <w:numPr>
          <w:ilvl w:val="0"/>
          <w:numId w:val="1003"/>
        </w:numPr>
      </w:pPr>
      <w:r>
        <w:t xml:space="preserve">💡 </w:t>
      </w:r>
      <w:r>
        <w:rPr>
          <w:rFonts w:hint="eastAsia"/>
        </w:rPr>
        <w:t xml:space="preserve">该信号偏中长期政策支持，缺少直接订单和增量资金验证，不宜仅凭主题追涨。</w:t>
      </w:r>
    </w:p>
    <w:p>
      <w:pPr>
        <w:pStyle w:val="Compact"/>
        <w:numPr>
          <w:ilvl w:val="0"/>
          <w:numId w:val="1003"/>
        </w:numPr>
      </w:pPr>
      <w:r>
        <w:t xml:space="preserve">⚠️ </w:t>
      </w:r>
      <w:r>
        <w:rPr>
          <w:rFonts w:hint="eastAsia"/>
        </w:rPr>
        <w:t xml:space="preserve">教育板块需核查财政采购、付费能力和实际利润兑现，避免把政策表态直接等同于上市公司业绩增长。</w:t>
      </w:r>
    </w:p>
    <w:bookmarkEnd w:id="12"/>
    <w:bookmarkStart w:id="13" w:name="中英关系与服务领域扩大开放"/>
    <w:p>
      <w:pPr>
        <w:pStyle w:val="Heading3"/>
      </w:pPr>
      <w:r>
        <w:t xml:space="preserve">🌍 </w:t>
      </w:r>
      <w:r>
        <w:rPr>
          <w:rFonts w:hint="eastAsia"/>
        </w:rPr>
        <w:t xml:space="preserve">中英关系与服务领域扩大开放</w:t>
      </w:r>
    </w:p>
    <w:p>
      <w:pPr>
        <w:pStyle w:val="FirstParagraph"/>
      </w:pPr>
      <w:r>
        <w:rPr>
          <w:rFonts w:hint="eastAsia"/>
        </w:rPr>
        <w:t xml:space="preserve">中英领导人通话明确，中国“十五五”时期将进一步扩大教育、医疗、金融对外开放，并加强科技、文化及多边贸易合作。</w:t>
      </w:r>
    </w:p>
    <w:p>
      <w:pPr>
        <w:pStyle w:val="Compact"/>
        <w:numPr>
          <w:ilvl w:val="0"/>
          <w:numId w:val="1004"/>
        </w:numPr>
      </w:pPr>
      <w:r>
        <w:t xml:space="preserve">📈 </w:t>
      </w:r>
      <w:r>
        <w:rPr>
          <w:rFonts w:hint="eastAsia"/>
        </w:rPr>
        <w:t xml:space="preserve">A股映射：跨境金融服务、医疗服务、教育服务、科技合作、服务贸易。</w:t>
      </w:r>
    </w:p>
    <w:p>
      <w:pPr>
        <w:pStyle w:val="Compact"/>
        <w:numPr>
          <w:ilvl w:val="0"/>
          <w:numId w:val="1004"/>
        </w:numPr>
      </w:pPr>
      <w:r>
        <w:t xml:space="preserve">💡 </w:t>
      </w:r>
      <w:r>
        <w:rPr>
          <w:rFonts w:hint="eastAsia"/>
        </w:rPr>
        <w:t xml:space="preserve">对金融开放、医疗服务和国际化经营企业构成方向性利好，但具体开放清单、准入范围和落地时间尚未由当前数据源确认。</w:t>
      </w:r>
    </w:p>
    <w:p>
      <w:pPr>
        <w:pStyle w:val="Compact"/>
        <w:numPr>
          <w:ilvl w:val="0"/>
          <w:numId w:val="1004"/>
        </w:numPr>
      </w:pPr>
      <w:r>
        <w:t xml:space="preserve">⚠️ </w:t>
      </w:r>
      <w:r>
        <w:rPr>
          <w:rFonts w:hint="eastAsia"/>
        </w:rPr>
        <w:t xml:space="preserve">英方被明确要求保障中国投资者合法权益，说明海外投资环境仍存在政策与合规不确定性。</w:t>
      </w:r>
    </w:p>
    <w:bookmarkEnd w:id="13"/>
    <w:bookmarkStart w:id="14" w:name="服务贸易人工智能与数字基础设施"/>
    <w:p>
      <w:pPr>
        <w:pStyle w:val="Heading3"/>
      </w:pPr>
      <w:r>
        <w:t xml:space="preserve">🤖 </w:t>
      </w:r>
      <w:r>
        <w:rPr>
          <w:rFonts w:hint="eastAsia"/>
        </w:rPr>
        <w:t xml:space="preserve">服务贸易、人工智能与数字基础设施</w:t>
      </w:r>
    </w:p>
    <w:p>
      <w:pPr>
        <w:pStyle w:val="FirstParagraph"/>
      </w:pPr>
      <w:r>
        <w:rPr>
          <w:rFonts w:hint="eastAsia"/>
        </w:rPr>
        <w:t xml:space="preserve">全球服务贸易峰会提出提升服务业质量效率、扩大服务贸易开放，并加强人工智能等数智技术共享和数字基础设施互联互通。</w:t>
      </w:r>
    </w:p>
    <w:p>
      <w:pPr>
        <w:pStyle w:val="Compact"/>
        <w:numPr>
          <w:ilvl w:val="0"/>
          <w:numId w:val="1005"/>
        </w:numPr>
      </w:pPr>
      <w:r>
        <w:t xml:space="preserve">📈 </w:t>
      </w:r>
      <w:r>
        <w:rPr>
          <w:rFonts w:hint="eastAsia"/>
        </w:rPr>
        <w:t xml:space="preserve">直接映射：算力基础设施、云服务、工业软件、跨境数字服务、数据要素、通信设备。</w:t>
      </w:r>
    </w:p>
    <w:p>
      <w:pPr>
        <w:pStyle w:val="Compact"/>
        <w:numPr>
          <w:ilvl w:val="0"/>
          <w:numId w:val="1005"/>
        </w:numPr>
      </w:pPr>
      <w:r>
        <w:t xml:space="preserve">💰 </w:t>
      </w:r>
      <w:r>
        <w:rPr>
          <w:rFonts w:hint="eastAsia"/>
        </w:rPr>
        <w:t xml:space="preserve">上一交易日通信设备净流入51.01亿元，位列申万二级行业流入第一，与政策信号形成资金共振。</w:t>
      </w:r>
    </w:p>
    <w:p>
      <w:pPr>
        <w:pStyle w:val="Compact"/>
        <w:numPr>
          <w:ilvl w:val="0"/>
          <w:numId w:val="1005"/>
        </w:numPr>
      </w:pPr>
      <w:r>
        <w:t xml:space="preserve">⚠️ </w:t>
      </w:r>
      <w:r>
        <w:rPr>
          <w:rFonts w:hint="eastAsia"/>
        </w:rPr>
        <w:t xml:space="preserve">IT服务Ⅱ、软件开发分别净流出17.77亿元、12.27亿元，说明资金更认可硬件基础设施，应用和软件方向仍处于分化阶段。</w:t>
      </w:r>
    </w:p>
    <w:bookmarkEnd w:id="14"/>
    <w:bookmarkStart w:id="15" w:name="江西先进制造与产业升级"/>
    <w:p>
      <w:pPr>
        <w:pStyle w:val="Heading3"/>
      </w:pPr>
      <w:r>
        <w:t xml:space="preserve">🏭 </w:t>
      </w:r>
      <w:r>
        <w:rPr>
          <w:rFonts w:hint="eastAsia"/>
        </w:rPr>
        <w:t xml:space="preserve">江西先进制造与产业升级</w:t>
      </w:r>
    </w:p>
    <w:p>
      <w:pPr>
        <w:pStyle w:val="FirstParagraph"/>
      </w:pPr>
      <w:r>
        <w:rPr>
          <w:rFonts w:hint="eastAsia"/>
        </w:rPr>
        <w:t xml:space="preserve">联播报道江西已形成电子信息和有色金属两个万亿级产业，自主硅衬底LED形成从设备、外延芯片到封装应用的完整产业链，同时推进低空经济等未来产业。</w:t>
      </w:r>
    </w:p>
    <w:p>
      <w:pPr>
        <w:pStyle w:val="Compact"/>
        <w:numPr>
          <w:ilvl w:val="0"/>
          <w:numId w:val="1006"/>
        </w:numPr>
      </w:pPr>
      <w:r>
        <w:t xml:space="preserve">📈 </w:t>
      </w:r>
      <w:r>
        <w:rPr>
          <w:rFonts w:hint="eastAsia"/>
        </w:rPr>
        <w:t xml:space="preserve">A股映射：LED设备与芯片、电子信息、有色金属、低空经济、轨道交通。</w:t>
      </w:r>
    </w:p>
    <w:p>
      <w:pPr>
        <w:pStyle w:val="Compact"/>
        <w:numPr>
          <w:ilvl w:val="0"/>
          <w:numId w:val="1006"/>
        </w:numPr>
      </w:pPr>
      <w:r>
        <w:t xml:space="preserve">💰 </w:t>
      </w:r>
      <w:r>
        <w:rPr>
          <w:rFonts w:hint="eastAsia"/>
        </w:rPr>
        <w:t xml:space="preserve">上一交易日工业金属净流入8.88亿元，资金方向与江西产业升级叙事一致。</w:t>
      </w:r>
    </w:p>
    <w:p>
      <w:pPr>
        <w:pStyle w:val="Compact"/>
        <w:numPr>
          <w:ilvl w:val="0"/>
          <w:numId w:val="1006"/>
        </w:numPr>
      </w:pPr>
      <w:r>
        <w:t xml:space="preserve">💡 </w:t>
      </w:r>
      <w:r>
        <w:rPr>
          <w:rFonts w:hint="eastAsia"/>
        </w:rPr>
        <w:t xml:space="preserve">重点看产业链订单、产品价格和盈利兑现，不参与仅有地域标签、缺少业绩支撑的概念扩散。</w:t>
      </w:r>
    </w:p>
    <w:bookmarkEnd w:id="15"/>
    <w:bookmarkStart w:id="16" w:name="cpippi与制造业价格改善"/>
    <w:p>
      <w:pPr>
        <w:pStyle w:val="Heading3"/>
      </w:pPr>
      <w:r>
        <w:t xml:space="preserve">📊 </w:t>
      </w:r>
      <w:r>
        <w:rPr>
          <w:rFonts w:hint="eastAsia"/>
        </w:rPr>
        <w:t xml:space="preserve">CPI、PPI与制造业价格改善</w:t>
      </w:r>
    </w:p>
    <w:p>
      <w:pPr>
        <w:pStyle w:val="FirstParagraph"/>
      </w:pPr>
      <w:r>
        <w:rPr>
          <w:rFonts w:hint="eastAsia"/>
        </w:rPr>
        <w:t xml:space="preserve">8月CPI同比上涨0.8%，核心CPI同比上涨1.0%；PPI同比上涨3.8%，较上月扩大0.3个百分点。电气机械、计算机通信等下游制造业价格持续改善。</w:t>
      </w:r>
    </w:p>
    <w:p>
      <w:pPr>
        <w:pStyle w:val="Compact"/>
        <w:numPr>
          <w:ilvl w:val="0"/>
          <w:numId w:val="1007"/>
        </w:numPr>
      </w:pPr>
      <w:r>
        <w:t xml:space="preserve">📈 </w:t>
      </w:r>
      <w:r>
        <w:rPr>
          <w:rFonts w:hint="eastAsia"/>
        </w:rPr>
        <w:t xml:space="preserve">正面影响：温和通胀有利于名义收入和企业价格环境修复，制造业盈利预期改善。</w:t>
      </w:r>
    </w:p>
    <w:p>
      <w:pPr>
        <w:pStyle w:val="Compact"/>
        <w:numPr>
          <w:ilvl w:val="0"/>
          <w:numId w:val="1007"/>
        </w:numPr>
      </w:pPr>
      <w:r>
        <w:t xml:space="preserve">📉 </w:t>
      </w:r>
      <w:r>
        <w:rPr>
          <w:rFonts w:hint="eastAsia"/>
        </w:rPr>
        <w:t xml:space="preserve">约束影响：PPI上行也可能推高部分中下游成本，高估值成长股还需面对利率和估值敏感性。</w:t>
      </w:r>
    </w:p>
    <w:p>
      <w:pPr>
        <w:pStyle w:val="Compact"/>
        <w:numPr>
          <w:ilvl w:val="0"/>
          <w:numId w:val="1007"/>
        </w:numPr>
      </w:pPr>
      <w:r>
        <w:t xml:space="preserve">💡 </w:t>
      </w:r>
      <w:r>
        <w:rPr>
          <w:rFonts w:hint="eastAsia"/>
        </w:rPr>
        <w:t xml:space="preserve">优先选择具备议价能力、收入和利润同步增长的制造龙头，回避只涨原材料成本、无法顺价的企业。</w:t>
      </w:r>
    </w:p>
    <w:bookmarkEnd w:id="16"/>
    <w:bookmarkStart w:id="17" w:name="民生投入与促消费政策"/>
    <w:p>
      <w:pPr>
        <w:pStyle w:val="Heading3"/>
      </w:pPr>
      <w:r>
        <w:t xml:space="preserve">🛒 </w:t>
      </w:r>
      <w:r>
        <w:rPr>
          <w:rFonts w:hint="eastAsia"/>
        </w:rPr>
        <w:t xml:space="preserve">民生投入与促消费政策</w:t>
      </w:r>
    </w:p>
    <w:p>
      <w:pPr>
        <w:pStyle w:val="FirstParagraph"/>
      </w:pPr>
      <w:r>
        <w:rPr>
          <w:rFonts w:hint="eastAsia"/>
        </w:rPr>
        <w:t xml:space="preserve">财政金融协同促内需政策新增信用卡、汽车、家装专项分期贴息，贴息上限由每年3000元提高至5000元；养老、育儿、教育及医疗投入继续增加。</w:t>
      </w:r>
    </w:p>
    <w:p>
      <w:pPr>
        <w:pStyle w:val="Compact"/>
        <w:numPr>
          <w:ilvl w:val="0"/>
          <w:numId w:val="1008"/>
        </w:numPr>
      </w:pPr>
      <w:r>
        <w:t xml:space="preserve">📈 </w:t>
      </w:r>
      <w:r>
        <w:rPr>
          <w:rFonts w:hint="eastAsia"/>
        </w:rPr>
        <w:t xml:space="preserve">A股映射：汽车消费、家居家装、消费金融、养老服务、医疗服务、母婴消费。</w:t>
      </w:r>
    </w:p>
    <w:p>
      <w:pPr>
        <w:pStyle w:val="Compact"/>
        <w:numPr>
          <w:ilvl w:val="0"/>
          <w:numId w:val="1008"/>
        </w:numPr>
      </w:pPr>
      <w:r>
        <w:t xml:space="preserve">💡 </w:t>
      </w:r>
      <w:r>
        <w:rPr>
          <w:rFonts w:hint="eastAsia"/>
        </w:rPr>
        <w:t xml:space="preserve">政策有助于降低居民消费融资成本，但消费板块能否形成趋势仍需销售、客流和企业盈利验证。</w:t>
      </w:r>
    </w:p>
    <w:p>
      <w:pPr>
        <w:pStyle w:val="Compact"/>
        <w:numPr>
          <w:ilvl w:val="0"/>
          <w:numId w:val="1008"/>
        </w:numPr>
      </w:pPr>
      <w:r>
        <w:t xml:space="preserve">⚠️ </w:t>
      </w:r>
      <w:r>
        <w:rPr>
          <w:rFonts w:hint="eastAsia"/>
        </w:rPr>
        <w:t xml:space="preserve">地产开发上一交易日净流出9.85亿元，家装链不能简单依赖地产全面反转预期。</w:t>
      </w:r>
    </w:p>
    <w:bookmarkEnd w:id="17"/>
    <w:bookmarkStart w:id="18" w:name="新职业与产业结构变化"/>
    <w:p>
      <w:pPr>
        <w:pStyle w:val="Heading3"/>
      </w:pPr>
      <w:r>
        <w:t xml:space="preserve">🦾 </w:t>
      </w:r>
      <w:r>
        <w:rPr>
          <w:rFonts w:hint="eastAsia"/>
        </w:rPr>
        <w:t xml:space="preserve">新职业与产业结构变化</w:t>
      </w:r>
    </w:p>
    <w:p>
      <w:pPr>
        <w:pStyle w:val="FirstParagraph"/>
      </w:pPr>
      <w:r>
        <w:rPr>
          <w:rFonts w:hint="eastAsia"/>
        </w:rPr>
        <w:t xml:space="preserve">第八批新职业包括数字孪生工程技术人员、具身智能机器人应用技术员、微电网管理员、低空物流员和智能体开发员；数字职业占45%，绿色职业占27%。</w:t>
      </w:r>
    </w:p>
    <w:p>
      <w:pPr>
        <w:pStyle w:val="Compact"/>
        <w:numPr>
          <w:ilvl w:val="0"/>
          <w:numId w:val="1009"/>
        </w:numPr>
      </w:pPr>
      <w:r>
        <w:t xml:space="preserve">📈 </w:t>
      </w:r>
      <w:r>
        <w:rPr>
          <w:rFonts w:hint="eastAsia"/>
        </w:rPr>
        <w:t xml:space="preserve">A股映射：具身智能、机器人、数字孪生、微电网、低空物流、AI智能体。</w:t>
      </w:r>
    </w:p>
    <w:p>
      <w:pPr>
        <w:pStyle w:val="Compact"/>
        <w:numPr>
          <w:ilvl w:val="0"/>
          <w:numId w:val="1009"/>
        </w:numPr>
      </w:pPr>
      <w:r>
        <w:t xml:space="preserve">💰 </w:t>
      </w:r>
      <w:r>
        <w:rPr>
          <w:rFonts w:hint="eastAsia"/>
        </w:rPr>
        <w:t xml:space="preserve">自动化设备上一交易日净流入7.80亿元，具备一定资金验证。</w:t>
      </w:r>
    </w:p>
    <w:p>
      <w:pPr>
        <w:pStyle w:val="Compact"/>
        <w:numPr>
          <w:ilvl w:val="0"/>
          <w:numId w:val="1009"/>
        </w:numPr>
      </w:pPr>
      <w:r>
        <w:t xml:space="preserve">⚠️ </w:t>
      </w:r>
      <w:r>
        <w:rPr>
          <w:rFonts w:hint="eastAsia"/>
        </w:rPr>
        <w:t xml:space="preserve">新职业确认产业发展方向，但不是短期利润承诺；机器人和低空经济仍需订单、量产和商业闭环确认。</w:t>
      </w:r>
    </w:p>
    <w:bookmarkEnd w:id="18"/>
    <w:bookmarkStart w:id="19" w:name="假期运输与服务消费"/>
    <w:p>
      <w:pPr>
        <w:pStyle w:val="Heading3"/>
      </w:pPr>
      <w:r>
        <w:t xml:space="preserve">🚆 </w:t>
      </w:r>
      <w:r>
        <w:rPr>
          <w:rFonts w:hint="eastAsia"/>
        </w:rPr>
        <w:t xml:space="preserve">假期运输与服务消费</w:t>
      </w:r>
    </w:p>
    <w:p>
      <w:pPr>
        <w:pStyle w:val="FirstParagraph"/>
      </w:pPr>
      <w:r>
        <w:rPr>
          <w:rFonts w:hint="eastAsia"/>
        </w:rPr>
        <w:t xml:space="preserve">中秋国庆铁路运输期为9月23日至10月8日，共16天，全国铁路日均计划开行旅客列车约1.3万列。</w:t>
      </w:r>
    </w:p>
    <w:p>
      <w:pPr>
        <w:pStyle w:val="Compact"/>
        <w:numPr>
          <w:ilvl w:val="0"/>
          <w:numId w:val="1010"/>
        </w:numPr>
      </w:pPr>
      <w:r>
        <w:t xml:space="preserve">📈 </w:t>
      </w:r>
      <w:r>
        <w:rPr>
          <w:rFonts w:hint="eastAsia"/>
        </w:rPr>
        <w:t xml:space="preserve">A股映射：铁路运输、旅游酒店、景区、免税、餐饮及出行服务。</w:t>
      </w:r>
    </w:p>
    <w:p>
      <w:pPr>
        <w:pStyle w:val="Compact"/>
        <w:numPr>
          <w:ilvl w:val="0"/>
          <w:numId w:val="1010"/>
        </w:numPr>
      </w:pPr>
      <w:r>
        <w:t xml:space="preserve">💡 </w:t>
      </w:r>
      <w:r>
        <w:rPr>
          <w:rFonts w:hint="eastAsia"/>
        </w:rPr>
        <w:t xml:space="preserve">属于明确时间窗口催化，交易上应重点跟踪预订量、客流及价格，而非只看节日概念。</w:t>
      </w:r>
    </w:p>
    <w:bookmarkEnd w:id="19"/>
    <w:bookmarkStart w:id="20" w:name="民营企业研发投入"/>
    <w:p>
      <w:pPr>
        <w:pStyle w:val="Heading3"/>
      </w:pPr>
      <w:r>
        <w:t xml:space="preserve">🔬 </w:t>
      </w:r>
      <w:r>
        <w:rPr>
          <w:rFonts w:hint="eastAsia"/>
        </w:rPr>
        <w:t xml:space="preserve">民营企业研发投入</w:t>
      </w:r>
    </w:p>
    <w:p>
      <w:pPr>
        <w:pStyle w:val="FirstParagraph"/>
      </w:pPr>
      <w:r>
        <w:rPr>
          <w:rFonts w:hint="eastAsia"/>
        </w:rPr>
        <w:t xml:space="preserve">2025年研发投入前1000家民营企业研发费用达到1.59万亿元，同比增长10.72%，占全国研发经费支出的40.40%。</w:t>
      </w:r>
    </w:p>
    <w:p>
      <w:pPr>
        <w:pStyle w:val="Compact"/>
        <w:numPr>
          <w:ilvl w:val="0"/>
          <w:numId w:val="1011"/>
        </w:numPr>
      </w:pPr>
      <w:r>
        <w:t xml:space="preserve">📈 </w:t>
      </w:r>
      <w:r>
        <w:rPr>
          <w:rFonts w:hint="eastAsia"/>
        </w:rPr>
        <w:t xml:space="preserve">A股映射：民营科技龙头、研发服务、工业软件、高端装备、创新药及电子产业链。</w:t>
      </w:r>
    </w:p>
    <w:p>
      <w:pPr>
        <w:pStyle w:val="Compact"/>
        <w:numPr>
          <w:ilvl w:val="0"/>
          <w:numId w:val="1011"/>
        </w:numPr>
      </w:pPr>
      <w:r>
        <w:t xml:space="preserve">💡 </w:t>
      </w:r>
      <w:r>
        <w:rPr>
          <w:rFonts w:hint="eastAsia"/>
        </w:rPr>
        <w:t xml:space="preserve">研发投入必须结合研发资本化比例、现金流及转化效率判断，投入增加不必然带来利润增长。</w:t>
      </w:r>
    </w:p>
    <w:bookmarkEnd w:id="20"/>
    <w:bookmarkStart w:id="21" w:name="海洋油气与能源安全"/>
    <w:p>
      <w:pPr>
        <w:pStyle w:val="Heading3"/>
      </w:pPr>
      <w:r>
        <w:t xml:space="preserve">🛢️ </w:t>
      </w:r>
      <w:r>
        <w:rPr>
          <w:rFonts w:hint="eastAsia"/>
        </w:rPr>
        <w:t xml:space="preserve">海洋油气与能源安全</w:t>
      </w:r>
    </w:p>
    <w:p>
      <w:pPr>
        <w:pStyle w:val="FirstParagraph"/>
      </w:pPr>
      <w:r>
        <w:rPr>
          <w:rFonts w:hint="eastAsia"/>
        </w:rPr>
        <w:t xml:space="preserve">我国首个百米水深油气原位扩容平台投入使用，通过不停产改造解决原平台井位饱和和产能受限问题。</w:t>
      </w:r>
    </w:p>
    <w:p>
      <w:pPr>
        <w:pStyle w:val="Compact"/>
        <w:numPr>
          <w:ilvl w:val="0"/>
          <w:numId w:val="1012"/>
        </w:numPr>
      </w:pPr>
      <w:r>
        <w:t xml:space="preserve">📈 </w:t>
      </w:r>
      <w:r>
        <w:rPr>
          <w:rFonts w:hint="eastAsia"/>
        </w:rPr>
        <w:t xml:space="preserve">A股映射：海洋油气开发、油服工程、海工装备、能源设备。</w:t>
      </w:r>
    </w:p>
    <w:p>
      <w:pPr>
        <w:pStyle w:val="Compact"/>
        <w:numPr>
          <w:ilvl w:val="0"/>
          <w:numId w:val="1012"/>
        </w:numPr>
      </w:pPr>
      <w:r>
        <w:t xml:space="preserve">💡 </w:t>
      </w:r>
      <w:r>
        <w:rPr>
          <w:rFonts w:hint="eastAsia"/>
        </w:rPr>
        <w:t xml:space="preserve">技术验证和产能扩张有利于海工产业链，但国际冲突正在显著放大油价波动，追涨风险同步上升。</w:t>
      </w:r>
    </w:p>
    <w:bookmarkEnd w:id="21"/>
    <w:bookmarkStart w:id="22" w:name="国际冲突与贸易摩擦"/>
    <w:p>
      <w:pPr>
        <w:pStyle w:val="Heading3"/>
      </w:pPr>
      <w:r>
        <w:t xml:space="preserve">⚠️ </w:t>
      </w:r>
      <w:r>
        <w:rPr>
          <w:rFonts w:hint="eastAsia"/>
        </w:rPr>
        <w:t xml:space="preserve">国际冲突与贸易摩擦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伊朗称打击美军舰、油轮及军事基地，美国称摧毁伊朗油轮，霍尔木兹海峡相关风险继续升级。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英国、法国、加拿大等宣布针对以色列定居点采取制裁或贸易限制，以色列表示将反制。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美国公布针对加拿大的新贸易措施，加拿大表示将降低对美国依赖。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俄美元首通话讨论乌克兰问题，释放谈判信号，但冲突路径仍未确定。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俄方表示将回应匈牙利驱逐俄罗斯外交人员事件。</w:t>
      </w:r>
    </w:p>
    <w:p>
      <w:pPr>
        <w:pStyle w:val="FirstParagraph"/>
      </w:pPr>
      <w:r>
        <w:rPr>
          <w:rFonts w:hint="eastAsia"/>
        </w:rPr>
        <w:t xml:space="preserve">A股传导判断：</w:t>
      </w:r>
    </w:p>
    <w:p>
      <w:pPr>
        <w:pStyle w:val="Compact"/>
        <w:numPr>
          <w:ilvl w:val="0"/>
          <w:numId w:val="1014"/>
        </w:numPr>
      </w:pPr>
      <w:r>
        <w:t xml:space="preserve">📈 </w:t>
      </w:r>
      <w:r>
        <w:rPr>
          <w:rFonts w:hint="eastAsia"/>
        </w:rPr>
        <w:t xml:space="preserve">油气、油服、航运、黄金和军工存在风险溢价支撑。</w:t>
      </w:r>
    </w:p>
    <w:p>
      <w:pPr>
        <w:pStyle w:val="Compact"/>
        <w:numPr>
          <w:ilvl w:val="0"/>
          <w:numId w:val="1014"/>
        </w:numPr>
      </w:pPr>
      <w:r>
        <w:t xml:space="preserve">📉 </w:t>
      </w:r>
      <w:r>
        <w:rPr>
          <w:rFonts w:hint="eastAsia"/>
        </w:rPr>
        <w:t xml:space="preserve">航空、化工下游、物流及高能耗制造可能承受能源成本压力。</w:t>
      </w:r>
    </w:p>
    <w:p>
      <w:pPr>
        <w:pStyle w:val="Compact"/>
        <w:numPr>
          <w:ilvl w:val="0"/>
          <w:numId w:val="1014"/>
        </w:numPr>
      </w:pPr>
      <w:r>
        <w:t xml:space="preserve">⚠️ </w:t>
      </w:r>
      <w:r>
        <w:rPr>
          <w:rFonts w:hint="eastAsia"/>
        </w:rPr>
        <w:t xml:space="preserve">地缘题材波动极大，只适合等待回踩和趋势确认，不追事件刺激形成的连续加速。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7" w:name="今日公告"/>
    <w:p>
      <w:pPr>
        <w:pStyle w:val="Heading2"/>
      </w:pPr>
      <w:r>
        <w:t xml:space="preserve">📢 </w:t>
      </w:r>
      <w:r>
        <w:rPr>
          <w:rFonts w:hint="eastAsia"/>
        </w:rPr>
        <w:t xml:space="preserve">今日公告</w:t>
      </w:r>
    </w:p>
    <w:p>
      <w:pPr>
        <w:pStyle w:val="FirstParagraph"/>
      </w:pPr>
      <w:r>
        <w:rPr>
          <w:rFonts w:hint="eastAsia"/>
        </w:rPr>
        <w:t xml:space="preserve">公告常规主接口报错后，采集器通过巨潮资讯历史公告官方查询接口完整抓取沪深两市969条公告；来源仍为</w:t>
      </w:r>
      <w:r>
        <w:rPr>
          <w:rStyle w:val="VerbatimChar"/>
        </w:rPr>
        <w:t xml:space="preserve">cninfo_official</w:t>
      </w:r>
      <w:r>
        <w:rPr>
          <w:rFonts w:hint="eastAsia"/>
        </w:rPr>
        <w:t xml:space="preserve">，不采用新闻或研报冒充公告。</w:t>
      </w:r>
    </w:p>
    <w:bookmarkStart w:id="24" w:name="正向及中性偏正面事项"/>
    <w:p>
      <w:pPr>
        <w:pStyle w:val="Heading3"/>
      </w:pPr>
      <w:r>
        <w:t xml:space="preserve">📈 </w:t>
      </w:r>
      <w:r>
        <w:rPr>
          <w:rFonts w:hint="eastAsia"/>
        </w:rPr>
        <w:t xml:space="preserve">正向及中性偏正面事项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恒玄科技（688608）</w:t>
      </w:r>
      <w:r>
        <w:rPr>
          <w:rFonts w:hint="eastAsia"/>
        </w:rPr>
        <w:t xml:space="preserve">：控股股东、实际控制人、董事长提议公司回购股份。回购规模、价格上限及用途等细节需以公告全文为准。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中泰证券（600918）</w:t>
      </w:r>
      <w:r>
        <w:rPr>
          <w:rFonts w:hint="eastAsia"/>
        </w:rPr>
        <w:t xml:space="preserve">：披露集中竞价回购报告书，并公告回购股份用于注销及减少注册资本。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中煤能源（601898）</w:t>
      </w:r>
      <w:r>
        <w:rPr>
          <w:rFonts w:hint="eastAsia"/>
        </w:rPr>
        <w:t xml:space="preserve">：控股股东首次增持公司股份并披露增持计划进展。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天地科技（600582）</w:t>
      </w:r>
      <w:r>
        <w:rPr>
          <w:rFonts w:hint="eastAsia"/>
        </w:rPr>
        <w:t xml:space="preserve">：披露持股5%以上股东增持股份计划。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湖南黄金（002155）</w:t>
      </w:r>
      <w:r>
        <w:rPr>
          <w:rFonts w:hint="eastAsia"/>
        </w:rPr>
        <w:t xml:space="preserve">：重大资产重组获得湖南省国资委批复，仍需关注后续审批和交易实施条件。</w:t>
      </w:r>
    </w:p>
    <w:bookmarkEnd w:id="24"/>
    <w:bookmarkStart w:id="25" w:name="风险事项"/>
    <w:p>
      <w:pPr>
        <w:pStyle w:val="Heading3"/>
      </w:pPr>
      <w:r>
        <w:t xml:space="preserve">⚠️ </w:t>
      </w:r>
      <w:r>
        <w:rPr>
          <w:rFonts w:hint="eastAsia"/>
        </w:rPr>
        <w:t xml:space="preserve">风险事项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中微公司（688012）</w:t>
      </w:r>
      <w:r>
        <w:rPr>
          <w:rFonts w:hint="eastAsia"/>
        </w:rPr>
        <w:t xml:space="preserve">：持股5%以上股东权益变动触及1%刻度，并披露减持结果。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毕得医药（688073）</w:t>
      </w:r>
      <w:r>
        <w:rPr>
          <w:rFonts w:hint="eastAsia"/>
        </w:rPr>
        <w:t xml:space="preserve">：披露股东减持计划；同日另有前次减持计划届满公告。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华特气体（688268）</w:t>
      </w:r>
      <w:r>
        <w:t xml:space="preserve">、</w:t>
      </w:r>
      <w:r>
        <w:rPr>
          <w:rFonts w:hint="eastAsia"/>
          <w:b/>
          <w:bCs/>
        </w:rPr>
        <w:t xml:space="preserve">安必平（688393）</w:t>
      </w:r>
      <w:r>
        <w:t xml:space="preserve">、</w:t>
      </w:r>
      <w:r>
        <w:rPr>
          <w:rFonts w:hint="eastAsia"/>
          <w:b/>
          <w:bCs/>
        </w:rPr>
        <w:t xml:space="preserve">中重科技（603135）</w:t>
      </w:r>
      <w:r>
        <w:rPr>
          <w:rFonts w:hint="eastAsia"/>
        </w:rPr>
        <w:t xml:space="preserve">等涉及减持计划或减持结果。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逸飞激光（688646）</w:t>
      </w:r>
      <w:r>
        <w:rPr>
          <w:rFonts w:hint="eastAsia"/>
        </w:rPr>
        <w:t xml:space="preserve">：披露公司诉讼进展，影响程度需进一步阅读公告全文。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裕太微（688515）</w:t>
      </w:r>
      <w:r>
        <w:rPr>
          <w:rFonts w:hint="eastAsia"/>
        </w:rPr>
        <w:t xml:space="preserve">：向特定对象发行股票审核问询回复更新了2026年半年报财务数据，需关注更正原因及融资摊薄影响。</w:t>
      </w:r>
    </w:p>
    <w:bookmarkEnd w:id="25"/>
    <w:bookmarkStart w:id="26" w:name="停牌与监管风险"/>
    <w:p>
      <w:pPr>
        <w:pStyle w:val="Heading3"/>
      </w:pPr>
      <w:r>
        <w:t xml:space="preserve">⛔ </w:t>
      </w:r>
      <w:r>
        <w:rPr>
          <w:rFonts w:hint="eastAsia"/>
        </w:rPr>
        <w:t xml:space="preserve">停牌与监管风险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信达证券（601059）</w:t>
      </w:r>
      <w:r>
        <w:t xml:space="preserve">、</w:t>
      </w:r>
      <w:r>
        <w:rPr>
          <w:rFonts w:hint="eastAsia"/>
          <w:b/>
          <w:bCs/>
        </w:rPr>
        <w:t xml:space="preserve">东兴证券（601198）</w:t>
      </w:r>
      <w:r>
        <w:rPr>
          <w:rFonts w:hint="eastAsia"/>
        </w:rPr>
        <w:t xml:space="preserve">：因换股吸收合并安排连续停牌直至终止上市。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上海亚虹（603159）</w:t>
      </w:r>
      <w:r>
        <w:t xml:space="preserve">、</w:t>
      </w:r>
      <w:r>
        <w:rPr>
          <w:rFonts w:hint="eastAsia"/>
          <w:b/>
          <w:bCs/>
        </w:rPr>
        <w:t xml:space="preserve">经纬股份（301390）</w:t>
      </w:r>
      <w:r>
        <w:rPr>
          <w:rFonts w:hint="eastAsia"/>
        </w:rPr>
        <w:t xml:space="preserve">：筹划控制权变更事项停牌。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*ST卓然（688121）</w:t>
      </w:r>
      <w:r>
        <w:rPr>
          <w:rFonts w:hint="eastAsia"/>
        </w:rPr>
        <w:t xml:space="preserve">：立案调查进展并提示退市风险。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*ST数源（000909）</w:t>
      </w:r>
      <w:r>
        <w:t xml:space="preserve">、</w:t>
      </w:r>
      <w:r>
        <w:rPr>
          <w:rFonts w:hint="eastAsia"/>
          <w:b/>
          <w:bCs/>
        </w:rPr>
        <w:t xml:space="preserve">ST百灵（002424）</w:t>
      </w:r>
      <w:r>
        <w:rPr>
          <w:rFonts w:hint="eastAsia"/>
        </w:rPr>
        <w:t xml:space="preserve">：涉及行政处罚事先告知书。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经济数据与重要事件"/>
    <w:p>
      <w:pPr>
        <w:pStyle w:val="Heading2"/>
      </w:pPr>
      <w:r>
        <w:t xml:space="preserve">🗓️ </w:t>
      </w:r>
      <w:r>
        <w:rPr>
          <w:rFonts w:hint="eastAsia"/>
        </w:rPr>
        <w:t xml:space="preserve">经济数据与重要事件</w:t>
      </w:r>
    </w:p>
    <w:p>
      <w:pPr>
        <w:pStyle w:val="Compact"/>
        <w:numPr>
          <w:ilvl w:val="0"/>
          <w:numId w:val="1018"/>
        </w:numPr>
      </w:pPr>
      <w:r>
        <w:t xml:space="preserve">📊 </w:t>
      </w:r>
      <w:r>
        <w:rPr>
          <w:rFonts w:hint="eastAsia"/>
        </w:rPr>
        <w:t xml:space="preserve">国内已公布的8月CPI同比为+0.8%，核心CPI同比为+1.0%，PPI同比为+3.8%。</w:t>
      </w:r>
    </w:p>
    <w:p>
      <w:pPr>
        <w:pStyle w:val="Compact"/>
        <w:numPr>
          <w:ilvl w:val="0"/>
          <w:numId w:val="1018"/>
        </w:numPr>
      </w:pPr>
      <w:r>
        <w:t xml:space="preserve">🏭 </w:t>
      </w:r>
      <w:r>
        <w:rPr>
          <w:rFonts w:hint="eastAsia"/>
        </w:rPr>
        <w:t xml:space="preserve">PPI涨幅扩大0.3个百分点，制造业价格环境改善，但需继续观察上游涨价是否挤压中下游毛利。</w:t>
      </w:r>
    </w:p>
    <w:p>
      <w:pPr>
        <w:pStyle w:val="Compact"/>
        <w:numPr>
          <w:ilvl w:val="0"/>
          <w:numId w:val="1018"/>
        </w:numPr>
      </w:pPr>
      <w:r>
        <w:t xml:space="preserve">🌍 </w:t>
      </w:r>
      <w:r>
        <w:rPr>
          <w:rFonts w:hint="eastAsia"/>
        </w:rPr>
        <w:t xml:space="preserve">本轮采集JSON未提供可核验的9月10日完整海外宏观数据发布时间表；具体公布时点写“当前数据源未返回”，不补数。</w:t>
      </w:r>
    </w:p>
    <w:p>
      <w:pPr>
        <w:pStyle w:val="Compact"/>
        <w:numPr>
          <w:ilvl w:val="0"/>
          <w:numId w:val="1018"/>
        </w:numPr>
      </w:pPr>
      <w:r>
        <w:t xml:space="preserve">💡 </w:t>
      </w:r>
      <w:r>
        <w:rPr>
          <w:rFonts w:hint="eastAsia"/>
        </w:rPr>
        <w:t xml:space="preserve">市场交易重点应从“数据是否改善”进一步落到“企业能否提价、利润能否兑现、现金流能否同步改善”。</w:t>
      </w:r>
    </w:p>
    <w:p>
      <w:r>
        <w:pict>
          <v:rect style="width:0;height:1.5pt" o:hralign="center" o:hrstd="t" o:hr="t"/>
        </w:pict>
      </w:r>
    </w:p>
    <w:bookmarkEnd w:id="28"/>
    <w:bookmarkStart w:id="32" w:name="全球事件影响"/>
    <w:p>
      <w:pPr>
        <w:pStyle w:val="Heading2"/>
      </w:pPr>
      <w:r>
        <w:t xml:space="preserve">🌍 </w:t>
      </w:r>
      <w:r>
        <w:rPr>
          <w:rFonts w:hint="eastAsia"/>
        </w:rPr>
        <w:t xml:space="preserve">全球事件影响</w:t>
      </w:r>
    </w:p>
    <w:bookmarkStart w:id="29" w:name="中东冲突"/>
    <w:p>
      <w:pPr>
        <w:pStyle w:val="Heading3"/>
      </w:pPr>
      <w:r>
        <w:t xml:space="preserve">🛢️ </w:t>
      </w:r>
      <w:r>
        <w:rPr>
          <w:rFonts w:hint="eastAsia"/>
        </w:rPr>
        <w:t xml:space="preserve">中东冲突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冲突已涉及军舰、油轮、军事基地和霍尔木兹海峡入口，能源供应链风险上升。</w:t>
      </w:r>
    </w:p>
    <w:p>
      <w:pPr>
        <w:pStyle w:val="Compact"/>
        <w:numPr>
          <w:ilvl w:val="0"/>
          <w:numId w:val="1019"/>
        </w:numPr>
      </w:pPr>
      <w:r>
        <w:t xml:space="preserve">📈 </w:t>
      </w:r>
      <w:r>
        <w:rPr>
          <w:rFonts w:hint="eastAsia"/>
        </w:rPr>
        <w:t xml:space="preserve">相对受益：油气开采、油服、海工装备、油运、黄金。</w:t>
      </w:r>
    </w:p>
    <w:p>
      <w:pPr>
        <w:pStyle w:val="Compact"/>
        <w:numPr>
          <w:ilvl w:val="0"/>
          <w:numId w:val="1019"/>
        </w:numPr>
      </w:pPr>
      <w:r>
        <w:t xml:space="preserve">📉 </w:t>
      </w:r>
      <w:r>
        <w:rPr>
          <w:rFonts w:hint="eastAsia"/>
        </w:rPr>
        <w:t xml:space="preserve">相对受压：航空、化工下游、物流运输及高能源成本制造。</w:t>
      </w:r>
    </w:p>
    <w:p>
      <w:pPr>
        <w:pStyle w:val="Compact"/>
        <w:numPr>
          <w:ilvl w:val="0"/>
          <w:numId w:val="1019"/>
        </w:numPr>
      </w:pPr>
      <w:r>
        <w:t xml:space="preserve">⚠️ </w:t>
      </w:r>
      <w:r>
        <w:rPr>
          <w:rFonts w:hint="eastAsia"/>
        </w:rPr>
        <w:t xml:space="preserve">未采用报告日原油盘中价格，盘前只保留事件方向判断。</w:t>
      </w:r>
    </w:p>
    <w:bookmarkEnd w:id="29"/>
    <w:bookmarkStart w:id="30" w:name="全球贸易摩擦"/>
    <w:p>
      <w:pPr>
        <w:pStyle w:val="Heading3"/>
      </w:pPr>
      <w:r>
        <w:t xml:space="preserve">🚢 </w:t>
      </w:r>
      <w:r>
        <w:rPr>
          <w:rFonts w:hint="eastAsia"/>
        </w:rPr>
        <w:t xml:space="preserve">全球贸易摩擦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美国对加拿大部分商品实施进口限制或调整关税范围，说明全球贸易政策不确定性仍高。</w:t>
      </w:r>
    </w:p>
    <w:p>
      <w:pPr>
        <w:pStyle w:val="Compact"/>
        <w:numPr>
          <w:ilvl w:val="0"/>
          <w:numId w:val="1020"/>
        </w:numPr>
      </w:pPr>
      <w:r>
        <w:t xml:space="preserve">📉 </w:t>
      </w:r>
      <w:r>
        <w:rPr>
          <w:rFonts w:hint="eastAsia"/>
        </w:rPr>
        <w:t xml:space="preserve">出口依赖度高、客户集中度高且缺乏转嫁能力的企业风险更大。</w:t>
      </w:r>
    </w:p>
    <w:p>
      <w:pPr>
        <w:pStyle w:val="Compact"/>
        <w:numPr>
          <w:ilvl w:val="0"/>
          <w:numId w:val="1020"/>
        </w:numPr>
      </w:pPr>
      <w:r>
        <w:t xml:space="preserve">📈 </w:t>
      </w:r>
      <w:r>
        <w:rPr>
          <w:rFonts w:hint="eastAsia"/>
        </w:rPr>
        <w:t xml:space="preserve">国内替代、供应链自主可控和区域多元化企业相对占优。</w:t>
      </w:r>
    </w:p>
    <w:bookmarkEnd w:id="30"/>
    <w:bookmarkStart w:id="31" w:name="俄乌与欧洲局势"/>
    <w:p>
      <w:pPr>
        <w:pStyle w:val="Heading3"/>
      </w:pPr>
      <w:r>
        <w:t xml:space="preserve">🕊️ </w:t>
      </w:r>
      <w:r>
        <w:rPr>
          <w:rFonts w:hint="eastAsia"/>
        </w:rPr>
        <w:t xml:space="preserve">俄乌与欧洲局势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俄美元首通话释放结束冲突的意愿，但俄方与匈牙利外交摩擦升温。</w:t>
      </w:r>
    </w:p>
    <w:p>
      <w:pPr>
        <w:pStyle w:val="Compact"/>
        <w:numPr>
          <w:ilvl w:val="0"/>
          <w:numId w:val="1021"/>
        </w:numPr>
      </w:pPr>
      <w:r>
        <w:t xml:space="preserve">💡 </w:t>
      </w:r>
      <w:r>
        <w:rPr>
          <w:rFonts w:hint="eastAsia"/>
        </w:rPr>
        <w:t xml:space="preserve">对黄金、能源和军工的影响方向并不单一，必须等待价格和资金确认，禁止依据单条外交消息追涨。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5" w:name="上一交易日复盘"/>
    <w:p>
      <w:pPr>
        <w:pStyle w:val="Heading2"/>
      </w:pPr>
      <w:r>
        <w:t xml:space="preserve">📊 </w:t>
      </w:r>
      <w:r>
        <w:rPr>
          <w:rFonts w:hint="eastAsia"/>
        </w:rPr>
        <w:t xml:space="preserve">上一交易日复盘</w:t>
      </w:r>
    </w:p>
    <w:bookmarkStart w:id="33" w:name="指数与成交"/>
    <w:p>
      <w:pPr>
        <w:pStyle w:val="Heading3"/>
      </w:pPr>
      <w:r>
        <w:t xml:space="preserve">📉 </w:t>
      </w:r>
      <w:r>
        <w:rPr>
          <w:rFonts w:hint="eastAsia"/>
        </w:rPr>
        <w:t xml:space="preserve">指数与成交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上证指数上一交易日收于</w:t>
      </w:r>
      <w:r>
        <w:t xml:space="preserve"> </w:t>
      </w:r>
      <w:r>
        <w:rPr>
          <w:rFonts w:hint="eastAsia"/>
          <w:b/>
          <w:bCs/>
        </w:rPr>
        <w:t xml:space="preserve">3951.5068点</w:t>
      </w:r>
      <w:r>
        <w:t xml:space="preserve">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深证成指上一交易日收于</w:t>
      </w:r>
      <w:r>
        <w:t xml:space="preserve"> </w:t>
      </w:r>
      <w:r>
        <w:rPr>
          <w:rFonts w:hint="eastAsia"/>
          <w:b/>
          <w:bCs/>
        </w:rPr>
        <w:t xml:space="preserve">13723.322点</w:t>
      </w:r>
      <w:r>
        <w:t xml:space="preserve">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创业板指上一交易日收于</w:t>
      </w:r>
      <w:r>
        <w:t xml:space="preserve"> </w:t>
      </w:r>
      <w:r>
        <w:rPr>
          <w:rFonts w:hint="eastAsia"/>
          <w:b/>
          <w:bCs/>
        </w:rPr>
        <w:t xml:space="preserve">3354.969点</w:t>
      </w:r>
      <w:r>
        <w:t xml:space="preserve">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科创50上一交易日收于</w:t>
      </w:r>
      <w:r>
        <w:t xml:space="preserve"> </w:t>
      </w:r>
      <w:r>
        <w:rPr>
          <w:rFonts w:hint="eastAsia"/>
          <w:b/>
          <w:bCs/>
        </w:rPr>
        <w:t xml:space="preserve">1580.0588点</w:t>
      </w:r>
      <w:r>
        <w:t xml:space="preserve">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沪深300上一交易日收于</w:t>
      </w:r>
      <w:r>
        <w:t xml:space="preserve"> </w:t>
      </w:r>
      <w:r>
        <w:rPr>
          <w:rFonts w:hint="eastAsia"/>
          <w:b/>
          <w:bCs/>
        </w:rPr>
        <w:t xml:space="preserve">4572.5995点</w:t>
      </w:r>
      <w:r>
        <w:t xml:space="preserve">。</w:t>
      </w:r>
    </w:p>
    <w:p>
      <w:pPr>
        <w:pStyle w:val="Compact"/>
        <w:numPr>
          <w:ilvl w:val="0"/>
          <w:numId w:val="1022"/>
        </w:numPr>
      </w:pPr>
      <w:r>
        <w:t xml:space="preserve">💰 </w:t>
      </w:r>
      <w:r>
        <w:rPr>
          <w:rFonts w:hint="eastAsia"/>
        </w:rPr>
        <w:t xml:space="preserve">上一交易日全市场实际成交额为</w:t>
      </w:r>
      <w:r>
        <w:t xml:space="preserve"> </w:t>
      </w:r>
      <w:r>
        <w:rPr>
          <w:rFonts w:hint="eastAsia"/>
          <w:b/>
          <w:bCs/>
        </w:rPr>
        <w:t xml:space="preserve">18730.67亿元</w:t>
      </w:r>
      <w:r>
        <w:t xml:space="preserve">。</w:t>
      </w:r>
    </w:p>
    <w:bookmarkEnd w:id="33"/>
    <w:bookmarkStart w:id="34" w:name="资金结构结论"/>
    <w:p>
      <w:pPr>
        <w:pStyle w:val="Heading3"/>
      </w:pPr>
      <w:r>
        <w:t xml:space="preserve">🧭 </w:t>
      </w:r>
      <w:r>
        <w:rPr>
          <w:rFonts w:hint="eastAsia"/>
        </w:rPr>
        <w:t xml:space="preserve">资金结构结论</w:t>
      </w:r>
    </w:p>
    <w:p>
      <w:pPr>
        <w:pStyle w:val="Compact"/>
        <w:numPr>
          <w:ilvl w:val="0"/>
          <w:numId w:val="1023"/>
        </w:numPr>
      </w:pPr>
      <w:r>
        <w:t xml:space="preserve">📈 </w:t>
      </w:r>
      <w:r>
        <w:rPr>
          <w:rFonts w:hint="eastAsia"/>
        </w:rPr>
        <w:t xml:space="preserve">通信设备、元件获得最强净流入，资金聚焦AI硬件、光通信及PCB链。</w:t>
      </w:r>
    </w:p>
    <w:p>
      <w:pPr>
        <w:pStyle w:val="Compact"/>
        <w:numPr>
          <w:ilvl w:val="0"/>
          <w:numId w:val="1023"/>
        </w:numPr>
      </w:pPr>
      <w:r>
        <w:t xml:space="preserve">📉 </w:t>
      </w:r>
      <w:r>
        <w:rPr>
          <w:rFonts w:hint="eastAsia"/>
        </w:rPr>
        <w:t xml:space="preserve">半导体行业净流出65.48亿元，显示芯片内部存在显著兑现压力。</w:t>
      </w:r>
    </w:p>
    <w:p>
      <w:pPr>
        <w:pStyle w:val="Compact"/>
        <w:numPr>
          <w:ilvl w:val="0"/>
          <w:numId w:val="1023"/>
        </w:numPr>
      </w:pPr>
      <w:r>
        <w:t xml:space="preserve">📉 </w:t>
      </w:r>
      <w:r>
        <w:rPr>
          <w:rFonts w:hint="eastAsia"/>
        </w:rPr>
        <w:t xml:space="preserve">计算机、数字媒体、游戏、软件开发和广告营销同步流出，AI应用与传媒方向弱于硬件。</w:t>
      </w:r>
    </w:p>
    <w:p>
      <w:pPr>
        <w:pStyle w:val="Compact"/>
        <w:numPr>
          <w:ilvl w:val="0"/>
          <w:numId w:val="1023"/>
        </w:numPr>
      </w:pPr>
      <w:r>
        <w:t xml:space="preserve">📈 </w:t>
      </w:r>
      <w:r>
        <w:rPr>
          <w:rFonts w:hint="eastAsia"/>
        </w:rPr>
        <w:t xml:space="preserve">电力、玻璃玻纤、航运港口、贵金属和工业金属获得资金承接，市场呈现“科技硬件进攻＋资源防守”结构。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41" w:name="上一交易日资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上一交易日资金四张榜</w:t>
      </w:r>
    </w:p>
    <w:p>
      <w:pPr>
        <w:pStyle w:val="FirstParagraph"/>
      </w:pPr>
      <w:r>
        <w:rPr>
          <w:rFonts w:hint="eastAsia"/>
          <w:b/>
          <w:bCs/>
        </w:rPr>
        <w:t xml:space="preserve">统一口径：交易日2026年9月9日，15:00，previous_close，申万二级行业；来源：华泰skill。金额为上一交易日主力净流入/净流出，不含报告日价格及涨跌幅。</w:t>
      </w:r>
    </w:p>
    <w:bookmarkStart w:id="36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-65.48亿元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-17.77亿元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-17.72亿元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-13.84亿元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-13.45亿元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-8.92亿元</w:t>
            </w:r>
          </w:p>
        </w:tc>
      </w:tr>
    </w:tbl>
    <w:bookmarkEnd w:id="36"/>
    <w:bookmarkStart w:id="37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-16.12亿元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兴森科技</w:t>
            </w:r>
          </w:p>
        </w:tc>
        <w:tc>
          <w:tcPr/>
          <w:p>
            <w:pPr>
              <w:pStyle w:val="Compact"/>
            </w:pPr>
            <w:r>
              <w:t xml:space="preserve">002436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中粮糖业</w:t>
            </w:r>
          </w:p>
        </w:tc>
        <w:tc>
          <w:tcPr/>
          <w:p>
            <w:pPr>
              <w:pStyle w:val="Compact"/>
            </w:pPr>
            <w:r>
              <w:t xml:space="preserve">600737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香农芯创</w:t>
            </w:r>
          </w:p>
        </w:tc>
        <w:tc>
          <w:tcPr/>
          <w:p>
            <w:pPr>
              <w:pStyle w:val="Compact"/>
            </w:pPr>
            <w:r>
              <w:t xml:space="preserve">300475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-6.88亿元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罗博特科</w:t>
            </w:r>
          </w:p>
        </w:tc>
        <w:tc>
          <w:tcPr/>
          <w:p>
            <w:pPr>
              <w:pStyle w:val="Compact"/>
            </w:pPr>
            <w:r>
              <w:t xml:space="preserve">300757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-6.05亿元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杭电股份</w:t>
            </w:r>
          </w:p>
        </w:tc>
        <w:tc>
          <w:tcPr/>
          <w:p>
            <w:pPr>
              <w:pStyle w:val="Compact"/>
            </w:pPr>
            <w:r>
              <w:t xml:space="preserve">603618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剑桥科技</w:t>
            </w:r>
          </w:p>
        </w:tc>
        <w:tc>
          <w:tcPr/>
          <w:p>
            <w:pPr>
              <w:pStyle w:val="Compact"/>
            </w:pPr>
            <w:r>
              <w:t xml:space="preserve">603083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浪潮信息</w:t>
            </w:r>
          </w:p>
        </w:tc>
        <w:tc>
          <w:tcPr/>
          <w:p>
            <w:pPr>
              <w:pStyle w:val="Compact"/>
            </w:pPr>
            <w:r>
              <w:t xml:space="preserve">000977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恒瑞医药</w:t>
            </w:r>
          </w:p>
        </w:tc>
        <w:tc>
          <w:tcPr/>
          <w:p>
            <w:pPr>
              <w:pStyle w:val="Compact"/>
            </w:pPr>
            <w:r>
              <w:t xml:space="preserve">600276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-5.33亿元</w:t>
            </w:r>
          </w:p>
        </w:tc>
      </w:tr>
    </w:tbl>
    <w:bookmarkEnd w:id="37"/>
    <w:bookmarkStart w:id="38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+51.01亿元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+49.63亿元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航运港口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+11.31亿元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+9.02亿元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航海装备Ⅱ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+7.80亿元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非金属材料Ⅱ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+6.84亿元</w:t>
            </w:r>
          </w:p>
        </w:tc>
      </w:tr>
    </w:tbl>
    <w:bookmarkEnd w:id="38"/>
    <w:bookmarkStart w:id="39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+113.22亿元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+81.55亿元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</w:t>
            </w:r>
          </w:p>
        </w:tc>
        <w:tc>
          <w:tcPr/>
          <w:p>
            <w:pPr>
              <w:pStyle w:val="Compact"/>
            </w:pPr>
            <w:r>
              <w:t xml:space="preserve">000988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+70.99亿元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</w:pPr>
            <w:r>
              <w:t xml:space="preserve">300750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+68.89亿元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t xml:space="preserve">688256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+66.26亿元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</w:pPr>
            <w:r>
              <w:t xml:space="preserve">600487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+64.94亿元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+64.27亿元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+51.19亿元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长飞光纤</w:t>
            </w:r>
          </w:p>
        </w:tc>
        <w:tc>
          <w:tcPr/>
          <w:p>
            <w:pPr>
              <w:pStyle w:val="Compact"/>
            </w:pPr>
            <w:r>
              <w:t xml:space="preserve">601869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+46.90亿元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</w:t>
            </w:r>
          </w:p>
        </w:tc>
        <w:tc>
          <w:tcPr/>
          <w:p>
            <w:pPr>
              <w:pStyle w:val="Compact"/>
            </w:pPr>
            <w:r>
              <w:t xml:space="preserve">688498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+43.05亿元</w:t>
            </w:r>
          </w:p>
        </w:tc>
      </w:tr>
    </w:tbl>
    <w:bookmarkEnd w:id="39"/>
    <w:bookmarkStart w:id="40" w:name="资金榜交叉异常提示"/>
    <w:p>
      <w:pPr>
        <w:pStyle w:val="Heading3"/>
      </w:pPr>
      <w:r>
        <w:t xml:space="preserve">⚠️ </w:t>
      </w:r>
      <w:r>
        <w:rPr>
          <w:rFonts w:hint="eastAsia"/>
        </w:rPr>
        <w:t xml:space="preserve">资金榜交叉异常提示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长鑫科技同时进入流入榜与流出榜，两个字段来自采集JSON中不同华泰榜单结果，不能相互抵消或择一替代。</w:t>
      </w:r>
    </w:p>
    <w:p>
      <w:pPr>
        <w:pStyle w:val="Compact"/>
        <w:numPr>
          <w:ilvl w:val="0"/>
          <w:numId w:val="1024"/>
        </w:numPr>
      </w:pPr>
      <w:r>
        <w:t xml:space="preserve">💡 </w:t>
      </w:r>
      <w:r>
        <w:rPr>
          <w:rFonts w:hint="eastAsia"/>
        </w:rPr>
        <w:t xml:space="preserve">对长鑫科技只作“资金口径存在冲突、技术数据不足”处理，不据此给出买入结论。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7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42" w:name="两融余额"/>
    <w:p>
      <w:pPr>
        <w:pStyle w:val="Heading3"/>
      </w:pPr>
      <w:r>
        <w:t xml:space="preserve">💰 </w:t>
      </w:r>
      <w:r>
        <w:rPr>
          <w:rFonts w:hint="eastAsia"/>
        </w:rPr>
        <w:t xml:space="preserve">两融余额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2026-09-09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2026-09-08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26486.01亿元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26515.01亿元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-29.00亿元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26194.03亿元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26226.34亿元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-32.31亿元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291.98亿元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288.67亿元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+3.30亿元</w:t>
            </w:r>
          </w:p>
        </w:tc>
      </w:tr>
    </w:tbl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实际结算日期为</w:t>
      </w:r>
      <w:r>
        <w:t xml:space="preserve"> </w:t>
      </w:r>
      <w:r>
        <w:rPr>
          <w:rFonts w:hint="eastAsia"/>
          <w:b/>
          <w:bCs/>
        </w:rPr>
        <w:t xml:space="preserve">2026年9月9日</w:t>
      </w:r>
      <w:r>
        <w:t xml:space="preserve">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T+1滞后，报告日当日两融尚未发布</w:t>
      </w:r>
      <w:r>
        <w:t xml:space="preserve">。</w:t>
      </w:r>
    </w:p>
    <w:p>
      <w:pPr>
        <w:pStyle w:val="Compact"/>
        <w:numPr>
          <w:ilvl w:val="0"/>
          <w:numId w:val="1025"/>
        </w:numPr>
      </w:pPr>
      <w:r>
        <w:t xml:space="preserve">📉 </w:t>
      </w:r>
      <w:r>
        <w:rPr>
          <w:rFonts w:hint="eastAsia"/>
        </w:rPr>
        <w:t xml:space="preserve">两融余额减少主要由融资余额下降驱动；融券余额反而增加，显示杠杆多头风险偏好边际收缩。</w:t>
      </w:r>
    </w:p>
    <w:p>
      <w:pPr>
        <w:pStyle w:val="Compact"/>
        <w:numPr>
          <w:ilvl w:val="0"/>
          <w:numId w:val="1025"/>
        </w:numPr>
      </w:pPr>
      <w:r>
        <w:t xml:space="preserve">⚠️ </w:t>
      </w:r>
      <w:r>
        <w:rPr>
          <w:rFonts w:hint="eastAsia"/>
        </w:rPr>
        <w:t xml:space="preserve">不能表述为“今日两融减少”，只能描述9月9日相对9月8日的结算变化。</w:t>
      </w:r>
    </w:p>
    <w:bookmarkEnd w:id="42"/>
    <w:bookmarkStart w:id="43" w:name="宽基etf份额变化"/>
    <w:p>
      <w:pPr>
        <w:pStyle w:val="Heading3"/>
      </w:pPr>
      <w:r>
        <w:t xml:space="preserve">💰 </w:t>
      </w:r>
      <w:r>
        <w:rPr>
          <w:rFonts w:hint="eastAsia"/>
        </w:rPr>
        <w:t xml:space="preserve">宽基ETF份额变化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-0.027189亿元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-2.835亿份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-13.106205亿元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-1.208亿份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-9.404280亿元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+3.87亿份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+6.431940亿元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是，连续2个区间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+1.74亿份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+2.817060亿元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是，连续2个区间</w:t>
            </w:r>
          </w:p>
        </w:tc>
      </w:tr>
    </w:tbl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创业板ETF减少800万份，估算净申购为-0.269600亿元。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创业板50ETF减少5900万份，估算净申购为-0.931610亿元。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深证100ETF减少630万份，估算净申购为-0.223083亿元。</w:t>
      </w:r>
    </w:p>
    <w:p>
      <w:pPr>
        <w:pStyle w:val="Compact"/>
        <w:numPr>
          <w:ilvl w:val="0"/>
          <w:numId w:val="1026"/>
        </w:numPr>
      </w:pPr>
      <w:r>
        <w:t xml:space="preserve">💡 </w:t>
      </w:r>
      <w:r>
        <w:rPr>
          <w:rFonts w:hint="eastAsia"/>
        </w:rPr>
        <w:t xml:space="preserve">宽基资金并非全面回流，增量集中在科创50相关ETF；沪深300和中证500ETF仍为净赎回。</w:t>
      </w:r>
    </w:p>
    <w:bookmarkEnd w:id="43"/>
    <w:bookmarkStart w:id="44" w:name="成交额"/>
    <w:p>
      <w:pPr>
        <w:pStyle w:val="Heading3"/>
      </w:pPr>
      <w:r>
        <w:t xml:space="preserve">💰 </w:t>
      </w:r>
      <w:r>
        <w:rPr>
          <w:rFonts w:hint="eastAsia"/>
        </w:rPr>
        <w:t xml:space="preserve">成交额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上一交易日全市场实际成交额：</w:t>
      </w:r>
      <w:r>
        <w:rPr>
          <w:rFonts w:hint="eastAsia"/>
          <w:b/>
          <w:bCs/>
        </w:rPr>
        <w:t xml:space="preserve">18730.67亿元</w:t>
      </w:r>
      <w:r>
        <w:t xml:space="preserve">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采集器中的“当日成交额11020.11亿元”“预测全天16916.03亿元”和“-41.17%”均属于报告日盘中数据，不用于本盘前仓位判断。</w:t>
      </w:r>
    </w:p>
    <w:p>
      <w:pPr>
        <w:pStyle w:val="Compact"/>
        <w:numPr>
          <w:ilvl w:val="0"/>
          <w:numId w:val="1027"/>
        </w:numPr>
      </w:pPr>
      <w:r>
        <w:t xml:space="preserve">💡 </w:t>
      </w:r>
      <w:r>
        <w:rPr>
          <w:rFonts w:hint="eastAsia"/>
        </w:rPr>
        <w:t xml:space="preserve">盘前仅把18730.67亿元作为上一交易日流动性基准，今日必须等待开盘后的真实量价确认。</w:t>
      </w:r>
    </w:p>
    <w:bookmarkEnd w:id="44"/>
    <w:bookmarkStart w:id="45" w:name="etf-qvix"/>
    <w:p>
      <w:pPr>
        <w:pStyle w:val="Heading3"/>
      </w:pPr>
      <w:r>
        <w:t xml:space="preserve">⚠️ 300ETF QVIX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最新结算值：</w:t>
      </w:r>
      <w:r>
        <w:rPr>
          <w:b/>
          <w:bCs/>
        </w:rPr>
        <w:t xml:space="preserve">17.53</w:t>
      </w:r>
      <w:r>
        <w:t xml:space="preserve">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前收盘：</w:t>
      </w:r>
      <w:r>
        <w:rPr>
          <w:b/>
          <w:bCs/>
        </w:rPr>
        <w:t xml:space="preserve">17.51</w:t>
      </w:r>
      <w:r>
        <w:t xml:space="preserve">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较前收盘上涨：</w:t>
      </w:r>
      <w:r>
        <w:rPr>
          <w:b/>
          <w:bCs/>
        </w:rPr>
        <w:t xml:space="preserve">0.02</w:t>
      </w:r>
      <w:r>
        <w:rPr>
          <w:rFonts w:hint="eastAsia"/>
        </w:rPr>
        <w:t xml:space="preserve">，涨幅</w:t>
      </w:r>
      <w:r>
        <w:t xml:space="preserve"> </w:t>
      </w:r>
      <w:r>
        <w:rPr>
          <w:b/>
          <w:bCs/>
        </w:rPr>
        <w:t xml:space="preserve">0.1142%</w:t>
      </w:r>
      <w:r>
        <w:t xml:space="preserve">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20日峰值：</w:t>
      </w:r>
      <w:r>
        <w:rPr>
          <w:b/>
          <w:bCs/>
        </w:rPr>
        <w:t xml:space="preserve">21.35</w:t>
      </w:r>
      <w:r>
        <w:rPr>
          <w:rFonts w:hint="eastAsia"/>
        </w:rPr>
        <w:t xml:space="preserve">，峰值日期为2026年8月25日。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较20日峰值回落：</w:t>
      </w:r>
      <w:r>
        <w:rPr>
          <w:b/>
          <w:bCs/>
        </w:rPr>
        <w:t xml:space="preserve">17.8923%</w:t>
      </w:r>
      <w:r>
        <w:t xml:space="preserve">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虽然相对峰值明显回落，但最新值较前收盘上升，不满足“较峰值回落且较前收盘下降”的高位降温条件。</w:t>
      </w:r>
    </w:p>
    <w:bookmarkEnd w:id="45"/>
    <w:bookmarkStart w:id="46" w:name="联合信号结论"/>
    <w:p>
      <w:pPr>
        <w:pStyle w:val="Heading3"/>
      </w:pPr>
      <w:r>
        <w:t xml:space="preserve">⚠️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 = not_confirmed</w:t>
      </w:r>
      <w:r>
        <w:t xml:space="preserve">。</w:t>
      </w:r>
    </w:p>
    <w:p>
      <w:pPr>
        <w:pStyle w:val="BodyText"/>
      </w:pPr>
      <w:r>
        <w:rPr>
          <w:rFonts w:hint="eastAsia"/>
          <w:b/>
          <w:bCs/>
        </w:rPr>
        <w:t xml:space="preserve">恐慌高位降温与宽基ETF持续流入联合信号未确认。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科创50ETF和科创板50ETF连续流入已经出现。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但300ETF</w:t>
      </w:r>
      <w:r>
        <w:t xml:space="preserve"> </w:t>
      </w:r>
      <w:r>
        <w:rPr>
          <w:rFonts w:hint="eastAsia"/>
        </w:rPr>
        <w:t xml:space="preserve">QVIX未满足降温条件，两融余额又由融资下降主导。</w:t>
      </w:r>
    </w:p>
    <w:p>
      <w:pPr>
        <w:pStyle w:val="Compact"/>
        <w:numPr>
          <w:ilvl w:val="0"/>
          <w:numId w:val="1029"/>
        </w:numPr>
      </w:pPr>
      <w:r>
        <w:t xml:space="preserve">💡 </w:t>
      </w:r>
      <w:r>
        <w:rPr>
          <w:rFonts w:hint="eastAsia"/>
        </w:rPr>
        <w:t xml:space="preserve">结论：结构性增量资金存在，但不足以支持全面提高仓位，应继续采用“右侧确认后加仓”。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48" w:name="市场风格预判"/>
    <w:p>
      <w:pPr>
        <w:pStyle w:val="Heading2"/>
      </w:pPr>
      <w:r>
        <w:t xml:space="preserve">🧭 </w:t>
      </w:r>
      <w:r>
        <w:rPr>
          <w:rFonts w:hint="eastAsia"/>
        </w:rPr>
        <w:t xml:space="preserve">市场风格预判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大盘与小盘：均衡偏谨慎。</w:t>
      </w:r>
      <w:r>
        <w:t xml:space="preserve"> </w:t>
      </w:r>
      <w:r>
        <w:rPr>
          <w:rFonts w:hint="eastAsia"/>
        </w:rPr>
        <w:t xml:space="preserve">沪深300ETF、中证500ETF均出现净赎回，缺乏明确风格资金胜负。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成长与价值：科技硬件成长＋资源防守并存。</w:t>
      </w:r>
      <w:r>
        <w:t xml:space="preserve"> </w:t>
      </w:r>
      <w:r>
        <w:rPr>
          <w:rFonts w:hint="eastAsia"/>
        </w:rPr>
        <w:t xml:space="preserve">通信设备、元件强流入，电力、航运、贵金属和工业金属同时获资金承接。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硬件与应用：硬件明显占优。</w:t>
      </w:r>
      <w:r>
        <w:t xml:space="preserve"> </w:t>
      </w:r>
      <w:r>
        <w:rPr>
          <w:rFonts w:hint="eastAsia"/>
        </w:rPr>
        <w:t xml:space="preserve">通信设备、元件流入，而IT服务、计算机设备、数字媒体、游戏和软件开发流出。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高估值与低估值：优先业绩可验证。</w:t>
      </w:r>
      <w:r>
        <w:t xml:space="preserve"> </w:t>
      </w:r>
      <w:r>
        <w:rPr>
          <w:rFonts w:hint="eastAsia"/>
        </w:rPr>
        <w:t xml:space="preserve">高估值科技仅参与趋势确认，资源、电力和航运承担防守功能。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海外映射：存储强于半导体整体。</w:t>
      </w:r>
      <w:r>
        <w:t xml:space="preserve"> </w:t>
      </w:r>
      <w:r>
        <w:rPr>
          <w:rFonts w:hint="eastAsia"/>
        </w:rPr>
        <w:t xml:space="preserve">美光上涨2.75%，但A股半导体行业上一交易日净流出65.48亿元，需等待分歧收敛。</w:t>
      </w:r>
    </w:p>
    <w:p>
      <w:r>
        <w:pict>
          <v:rect style="width:0;height:1.5pt" o:hralign="center" o:hrstd="t" o:hr="t"/>
        </w:pict>
      </w:r>
    </w:p>
    <w:bookmarkEnd w:id="48"/>
    <w:bookmarkStart w:id="49" w:name="行为金融与交易偏差防线"/>
    <w:p>
      <w:pPr>
        <w:pStyle w:val="Heading2"/>
      </w:pPr>
      <w:r>
        <w:t xml:space="preserve">🧠 </w:t>
      </w:r>
      <w:r>
        <w:rPr>
          <w:rFonts w:hint="eastAsia"/>
        </w:rPr>
        <w:t xml:space="preserve">行为金融与交易偏差防线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给出的结论为“行为金融信号中性”、风险分数1，但该字段混入报告日盘中市场宽度和成交数据，不能直接作为盘前加仓依据。</w:t>
      </w:r>
    </w:p>
    <w:p>
      <w:pPr>
        <w:pStyle w:val="BodyText"/>
      </w:pPr>
      <w:r>
        <w:rPr>
          <w:rFonts w:hint="eastAsia"/>
        </w:rPr>
        <w:t xml:space="preserve">盘前应重点防范：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FOMO追涨</w:t>
      </w:r>
      <w:r>
        <w:rPr>
          <w:rFonts w:hint="eastAsia"/>
        </w:rPr>
        <w:t xml:space="preserve">：通信设备和元件资金流入居前，容易形成对热门硬件股的注意力集中；A/B评级同样禁止追高。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锚定偏差</w:t>
      </w:r>
      <w:r>
        <w:rPr>
          <w:rFonts w:hint="eastAsia"/>
        </w:rPr>
        <w:t xml:space="preserve">：不能因为中际旭创、东山精密、华工科技进入资金流入榜，就忽略TickFlow日K仍为D级。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确认偏误</w:t>
      </w:r>
      <w:r>
        <w:rPr>
          <w:rFonts w:hint="eastAsia"/>
        </w:rPr>
        <w:t xml:space="preserve">：海外AMD、美光上涨并不代表A股整个半导体行业转强，国内行业资金仍大幅净流出。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羊群与拥挤</w:t>
      </w:r>
      <w:r>
        <w:rPr>
          <w:rFonts w:hint="eastAsia"/>
        </w:rPr>
        <w:t xml:space="preserve">：东山精密上一交易日PE</w:t>
      </w:r>
      <w:r>
        <w:t xml:space="preserve"> </w:t>
      </w:r>
      <w:r>
        <w:rPr>
          <w:rFonts w:hint="eastAsia"/>
        </w:rPr>
        <w:t xml:space="preserve">100.2倍、换手率6.016%；华工科技PE</w:t>
      </w:r>
      <w:r>
        <w:t xml:space="preserve"> </w:t>
      </w:r>
      <w:r>
        <w:rPr>
          <w:rFonts w:hint="eastAsia"/>
        </w:rPr>
        <w:t xml:space="preserve">62.66倍、换手率10.07%，高换手后追涨赔率下降。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处置效应</w:t>
      </w:r>
      <w:r>
        <w:rPr>
          <w:rFonts w:hint="eastAsia"/>
        </w:rPr>
        <w:t xml:space="preserve">：趋势破位股反弹时不能因成本锚定拒绝减仓；必须以MA20、MA60和ATR证伪线执行。</w:t>
      </w:r>
    </w:p>
    <w:p>
      <w:r>
        <w:pict>
          <v:rect style="width:0;height:1.5pt" o:hralign="center" o:hrstd="t" o:hr="t"/>
        </w:pict>
      </w:r>
    </w:p>
    <w:bookmarkEnd w:id="49"/>
    <w:bookmarkStart w:id="55" w:name="投资方向分层"/>
    <w:p>
      <w:pPr>
        <w:pStyle w:val="Heading2"/>
      </w:pPr>
      <w:r>
        <w:t xml:space="preserve">🧱 </w:t>
      </w:r>
      <w:r>
        <w:rPr>
          <w:rFonts w:hint="eastAsia"/>
        </w:rPr>
        <w:t xml:space="preserve">投资方向分层</w:t>
      </w:r>
    </w:p>
    <w:bookmarkStart w:id="50" w:name="可参与资源电力与航运的趋势确认机会"/>
    <w:p>
      <w:pPr>
        <w:pStyle w:val="Heading3"/>
      </w:pPr>
      <w:r>
        <w:t xml:space="preserve">📈 </w:t>
      </w:r>
      <w:r>
        <w:rPr>
          <w:rFonts w:hint="eastAsia"/>
        </w:rPr>
        <w:t xml:space="preserve">可参与：资源、电力与航运的趋势确认机会</w:t>
      </w:r>
    </w:p>
    <w:p>
      <w:pPr>
        <w:pStyle w:val="FirstParagraph"/>
      </w:pPr>
      <w:r>
        <w:rPr>
          <w:rFonts w:hint="eastAsia"/>
          <w:b/>
          <w:bCs/>
        </w:rPr>
        <w:t xml:space="preserve">证据链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电力净流入13.15亿元、航运港口净流入11.31亿元。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贵金属净流入9.02亿元、工业金属净流入8.88亿元。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中东油轮、军舰及军事基地冲突提升能源与航运风险溢价。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新闻联播确认海洋油气原位扩容平台投入使用，海工技术和能源安全逻辑得到强化。</w:t>
      </w:r>
    </w:p>
    <w:p>
      <w:pPr>
        <w:pStyle w:val="FirstParagraph"/>
      </w:pPr>
      <w:r>
        <w:rPr>
          <w:rFonts w:hint="eastAsia"/>
          <w:b/>
          <w:bCs/>
        </w:rPr>
        <w:t xml:space="preserve">核心标的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采集JSON未提供该方向完整重点股TickFlow技术评级，本轮不列具体核心标的。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中国巨石虽属于玻璃玻纤资金方向，但TickFlow评级为D，不纳入可参与核心标的。</w:t>
      </w:r>
    </w:p>
    <w:p>
      <w:pPr>
        <w:pStyle w:val="FirstParagraph"/>
      </w:pPr>
      <w:r>
        <w:rPr>
          <w:rFonts w:hint="eastAsia"/>
          <w:b/>
          <w:bCs/>
        </w:rPr>
        <w:t xml:space="preserve">触发条件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板块回踩不破趋势支撑后重新放量。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板块资金继续净流入，且龙头不出现高开低走。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油气、贵金属仅接受分歧转强，不追地缘事件刺激的加速段。</w:t>
      </w:r>
    </w:p>
    <w:p>
      <w:pPr>
        <w:pStyle w:val="FirstParagraph"/>
      </w:pPr>
      <w:r>
        <w:rPr>
          <w:rFonts w:hint="eastAsia"/>
          <w:b/>
          <w:bCs/>
        </w:rPr>
        <w:t xml:space="preserve">失效条件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事件风险快速缓和，商品价格与板块资金同步转弱。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龙头跌破趋势线或放量跌破关键支撑。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板块仅剩个别高位股维持，扩散和中军承接消失。</w:t>
      </w:r>
    </w:p>
    <w:bookmarkEnd w:id="50"/>
    <w:bookmarkStart w:id="51" w:name="可参与但必须等确认远东股份"/>
    <w:p>
      <w:pPr>
        <w:pStyle w:val="Heading3"/>
      </w:pPr>
      <w:r>
        <w:t xml:space="preserve">📈 </w:t>
      </w:r>
      <w:r>
        <w:rPr>
          <w:rFonts w:hint="eastAsia"/>
        </w:rPr>
        <w:t xml:space="preserve">可参与但必须等确认：远东股份</w:t>
      </w:r>
    </w:p>
    <w:p>
      <w:pPr>
        <w:pStyle w:val="FirstParagraph"/>
      </w:pPr>
      <w:r>
        <w:rPr>
          <w:rFonts w:hint="eastAsia"/>
          <w:b/>
          <w:bCs/>
        </w:rPr>
        <w:t xml:space="preserve">技术与行动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TickFlow日K截至2026年9月8日，评级</w:t>
      </w:r>
      <w:r>
        <w:t xml:space="preserve"> </w:t>
      </w:r>
      <w:r>
        <w:rPr>
          <w:b/>
          <w:bCs/>
        </w:rPr>
        <w:t xml:space="preserve">A</w:t>
      </w:r>
      <w:r>
        <w:rPr>
          <w:rFonts w:hint="eastAsia"/>
        </w:rPr>
        <w:t xml:space="preserve">，右侧趋势确认。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收盘22.66元，MA20为17.936元，MA60为21.4027元，位于两条均线上方。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20日动量为+44.6999%，5日量比1.2026，距离60日高点37.77元仍为-40.01%。</w:t>
      </w:r>
    </w:p>
    <w:p>
      <w:pPr>
        <w:pStyle w:val="Compact"/>
        <w:numPr>
          <w:ilvl w:val="0"/>
          <w:numId w:val="1036"/>
        </w:numPr>
      </w:pPr>
      <w:r>
        <w:t xml:space="preserve">💡 </w:t>
      </w:r>
      <w:r>
        <w:rPr>
          <w:rFonts w:hint="eastAsia"/>
        </w:rPr>
        <w:t xml:space="preserve">明确行动：不追高；等待站稳前高，或缩量回踩MA20不破后再放量确认。</w:t>
      </w:r>
    </w:p>
    <w:p>
      <w:pPr>
        <w:pStyle w:val="FirstParagraph"/>
      </w:pPr>
      <w:r>
        <w:rPr>
          <w:rFonts w:hint="eastAsia"/>
          <w:b/>
          <w:bCs/>
        </w:rPr>
        <w:t xml:space="preserve">触发条件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收盘站稳37.77元且量比不低于1.2；或先缩量回踩MA20，再放量转强。</w:t>
      </w:r>
    </w:p>
    <w:p>
      <w:pPr>
        <w:pStyle w:val="FirstParagraph"/>
      </w:pPr>
      <w:r>
        <w:rPr>
          <w:rFonts w:hint="eastAsia"/>
          <w:b/>
          <w:bCs/>
        </w:rPr>
        <w:t xml:space="preserve">失效条件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收盘跌破17.146元ATR证伪参考线。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放量上涨后快速跌回MA20下方。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资金从电力设备或相关产业链持续撤离。</w:t>
      </w:r>
    </w:p>
    <w:bookmarkEnd w:id="51"/>
    <w:bookmarkStart w:id="52" w:name="只观察生益科技"/>
    <w:p>
      <w:pPr>
        <w:pStyle w:val="Heading3"/>
      </w:pPr>
      <w:r>
        <w:t xml:space="preserve">👀 </w:t>
      </w:r>
      <w:r>
        <w:rPr>
          <w:rFonts w:hint="eastAsia"/>
        </w:rPr>
        <w:t xml:space="preserve">只观察：生益科技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TickFlow评级</w:t>
      </w:r>
      <w:r>
        <w:t xml:space="preserve"> </w:t>
      </w:r>
      <w:r>
        <w:rPr>
          <w:b/>
          <w:bCs/>
        </w:rPr>
        <w:t xml:space="preserve">B</w:t>
      </w:r>
      <w:r>
        <w:rPr>
          <w:rFonts w:hint="eastAsia"/>
        </w:rPr>
        <w:t xml:space="preserve">，截至2026年9月8日收盘146.28元。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MA20为139.5885元，MA60为143.5893元，股价位于两条均线上方。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60日高点187.20元，距离高点-21.86%；5日量比0.9613，尚未形成放量突破。</w:t>
      </w:r>
    </w:p>
    <w:p>
      <w:pPr>
        <w:pStyle w:val="Compact"/>
        <w:numPr>
          <w:ilvl w:val="0"/>
          <w:numId w:val="1039"/>
        </w:numPr>
      </w:pPr>
      <w:r>
        <w:t xml:space="preserve">💡 </w:t>
      </w:r>
      <w:r>
        <w:rPr>
          <w:rFonts w:hint="eastAsia"/>
        </w:rPr>
        <w:t xml:space="preserve">行动：等待放量突破前高；回踩MA20不破可继续观察，禁止提前追涨。</w:t>
      </w:r>
    </w:p>
    <w:p>
      <w:pPr>
        <w:pStyle w:val="Compact"/>
        <w:numPr>
          <w:ilvl w:val="0"/>
          <w:numId w:val="1039"/>
        </w:numPr>
      </w:pPr>
      <w:r>
        <w:t xml:space="preserve">⚠️ </w:t>
      </w:r>
      <w:r>
        <w:rPr>
          <w:rFonts w:hint="eastAsia"/>
        </w:rPr>
        <w:t xml:space="preserve">失效参考：收盘跌破134.177元。</w:t>
      </w:r>
    </w:p>
    <w:bookmarkEnd w:id="52"/>
    <w:bookmarkStart w:id="53" w:name="只观察科创50相关宽基方向"/>
    <w:p>
      <w:pPr>
        <w:pStyle w:val="Heading3"/>
      </w:pPr>
      <w:r>
        <w:t xml:space="preserve">👀 </w:t>
      </w:r>
      <w:r>
        <w:rPr>
          <w:rFonts w:hint="eastAsia"/>
        </w:rPr>
        <w:t xml:space="preserve">只观察：科创50相关宽基方向</w:t>
      </w:r>
    </w:p>
    <w:p>
      <w:pPr>
        <w:pStyle w:val="FirstParagraph"/>
      </w:pPr>
      <w:r>
        <w:rPr>
          <w:rFonts w:hint="eastAsia"/>
          <w:b/>
          <w:bCs/>
        </w:rPr>
        <w:t xml:space="preserve">证据链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科创50ETF连续2个区间份额增加，最新估算净申购6.431940亿元。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科创板50ETF连续2个区间增加，最新估算净申购2.817060亿元。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但融资余额下降、QVIX降温未确认，增量资金仍是局部而非全面。</w:t>
      </w:r>
    </w:p>
    <w:p>
      <w:pPr>
        <w:pStyle w:val="FirstParagraph"/>
      </w:pPr>
      <w:r>
        <w:rPr>
          <w:rFonts w:hint="eastAsia"/>
          <w:b/>
          <w:bCs/>
        </w:rPr>
        <w:t xml:space="preserve">触发条件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科创50ETF份额继续增加。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科创50指数站稳关键均线且成交额同步放大。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半导体行业资金流出显著收敛。</w:t>
      </w:r>
    </w:p>
    <w:p>
      <w:pPr>
        <w:pStyle w:val="FirstParagraph"/>
      </w:pPr>
      <w:r>
        <w:rPr>
          <w:rFonts w:hint="eastAsia"/>
          <w:b/>
          <w:bCs/>
        </w:rPr>
        <w:t xml:space="preserve">失效条件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科创50ETF份额由增转减。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半导体继续大额流出，指数反弹无量。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宽基ETF资金仅托指数、不改善核心股趋势。</w:t>
      </w:r>
    </w:p>
    <w:bookmarkEnd w:id="53"/>
    <w:bookmarkStart w:id="54" w:name="应回避d级趋势破位科技股"/>
    <w:p>
      <w:pPr>
        <w:pStyle w:val="Heading3"/>
      </w:pPr>
      <w:r>
        <w:t xml:space="preserve">⛔ </w:t>
      </w:r>
      <w:r>
        <w:rPr>
          <w:rFonts w:hint="eastAsia"/>
        </w:rPr>
        <w:t xml:space="preserve">应回避：D级趋势破位科技股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MA60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262.4175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254.2447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回避，重新站回均线后复评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888.4995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1032.1482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回避，站回MA60后复评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195.7380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216.3205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回避，重新站回MA20/MA60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104.2460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125.3592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回避，趋势修复前不参与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42.5010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48.3865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回避，等待均线修复</w:t>
            </w:r>
          </w:p>
        </w:tc>
      </w:tr>
    </w:tbl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亨通光电评级D，MA20为63.60元、MA60为73.1635元，证伪参考61.388元。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新易盛评级D，MA20为415.404元、MA60为474.135元，证伪参考400.705元。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长鑫科技日K历史仅33个交易日，缺少MA60，评级因技术数据不足暂不评级；加之同时出现在资金流入与流出榜，暂不判断。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6" w:name="核心股基本面与估值校验"/>
    <w:p>
      <w:pPr>
        <w:pStyle w:val="Heading2"/>
      </w:pPr>
      <w:r>
        <w:t xml:space="preserve">🧾 </w:t>
      </w:r>
      <w:r>
        <w:rPr>
          <w:rFonts w:hint="eastAsia"/>
        </w:rPr>
        <w:t xml:space="preserve">核心股基本面与估值校验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2026中报营收同比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净利润同比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ROE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PE(TTM)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+15.15%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+33.91%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19.60%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121.20倍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+182.50%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+247.30%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37.62%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52.34倍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+63.95%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+293.50%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12.88%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100.20倍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+2.527%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+31.95%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10.23%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62.66倍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+22.50%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+72.29%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9.06%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37.69倍</w:t>
            </w:r>
          </w:p>
        </w:tc>
      </w:tr>
    </w:tbl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中际旭创业绩增速最强，但市值10710亿元、PB</w:t>
      </w:r>
      <w:r>
        <w:t xml:space="preserve"> </w:t>
      </w:r>
      <w:r>
        <w:rPr>
          <w:rFonts w:hint="eastAsia"/>
        </w:rPr>
        <w:t xml:space="preserve">26.86倍，且技术评级D，业绩增长不能替代趋势确认。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东山精密净利润增速高，但PE</w:t>
      </w:r>
      <w:r>
        <w:t xml:space="preserve"> </w:t>
      </w:r>
      <w:r>
        <w:rPr>
          <w:rFonts w:hint="eastAsia"/>
        </w:rPr>
        <w:t xml:space="preserve">100.20倍、PB</w:t>
      </w:r>
      <w:r>
        <w:t xml:space="preserve"> </w:t>
      </w:r>
      <w:r>
        <w:rPr>
          <w:rFonts w:hint="eastAsia"/>
        </w:rPr>
        <w:t xml:space="preserve">14.74倍，估值已包含较高增长预期。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华工科技营收同比仅增长2.527%，利润增长快于收入，需进一步核验利润增长质量。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天孚通信PE</w:t>
      </w:r>
      <w:r>
        <w:t xml:space="preserve"> </w:t>
      </w:r>
      <w:r>
        <w:rPr>
          <w:rFonts w:hint="eastAsia"/>
        </w:rPr>
        <w:t xml:space="preserve">121.20倍、PB</w:t>
      </w:r>
      <w:r>
        <w:t xml:space="preserve"> </w:t>
      </w:r>
      <w:r>
        <w:rPr>
          <w:rFonts w:hint="eastAsia"/>
        </w:rPr>
        <w:t xml:space="preserve">45.04倍，估值敏感度高，任何增长放缓都可能引发压缩。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中国巨石估值低于上述科技股，但技术评级D，不能因估值相对较低逆势抄底。</w:t>
      </w:r>
    </w:p>
    <w:p>
      <w:pPr>
        <w:pStyle w:val="Compact"/>
        <w:numPr>
          <w:ilvl w:val="0"/>
          <w:numId w:val="1044"/>
        </w:numPr>
      </w:pPr>
      <w:r>
        <w:rPr>
          <w:rStyle w:val="VerbatimChar"/>
        </w:rPr>
        <w:t xml:space="preserve">financial_rigor</w:t>
      </w:r>
      <w:r>
        <w:rPr>
          <w:rFonts w:hint="eastAsia"/>
        </w:rPr>
        <w:t xml:space="preserve">独立验算结果未形成明确可用结论，相关财务数字以妙想mx-data只读数据为准。</w:t>
      </w:r>
    </w:p>
    <w:p>
      <w:r>
        <w:pict>
          <v:rect style="width:0;height:1.5pt" o:hralign="center" o:hrstd="t" o:hr="t"/>
        </w:pict>
      </w:r>
    </w:p>
    <w:bookmarkEnd w:id="56"/>
    <w:bookmarkStart w:id="60" w:name="今日操作策略"/>
    <w:p>
      <w:pPr>
        <w:pStyle w:val="Heading2"/>
      </w:pPr>
      <w:r>
        <w:t xml:space="preserve">💡 </w:t>
      </w:r>
      <w:r>
        <w:rPr>
          <w:rFonts w:hint="eastAsia"/>
        </w:rPr>
        <w:t xml:space="preserve">今日操作策略</w:t>
      </w:r>
    </w:p>
    <w:bookmarkStart w:id="57" w:name="保守档1020"/>
    <w:p>
      <w:pPr>
        <w:pStyle w:val="Heading3"/>
      </w:pPr>
      <w:r>
        <w:t xml:space="preserve">🛡️ </w:t>
      </w:r>
      <w:r>
        <w:rPr>
          <w:rFonts w:hint="eastAsia"/>
        </w:rPr>
        <w:t xml:space="preserve">保守档：10%—20%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外盘弱势传导，A股低开后无量反抽。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通信设备、元件资金承接明显减弱。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半导体流出继续扩大，科创50相关ETF承接失效。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只保留趋势明确的底仓。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D级标的不抄底、不补仓。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新开仓必须等待缩量回踩不破和再放量确认。</w:t>
      </w:r>
    </w:p>
    <w:bookmarkEnd w:id="57"/>
    <w:bookmarkStart w:id="58" w:name="均衡档3040"/>
    <w:p>
      <w:pPr>
        <w:pStyle w:val="Heading3"/>
      </w:pPr>
      <w:r>
        <w:t xml:space="preserve">⚖️ </w:t>
      </w:r>
      <w:r>
        <w:rPr>
          <w:rFonts w:hint="eastAsia"/>
        </w:rPr>
        <w:t xml:space="preserve">均衡档：30%—40%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指数低开后稳定，上一交易日强资金方向未出现集体破位。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资源、电力、航运与科技硬件保持轮动，而非单边退潮。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成交额维持有效承接，板块中军未出现放量长阴。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20%配置右侧趋势或防守方向。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10%—20%作为确认仓，只在回踩不破后加入。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单一高估值科技方向不超过总仓位的15%。</w:t>
      </w:r>
    </w:p>
    <w:bookmarkEnd w:id="58"/>
    <w:bookmarkStart w:id="59" w:name="进取档4050"/>
    <w:p>
      <w:pPr>
        <w:pStyle w:val="Heading3"/>
      </w:pPr>
      <w:r>
        <w:t xml:space="preserve">🚀 </w:t>
      </w:r>
      <w:r>
        <w:rPr>
          <w:rFonts w:hint="eastAsia"/>
        </w:rPr>
        <w:t xml:space="preserve">进取档：40%—50%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指数放量修复，通信设备、元件继续获得资金净流入。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科创50相关ETF持续增加份额。</w:t>
      </w:r>
    </w:p>
    <w:p>
      <w:pPr>
        <w:pStyle w:val="Compact"/>
        <w:numPr>
          <w:ilvl w:val="0"/>
          <w:numId w:val="1049"/>
        </w:numPr>
      </w:pPr>
      <w:r>
        <w:t xml:space="preserve">300ETF </w:t>
      </w:r>
      <w:r>
        <w:rPr>
          <w:rFonts w:hint="eastAsia"/>
        </w:rPr>
        <w:t xml:space="preserve">QVIX转为较前收盘下降，联合信号改善。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A/B级候选完成放量突破或缩量回踩后的再放量。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首次确认仓不超过30%。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二次确认后提高至40%—50%。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不因高开或盘中急拉直接使用进取仓位。</w:t>
      </w:r>
    </w:p>
    <w:p>
      <w:r>
        <w:pict>
          <v:rect style="width:0;height:1.5pt" o:hralign="center" o:hrstd="t" o:hr="t"/>
        </w:pict>
      </w:r>
    </w:p>
    <w:bookmarkEnd w:id="59"/>
    <w:bookmarkEnd w:id="60"/>
    <w:bookmarkStart w:id="64" w:name="仓位模型量化推导"/>
    <w:p>
      <w:pPr>
        <w:pStyle w:val="Heading2"/>
      </w:pPr>
      <w:r>
        <w:t xml:space="preserve">🧮 </w:t>
      </w:r>
      <w:r>
        <w:rPr>
          <w:rFonts w:hint="eastAsia"/>
        </w:rPr>
        <w:t xml:space="preserve">仓位模型量化推导</w:t>
      </w:r>
    </w:p>
    <w:bookmarkStart w:id="61" w:name="正向因素"/>
    <w:p>
      <w:pPr>
        <w:pStyle w:val="Heading3"/>
      </w:pPr>
      <w:r>
        <w:t xml:space="preserve">📊 </w:t>
      </w:r>
      <w:r>
        <w:rPr>
          <w:rFonts w:hint="eastAsia"/>
        </w:rPr>
        <w:t xml:space="preserve">正向因素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科创50ETF连续2个区间流入：</w:t>
      </w:r>
      <w:r>
        <w:rPr>
          <w:rFonts w:hint="eastAsia"/>
          <w:b/>
          <w:bCs/>
        </w:rPr>
        <w:t xml:space="preserve">+5分</w:t>
      </w:r>
      <w:r>
        <w:t xml:space="preserve">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科创板50ETF连续2个区间流入：</w:t>
      </w:r>
      <w:r>
        <w:rPr>
          <w:rFonts w:hint="eastAsia"/>
          <w:b/>
          <w:bCs/>
        </w:rPr>
        <w:t xml:space="preserve">+3分</w:t>
      </w:r>
      <w:r>
        <w:t xml:space="preserve">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上一交易日成交额18730.67亿元，流动性绝对规模仍高：</w:t>
      </w:r>
      <w:r>
        <w:rPr>
          <w:rFonts w:hint="eastAsia"/>
          <w:b/>
          <w:bCs/>
        </w:rPr>
        <w:t xml:space="preserve">+5分</w:t>
      </w:r>
      <w:r>
        <w:t xml:space="preserve">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通信设备、元件分别净流入51.01亿元、49.63亿元，主线资金集中：</w:t>
      </w:r>
      <w:r>
        <w:rPr>
          <w:rFonts w:hint="eastAsia"/>
          <w:b/>
          <w:bCs/>
        </w:rPr>
        <w:t xml:space="preserve">+5分</w:t>
      </w:r>
      <w:r>
        <w:t xml:space="preserve">。</w:t>
      </w:r>
    </w:p>
    <w:bookmarkEnd w:id="61"/>
    <w:bookmarkStart w:id="62" w:name="负向因素"/>
    <w:p>
      <w:pPr>
        <w:pStyle w:val="Heading3"/>
      </w:pPr>
      <w:r>
        <w:t xml:space="preserve">📉 </w:t>
      </w:r>
      <w:r>
        <w:rPr>
          <w:rFonts w:hint="eastAsia"/>
        </w:rPr>
        <w:t xml:space="preserve">负向因素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两融余额减少29.00亿元，且融资余额下降32.31亿元：</w:t>
      </w:r>
      <w:r>
        <w:rPr>
          <w:rFonts w:hint="eastAsia"/>
          <w:b/>
          <w:bCs/>
        </w:rPr>
        <w:t xml:space="preserve">-5分</w:t>
      </w:r>
      <w:r>
        <w:t xml:space="preserve">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沪深300ETF估算净申购-13.106205亿元：</w:t>
      </w:r>
      <w:r>
        <w:rPr>
          <w:rFonts w:hint="eastAsia"/>
          <w:b/>
          <w:bCs/>
        </w:rPr>
        <w:t xml:space="preserve">-5分</w:t>
      </w:r>
      <w:r>
        <w:t xml:space="preserve">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中证500ETF估算净申购-9.404280亿元：</w:t>
      </w:r>
      <w:r>
        <w:rPr>
          <w:rFonts w:hint="eastAsia"/>
          <w:b/>
          <w:bCs/>
        </w:rPr>
        <w:t xml:space="preserve">-3分</w:t>
      </w:r>
      <w:r>
        <w:t xml:space="preserve">。</w:t>
      </w:r>
    </w:p>
    <w:p>
      <w:pPr>
        <w:pStyle w:val="Compact"/>
        <w:numPr>
          <w:ilvl w:val="0"/>
          <w:numId w:val="1052"/>
        </w:numPr>
      </w:pPr>
      <w:r>
        <w:t xml:space="preserve">300ETF </w:t>
      </w:r>
      <w:r>
        <w:rPr>
          <w:rFonts w:hint="eastAsia"/>
        </w:rPr>
        <w:t xml:space="preserve">QVIX较前收盘上涨0.1142%，恐慌降温不成立：</w:t>
      </w:r>
      <w:r>
        <w:rPr>
          <w:rFonts w:hint="eastAsia"/>
          <w:b/>
          <w:bCs/>
        </w:rPr>
        <w:t xml:space="preserve">-3分</w:t>
      </w:r>
      <w:r>
        <w:t xml:space="preserve">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半导体净流出65.48亿元，与海外局部科技利好形成冲突：</w:t>
      </w:r>
      <w:r>
        <w:rPr>
          <w:rFonts w:hint="eastAsia"/>
          <w:b/>
          <w:bCs/>
        </w:rPr>
        <w:t xml:space="preserve">-5分</w:t>
      </w:r>
      <w:r>
        <w:t xml:space="preserve">。</w:t>
      </w:r>
    </w:p>
    <w:bookmarkEnd w:id="62"/>
    <w:bookmarkStart w:id="63" w:name="模型结论"/>
    <w:p>
      <w:pPr>
        <w:pStyle w:val="Heading3"/>
      </w:pPr>
      <w:r>
        <w:t xml:space="preserve">💡 </w:t>
      </w:r>
      <w:r>
        <w:rPr>
          <w:rFonts w:hint="eastAsia"/>
        </w:rPr>
        <w:t xml:space="preserve">模型结论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多空加减分相抵后，盘前基准仓位取</w:t>
      </w:r>
      <w:r>
        <w:t xml:space="preserve"> </w:t>
      </w:r>
      <w:r>
        <w:rPr>
          <w:b/>
          <w:bCs/>
        </w:rPr>
        <w:t xml:space="preserve">30%—40%</w:t>
      </w:r>
      <w:r>
        <w:t xml:space="preserve">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最大仓位上限为</w:t>
      </w:r>
      <w:r>
        <w:t xml:space="preserve"> </w:t>
      </w:r>
      <w:r>
        <w:rPr>
          <w:b/>
          <w:bCs/>
        </w:rPr>
        <w:t xml:space="preserve">50%</w:t>
      </w:r>
      <w:r>
        <w:rPr>
          <w:rFonts w:hint="eastAsia"/>
        </w:rPr>
        <w:t xml:space="preserve">，低于采集器盘中自动模型所给出的激进扩仓空间。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若开盘后无量、热门硬件高开低走，降至</w:t>
      </w:r>
      <w:r>
        <w:t xml:space="preserve"> </w:t>
      </w:r>
      <w:r>
        <w:rPr>
          <w:b/>
          <w:bCs/>
        </w:rPr>
        <w:t xml:space="preserve">10%—20%</w:t>
      </w:r>
      <w:r>
        <w:t xml:space="preserve">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只有在ETF、QVIX、成交额和主线资金共同改善后，才允许提高至</w:t>
      </w:r>
      <w:r>
        <w:t xml:space="preserve"> </w:t>
      </w:r>
      <w:r>
        <w:rPr>
          <w:b/>
          <w:bCs/>
        </w:rPr>
        <w:t xml:space="preserve">40%—50%</w:t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63"/>
    <w:bookmarkEnd w:id="64"/>
    <w:bookmarkStart w:id="65" w:name="回避清单"/>
    <w:p>
      <w:pPr>
        <w:pStyle w:val="Heading2"/>
      </w:pPr>
      <w:r>
        <w:t xml:space="preserve">⛔ </w:t>
      </w:r>
      <w:r>
        <w:rPr>
          <w:rFonts w:hint="eastAsia"/>
        </w:rPr>
        <w:t xml:space="preserve">回避清单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半导体整体行业：上一交易日净流出65.48亿元，未确认全行业转强。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IT服务Ⅱ、计算机设备、数字媒体、游戏Ⅱ、软件开发、广告营销：资金集中流出。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天孚通信、中际旭创、东山精密、华工科技、中国巨石、亨通光电、新易盛：TickFlow评级D，趋势修复前回避。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长鑫科技：技术历史不足且资金榜方向冲突，不作判断。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毕得医药、安必平、中重科技等新增减持计划股：先回避公告冲击。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*ST卓然、*ST数源、ST百灵：立案、退市风险或行政处罚事项未消除。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控制权变更及重组概念：上海亚虹、经纬股份处于停牌状态；同类题材不追无公告支撑的映射股。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地缘冲突加速股：油气、黄金、航运若出现连续高开，不追涨。</w:t>
      </w:r>
    </w:p>
    <w:p>
      <w:r>
        <w:pict>
          <v:rect style="width:0;height:1.5pt" o:hralign="center" o:hrstd="t" o:hr="t"/>
        </w:pict>
      </w:r>
    </w:p>
    <w:bookmarkEnd w:id="65"/>
    <w:bookmarkStart w:id="66" w:name="风险日历"/>
    <w:p>
      <w:pPr>
        <w:pStyle w:val="Heading2"/>
      </w:pPr>
      <w:r>
        <w:t xml:space="preserve">⚠️ </w:t>
      </w:r>
      <w:r>
        <w:rPr>
          <w:rFonts w:hint="eastAsia"/>
        </w:rPr>
        <w:t xml:space="preserve">风险日历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  <w:b/>
          <w:bCs/>
        </w:rPr>
        <w:t xml:space="preserve">9月10日</w:t>
      </w:r>
      <w:r>
        <w:rPr>
          <w:rFonts w:hint="eastAsia"/>
        </w:rPr>
        <w:t xml:space="preserve">：今日公告集中生效，减持、回购、停牌、重组及监管事项需逐项核查。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  <w:b/>
          <w:bCs/>
        </w:rPr>
        <w:t xml:space="preserve">9月10日</w:t>
      </w:r>
      <w:r>
        <w:rPr>
          <w:rFonts w:hint="eastAsia"/>
        </w:rPr>
        <w:t xml:space="preserve">：两融仅有9月9日结算数据，报告日数据尚未发布。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  <w:b/>
          <w:bCs/>
        </w:rPr>
        <w:t xml:space="preserve">9月11日</w:t>
      </w:r>
      <w:r>
        <w:rPr>
          <w:rFonts w:hint="eastAsia"/>
        </w:rPr>
        <w:t xml:space="preserve">：采集新闻提及燧原科技拟于科创板上市，但未在公告主源精选项中复核，具体安排当前未获公告主源复核。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  <w:b/>
          <w:bCs/>
        </w:rPr>
        <w:t xml:space="preserve">9月16日—9月17日</w:t>
      </w:r>
      <w:r>
        <w:rPr>
          <w:rFonts w:hint="eastAsia"/>
        </w:rPr>
        <w:t xml:space="preserve">：妙想新闻提及天孚通信权益分派登记及除权除息安排，未在本轮公告主源精选项中复核，当前未获本轮公告主源复核。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  <w:b/>
          <w:bCs/>
        </w:rPr>
        <w:t xml:space="preserve">9月23日—10月8日</w:t>
      </w:r>
      <w:r>
        <w:rPr>
          <w:rFonts w:hint="eastAsia"/>
        </w:rPr>
        <w:t xml:space="preserve">：中秋国庆铁路运输窗口，共16天；旅游出行链可能提前交易预期。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  <w:b/>
          <w:bCs/>
        </w:rPr>
        <w:t xml:space="preserve">海外宏观日历</w:t>
      </w:r>
      <w:r>
        <w:rPr>
          <w:rFonts w:hint="eastAsia"/>
        </w:rPr>
        <w:t xml:space="preserve">：本轮采集JSON未提供完整、可核验的具体发布时间表，不补充未经核验的时间和数值。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  <w:b/>
          <w:bCs/>
        </w:rPr>
        <w:t xml:space="preserve">持续风险</w:t>
      </w:r>
      <w:r>
        <w:rPr>
          <w:rFonts w:hint="eastAsia"/>
        </w:rPr>
        <w:t xml:space="preserve">：中东冲突、霍尔木兹海峡航运安全、美加贸易摩擦及俄欧外交摩擦。</w:t>
      </w:r>
    </w:p>
    <w:p>
      <w:r>
        <w:pict>
          <v:rect style="width:0;height:1.5pt" o:hralign="center" o:hrstd="t" o:hr="t"/>
        </w:pict>
      </w:r>
    </w:p>
    <w:bookmarkEnd w:id="66"/>
    <w:bookmarkStart w:id="67" w:name="外资与离岸风险偏好"/>
    <w:p>
      <w:pPr>
        <w:pStyle w:val="Heading2"/>
      </w:pPr>
      <w:r>
        <w:t xml:space="preserve">🌊 </w:t>
      </w:r>
      <w:r>
        <w:rPr>
          <w:rFonts w:hint="eastAsia"/>
        </w:rPr>
        <w:t xml:space="preserve">外资与离岸风险偏好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隔夜美股三大指数全部下跌，外部权益风险偏好偏弱。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AMD上涨3.04%、美光上涨2.75%，显示海外资金并未全面撤离半导体，而是向存储和部分高景气细分集中。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英伟达、台积电、博通分别下跌0.91%、0.83%、1.13%，AI硬件整体缺乏一致上攻。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报告日离岸人民币、富时中国A50和恒生指数仅有盘中报价，不用于盘前判断。</w:t>
      </w:r>
    </w:p>
    <w:p>
      <w:pPr>
        <w:pStyle w:val="Compact"/>
        <w:numPr>
          <w:ilvl w:val="0"/>
          <w:numId w:val="1056"/>
        </w:numPr>
      </w:pPr>
      <w:r>
        <w:t xml:space="preserve">💡 </w:t>
      </w:r>
      <w:r>
        <w:rPr>
          <w:rFonts w:hint="eastAsia"/>
        </w:rPr>
        <w:t xml:space="preserve">外资风险偏好结论：</w:t>
      </w:r>
      <w:r>
        <w:rPr>
          <w:rFonts w:hint="eastAsia"/>
          <w:b/>
          <w:bCs/>
        </w:rPr>
        <w:t xml:space="preserve">谨慎偏弱、科技内部结构分化</w:t>
      </w:r>
      <w:r>
        <w:rPr>
          <w:rFonts w:hint="eastAsia"/>
        </w:rPr>
        <w:t xml:space="preserve">。A股不能依靠外盘普涨推动，只能观察国内政策、ETF份额和主线资金能否形成独立支撑。</w:t>
      </w:r>
    </w:p>
    <w:p>
      <w:r>
        <w:pict>
          <v:rect style="width:0;height:1.5pt" o:hralign="center" o:hrstd="t" o:hr="t"/>
        </w:pict>
      </w:r>
    </w:p>
    <w:bookmarkEnd w:id="67"/>
    <w:bookmarkStart w:id="68" w:name="盘前总判断"/>
    <w:p>
      <w:pPr>
        <w:pStyle w:val="Heading2"/>
      </w:pPr>
      <w:r>
        <w:t xml:space="preserve">💡 </w:t>
      </w:r>
      <w:r>
        <w:rPr>
          <w:rFonts w:hint="eastAsia"/>
        </w:rPr>
        <w:t xml:space="preserve">盘前总判断</w:t>
      </w:r>
    </w:p>
    <w:p>
      <w:pPr>
        <w:pStyle w:val="FirstParagraph"/>
      </w:pPr>
      <w:r>
        <w:rPr>
          <w:rFonts w:hint="eastAsia"/>
          <w:b/>
          <w:bCs/>
        </w:rPr>
        <w:t xml:space="preserve">市场评级：B-，震荡分化，仓位30%—40%，上限50%。</w:t>
      </w:r>
    </w:p>
    <w:p>
      <w:pPr>
        <w:pStyle w:val="Compact"/>
        <w:numPr>
          <w:ilvl w:val="0"/>
          <w:numId w:val="1057"/>
        </w:numPr>
      </w:pPr>
      <w:r>
        <w:t xml:space="preserve">📈 </w:t>
      </w:r>
      <w:r>
        <w:rPr>
          <w:rFonts w:hint="eastAsia"/>
        </w:rPr>
        <w:t xml:space="preserve">优先级一：电力、航运、贵金属、工业金属等有资金验证的防守与事件方向，等待回踩确认。</w:t>
      </w:r>
    </w:p>
    <w:p>
      <w:pPr>
        <w:pStyle w:val="Compact"/>
        <w:numPr>
          <w:ilvl w:val="0"/>
          <w:numId w:val="1057"/>
        </w:numPr>
      </w:pPr>
      <w:r>
        <w:t xml:space="preserve">📈 </w:t>
      </w:r>
      <w:r>
        <w:rPr>
          <w:rFonts w:hint="eastAsia"/>
        </w:rPr>
        <w:t xml:space="preserve">优先级二：通信设备、元件等科技硬件主线，只做分歧转强，不追高。</w:t>
      </w:r>
    </w:p>
    <w:p>
      <w:pPr>
        <w:pStyle w:val="Compact"/>
        <w:numPr>
          <w:ilvl w:val="0"/>
          <w:numId w:val="1057"/>
        </w:numPr>
      </w:pPr>
      <w:r>
        <w:t xml:space="preserve">👀 </w:t>
      </w:r>
      <w:r>
        <w:rPr>
          <w:rFonts w:hint="eastAsia"/>
        </w:rPr>
        <w:t xml:space="preserve">远东股份为A评级但不追涨；生益科技为B评级，等待放量突破或缩量回踩确认。</w:t>
      </w:r>
    </w:p>
    <w:p>
      <w:pPr>
        <w:pStyle w:val="Compact"/>
        <w:numPr>
          <w:ilvl w:val="0"/>
          <w:numId w:val="1057"/>
        </w:numPr>
      </w:pPr>
      <w:r>
        <w:t xml:space="preserve">⛔ </w:t>
      </w:r>
      <w:r>
        <w:rPr>
          <w:rFonts w:hint="eastAsia"/>
        </w:rPr>
        <w:t xml:space="preserve">半导体整体、软件应用、传媒游戏及D级趋势股暂不参与。</w:t>
      </w:r>
    </w:p>
    <w:p>
      <w:pPr>
        <w:pStyle w:val="Compact"/>
        <w:numPr>
          <w:ilvl w:val="0"/>
          <w:numId w:val="1057"/>
        </w:numPr>
      </w:pPr>
      <w:r>
        <w:t xml:space="preserve">⚠️ </w:t>
      </w:r>
      <w:r>
        <w:rPr>
          <w:rFonts w:hint="eastAsia"/>
        </w:rPr>
        <w:t xml:space="preserve">联合流动性信号未确认，融资风险偏好回落，不能因为科创50ETF局部流入就全面提高仓位。</w:t>
      </w:r>
    </w:p>
    <w:p>
      <w:pPr>
        <w:pStyle w:val="Compact"/>
        <w:numPr>
          <w:ilvl w:val="0"/>
          <w:numId w:val="1057"/>
        </w:numPr>
      </w:pPr>
      <w:r>
        <w:t xml:space="preserve">💡 </w:t>
      </w:r>
      <w:r>
        <w:rPr>
          <w:rFonts w:hint="eastAsia"/>
        </w:rPr>
        <w:t xml:space="preserve">今日核心纪律：</w:t>
      </w:r>
      <w:r>
        <w:rPr>
          <w:rFonts w:hint="eastAsia"/>
          <w:b/>
          <w:bCs/>
        </w:rPr>
        <w:t xml:space="preserve">买在确认处，不买在情绪高潮；趋势破位就回避，放量突破后也必须等待站稳。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生成时间：2026-09-10</w:t>
      </w:r>
      <w:r>
        <w:t xml:space="preserve"> 12:01:31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分析+写稿模型：GPT-5.6</w:t>
      </w:r>
      <w:r>
        <w:t xml:space="preserve"> Sol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8"/>
    <w:bookmarkEnd w:id="6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2026-09-10T04:13:09Z</dcterms:created>
  <dcterms:modified xsi:type="dcterms:W3CDTF">2026-09-10T04:13:09Z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