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3" w:name="奇迹早知道2026年9月9日盘前简报"/>
    <w:p>
      <w:pPr>
        <w:pStyle w:val="Heading1"/>
      </w:pPr>
      <w:r>
        <w:t xml:space="preserve">🌅 </w:t>
      </w:r>
      <w:r>
        <w:rPr>
          <w:rFonts w:hint="eastAsia"/>
        </w:rPr>
        <w:t xml:space="preserve">奇迹早知道｜2026年9月9日盘前简报</w:t>
      </w:r>
    </w:p>
    <w:bookmarkStart w:id="12" w:name="一隔夜全球市场"/>
    <w:p>
      <w:pPr>
        <w:pStyle w:val="Heading2"/>
      </w:pPr>
      <w:r>
        <w:t xml:space="preserve">🌍 </w:t>
      </w:r>
      <w:r>
        <w:rPr>
          <w:rFonts w:hint="eastAsia"/>
        </w:rPr>
        <w:t xml:space="preserve">一、隔夜全球市场</w:t>
      </w:r>
    </w:p>
    <w:bookmarkStart w:id="9" w:name="美股三大指数集体收跌"/>
    <w:p>
      <w:pPr>
        <w:pStyle w:val="Heading3"/>
      </w:pPr>
      <w:r>
        <w:t xml:space="preserve">📉🟢 </w:t>
      </w:r>
      <w:r>
        <w:rPr>
          <w:rFonts w:hint="eastAsia"/>
        </w:rPr>
        <w:t xml:space="preserve">美股三大指数集体收跌</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r>
      <w:tr>
        <w:tc>
          <w:tcPr/>
          <w:p>
            <w:pPr>
              <w:pStyle w:val="Compact"/>
            </w:pPr>
            <w:r>
              <w:rPr>
                <w:rFonts w:hint="eastAsia"/>
              </w:rPr>
              <w:t xml:space="preserve">道琼斯</w:t>
            </w:r>
          </w:p>
        </w:tc>
        <w:tc>
          <w:tcPr/>
          <w:p>
            <w:pPr>
              <w:pStyle w:val="Compact"/>
              <w:jc w:val="right"/>
            </w:pPr>
            <w:r>
              <w:t xml:space="preserve">52786.0703</w:t>
            </w:r>
          </w:p>
        </w:tc>
        <w:tc>
          <w:tcPr/>
          <w:p>
            <w:pPr>
              <w:pStyle w:val="Compact"/>
              <w:jc w:val="right"/>
            </w:pPr>
            <w:r>
              <w:t xml:space="preserve">📉🟢 -1.18%</w:t>
            </w:r>
          </w:p>
        </w:tc>
      </w:tr>
      <w:tr>
        <w:tc>
          <w:tcPr/>
          <w:p>
            <w:pPr>
              <w:pStyle w:val="Compact"/>
            </w:pPr>
            <w:r>
              <w:rPr>
                <w:rFonts w:hint="eastAsia"/>
              </w:rPr>
              <w:t xml:space="preserve">纳斯达克</w:t>
            </w:r>
          </w:p>
        </w:tc>
        <w:tc>
          <w:tcPr/>
          <w:p>
            <w:pPr>
              <w:pStyle w:val="Compact"/>
              <w:jc w:val="right"/>
            </w:pPr>
            <w:r>
              <w:t xml:space="preserve">26421.4126</w:t>
            </w:r>
          </w:p>
        </w:tc>
        <w:tc>
          <w:tcPr/>
          <w:p>
            <w:pPr>
              <w:pStyle w:val="Compact"/>
              <w:jc w:val="right"/>
            </w:pPr>
            <w:r>
              <w:t xml:space="preserve">📉🟢 -0.32%</w:t>
            </w:r>
          </w:p>
        </w:tc>
      </w:tr>
      <w:tr>
        <w:tc>
          <w:tcPr/>
          <w:p>
            <w:pPr>
              <w:pStyle w:val="Compact"/>
            </w:pPr>
            <w:r>
              <w:rPr>
                <w:rFonts w:hint="eastAsia"/>
              </w:rPr>
              <w:t xml:space="preserve">标普500</w:t>
            </w:r>
          </w:p>
        </w:tc>
        <w:tc>
          <w:tcPr/>
          <w:p>
            <w:pPr>
              <w:pStyle w:val="Compact"/>
              <w:jc w:val="right"/>
            </w:pPr>
            <w:r>
              <w:t xml:space="preserve">7673.5200</w:t>
            </w:r>
          </w:p>
        </w:tc>
        <w:tc>
          <w:tcPr/>
          <w:p>
            <w:pPr>
              <w:pStyle w:val="Compact"/>
              <w:jc w:val="right"/>
            </w:pPr>
            <w:r>
              <w:t xml:space="preserve">📉🟢 -0.58%</w:t>
            </w:r>
          </w:p>
        </w:tc>
      </w:tr>
    </w:tbl>
    <w:p>
      <w:pPr>
        <w:pStyle w:val="Compact"/>
        <w:numPr>
          <w:ilvl w:val="0"/>
          <w:numId w:val="1001"/>
        </w:numPr>
      </w:pPr>
      <w:r>
        <w:t xml:space="preserve">⚠️ </w:t>
      </w:r>
      <w:r>
        <w:rPr>
          <w:rFonts w:hint="eastAsia"/>
        </w:rPr>
        <w:t xml:space="preserve">道指跌幅明显大于纳指，隔夜整体风险偏好偏弱，但科技方向内部并非单边走低。</w:t>
      </w:r>
    </w:p>
    <w:p>
      <w:pPr>
        <w:pStyle w:val="Compact"/>
        <w:numPr>
          <w:ilvl w:val="0"/>
          <w:numId w:val="1001"/>
        </w:numPr>
      </w:pPr>
      <w:r>
        <w:t xml:space="preserve">💡 </w:t>
      </w:r>
      <w:r>
        <w:rPr>
          <w:rFonts w:hint="eastAsia"/>
        </w:rPr>
        <w:t xml:space="preserve">对A股映射：指数层面不利于高开追涨，科技硬件更可能延续高波动和个股分化。</w:t>
      </w:r>
    </w:p>
    <w:bookmarkEnd w:id="9"/>
    <w:bookmarkStart w:id="10" w:name="美股五只核心半导体个股"/>
    <w:p>
      <w:pPr>
        <w:pStyle w:val="Heading3"/>
      </w:pPr>
      <w:r>
        <w:t xml:space="preserve">🧠 </w:t>
      </w:r>
      <w:r>
        <w:rPr>
          <w:rFonts w:hint="eastAsia"/>
        </w:rPr>
        <w:t xml:space="preserve">美股五只核心半导体个股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个股</w:t>
            </w:r>
          </w:p>
        </w:tc>
        <w:tc>
          <w:tcPr/>
          <w:p>
            <w:pPr>
              <w:pStyle w:val="Compact"/>
              <w:jc w:val="right"/>
            </w:pPr>
            <w:r>
              <w:rPr>
                <w:rFonts w:hint="eastAsia"/>
              </w:rPr>
              <w:t xml:space="preserve">收盘价</w:t>
            </w:r>
          </w:p>
        </w:tc>
        <w:tc>
          <w:tcPr/>
          <w:p>
            <w:pPr>
              <w:pStyle w:val="Compact"/>
              <w:jc w:val="right"/>
            </w:pPr>
            <w:r>
              <w:rPr>
                <w:rFonts w:hint="eastAsia"/>
              </w:rPr>
              <w:t xml:space="preserve">涨跌幅</w:t>
            </w:r>
          </w:p>
        </w:tc>
      </w:tr>
      <w:tr>
        <w:tc>
          <w:tcPr/>
          <w:p>
            <w:pPr>
              <w:pStyle w:val="Compact"/>
            </w:pPr>
            <w:r>
              <w:rPr>
                <w:rFonts w:hint="eastAsia"/>
              </w:rPr>
              <w:t xml:space="preserve">英伟达</w:t>
            </w:r>
          </w:p>
        </w:tc>
        <w:tc>
          <w:tcPr/>
          <w:p>
            <w:pPr>
              <w:pStyle w:val="Compact"/>
              <w:jc w:val="right"/>
            </w:pPr>
            <w:r>
              <w:rPr>
                <w:rFonts w:hint="eastAsia"/>
              </w:rPr>
              <w:t xml:space="preserve">225.73美元</w:t>
            </w:r>
          </w:p>
        </w:tc>
        <w:tc>
          <w:tcPr/>
          <w:p>
            <w:pPr>
              <w:pStyle w:val="Compact"/>
              <w:jc w:val="right"/>
            </w:pPr>
            <w:r>
              <w:t xml:space="preserve">📉🟢 -2.01%</w:t>
            </w:r>
          </w:p>
        </w:tc>
      </w:tr>
      <w:tr>
        <w:tc>
          <w:tcPr/>
          <w:p>
            <w:pPr>
              <w:pStyle w:val="Compact"/>
            </w:pPr>
            <w:r>
              <w:t xml:space="preserve">AMD</w:t>
            </w:r>
          </w:p>
        </w:tc>
        <w:tc>
          <w:tcPr/>
          <w:p>
            <w:pPr>
              <w:pStyle w:val="Compact"/>
              <w:jc w:val="right"/>
            </w:pPr>
            <w:r>
              <w:rPr>
                <w:rFonts w:hint="eastAsia"/>
              </w:rPr>
              <w:t xml:space="preserve">505.74美元</w:t>
            </w:r>
          </w:p>
        </w:tc>
        <w:tc>
          <w:tcPr/>
          <w:p>
            <w:pPr>
              <w:pStyle w:val="Compact"/>
              <w:jc w:val="right"/>
            </w:pPr>
            <w:r>
              <w:t xml:space="preserve">📈🔴 +5.90%</w:t>
            </w:r>
          </w:p>
        </w:tc>
      </w:tr>
      <w:tr>
        <w:tc>
          <w:tcPr/>
          <w:p>
            <w:pPr>
              <w:pStyle w:val="Compact"/>
            </w:pPr>
            <w:r>
              <w:rPr>
                <w:rFonts w:hint="eastAsia"/>
              </w:rPr>
              <w:t xml:space="preserve">台积电</w:t>
            </w:r>
          </w:p>
        </w:tc>
        <w:tc>
          <w:tcPr/>
          <w:p>
            <w:pPr>
              <w:pStyle w:val="Compact"/>
              <w:jc w:val="right"/>
            </w:pPr>
            <w:r>
              <w:rPr>
                <w:rFonts w:hint="eastAsia"/>
              </w:rPr>
              <w:t xml:space="preserve">439.00美元</w:t>
            </w:r>
          </w:p>
        </w:tc>
        <w:tc>
          <w:tcPr/>
          <w:p>
            <w:pPr>
              <w:pStyle w:val="Compact"/>
              <w:jc w:val="right"/>
            </w:pPr>
            <w:r>
              <w:t xml:space="preserve">📈🔴 +2.35%</w:t>
            </w:r>
          </w:p>
        </w:tc>
      </w:tr>
      <w:tr>
        <w:tc>
          <w:tcPr/>
          <w:p>
            <w:pPr>
              <w:pStyle w:val="Compact"/>
            </w:pPr>
            <w:r>
              <w:rPr>
                <w:rFonts w:hint="eastAsia"/>
              </w:rPr>
              <w:t xml:space="preserve">博通</w:t>
            </w:r>
          </w:p>
        </w:tc>
        <w:tc>
          <w:tcPr/>
          <w:p>
            <w:pPr>
              <w:pStyle w:val="Compact"/>
              <w:jc w:val="right"/>
            </w:pPr>
            <w:r>
              <w:rPr>
                <w:rFonts w:hint="eastAsia"/>
              </w:rPr>
              <w:t xml:space="preserve">368.56美元</w:t>
            </w:r>
          </w:p>
        </w:tc>
        <w:tc>
          <w:tcPr/>
          <w:p>
            <w:pPr>
              <w:pStyle w:val="Compact"/>
              <w:jc w:val="right"/>
            </w:pPr>
            <w:r>
              <w:t xml:space="preserve">📈🔴 +2.98%</w:t>
            </w:r>
          </w:p>
        </w:tc>
      </w:tr>
      <w:tr>
        <w:tc>
          <w:tcPr/>
          <w:p>
            <w:pPr>
              <w:pStyle w:val="Compact"/>
            </w:pPr>
            <w:r>
              <w:rPr>
                <w:rFonts w:hint="eastAsia"/>
              </w:rPr>
              <w:t xml:space="preserve">美光</w:t>
            </w:r>
          </w:p>
        </w:tc>
        <w:tc>
          <w:tcPr/>
          <w:p>
            <w:pPr>
              <w:pStyle w:val="Compact"/>
              <w:jc w:val="right"/>
            </w:pPr>
            <w:r>
              <w:rPr>
                <w:rFonts w:hint="eastAsia"/>
              </w:rPr>
              <w:t xml:space="preserve">1000.26美元</w:t>
            </w:r>
          </w:p>
        </w:tc>
        <w:tc>
          <w:tcPr/>
          <w:p>
            <w:pPr>
              <w:pStyle w:val="Compact"/>
              <w:jc w:val="right"/>
            </w:pPr>
            <w:r>
              <w:t xml:space="preserve">📉🟢 -1.61%</w:t>
            </w:r>
          </w:p>
        </w:tc>
      </w:tr>
    </w:tbl>
    <w:p>
      <w:pPr>
        <w:pStyle w:val="Compact"/>
        <w:numPr>
          <w:ilvl w:val="0"/>
          <w:numId w:val="1002"/>
        </w:numPr>
      </w:pPr>
      <w:r>
        <w:t xml:space="preserve">📈🔴 </w:t>
      </w:r>
      <w:r>
        <w:rPr>
          <w:rFonts w:hint="eastAsia"/>
        </w:rPr>
        <w:t xml:space="preserve">AMD、台积电、博通逆势走强，显示海外半导体并未全面退潮，资金仍在寻找业绩和订单确定性。</w:t>
      </w:r>
    </w:p>
    <w:p>
      <w:pPr>
        <w:pStyle w:val="Compact"/>
        <w:numPr>
          <w:ilvl w:val="0"/>
          <w:numId w:val="1002"/>
        </w:numPr>
      </w:pPr>
      <w:r>
        <w:t xml:space="preserve">📉🟢 </w:t>
      </w:r>
      <w:r>
        <w:rPr>
          <w:rFonts w:hint="eastAsia"/>
        </w:rPr>
        <w:t xml:space="preserve">英伟达、美光回落，意味着GPU与存储链不能简单按“美股科技上涨”统一交易。</w:t>
      </w:r>
    </w:p>
    <w:p>
      <w:pPr>
        <w:pStyle w:val="Compact"/>
        <w:numPr>
          <w:ilvl w:val="0"/>
          <w:numId w:val="1002"/>
        </w:numPr>
      </w:pPr>
      <w:r>
        <w:t xml:space="preserve">💡 </w:t>
      </w:r>
      <w:r>
        <w:rPr>
          <w:rFonts w:hint="eastAsia"/>
        </w:rPr>
        <w:t xml:space="preserve">A股光模块、PCB、存储芯片应坚持右侧确认：有海外映射不等于可以追高，先看开盘承接、板块资金回流和量价结构。</w:t>
      </w:r>
    </w:p>
    <w:bookmarkEnd w:id="10"/>
    <w:bookmarkStart w:id="11" w:name="大宗商品"/>
    <w:p>
      <w:pPr>
        <w:pStyle w:val="Heading3"/>
      </w:pPr>
      <w:r>
        <w:t xml:space="preserve">🛢️ </w:t>
      </w:r>
      <w:r>
        <w:rPr>
          <w:rFonts w:hint="eastAsia"/>
        </w:rPr>
        <w:t xml:space="preserve">大宗商品</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品种</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r>
      <w:tr>
        <w:tc>
          <w:tcPr/>
          <w:p>
            <w:pPr>
              <w:pStyle w:val="Compact"/>
            </w:pPr>
            <w:r>
              <w:rPr>
                <w:rFonts w:hint="eastAsia"/>
              </w:rPr>
              <w:t xml:space="preserve">WTI原油</w:t>
            </w:r>
          </w:p>
        </w:tc>
        <w:tc>
          <w:tcPr/>
          <w:p>
            <w:pPr>
              <w:pStyle w:val="Compact"/>
              <w:jc w:val="right"/>
            </w:pPr>
            <w:r>
              <w:rPr>
                <w:rFonts w:hint="eastAsia"/>
              </w:rPr>
              <w:t xml:space="preserve">94.552美元</w:t>
            </w:r>
          </w:p>
        </w:tc>
        <w:tc>
          <w:tcPr/>
          <w:p>
            <w:pPr>
              <w:pStyle w:val="Compact"/>
              <w:jc w:val="right"/>
            </w:pPr>
            <w:r>
              <w:t xml:space="preserve">📈🔴 +1.64%</w:t>
            </w:r>
          </w:p>
        </w:tc>
      </w:tr>
      <w:tr>
        <w:tc>
          <w:tcPr/>
          <w:p>
            <w:pPr>
              <w:pStyle w:val="Compact"/>
            </w:pPr>
            <w:r>
              <w:rPr>
                <w:rFonts w:hint="eastAsia"/>
              </w:rPr>
              <w:t xml:space="preserve">COMEX黄金</w:t>
            </w:r>
          </w:p>
        </w:tc>
        <w:tc>
          <w:tcPr/>
          <w:p>
            <w:pPr>
              <w:pStyle w:val="Compact"/>
              <w:jc w:val="right"/>
            </w:pPr>
            <w:r>
              <w:rPr>
                <w:rFonts w:hint="eastAsia"/>
              </w:rPr>
              <w:t xml:space="preserve">4390.379美元</w:t>
            </w:r>
          </w:p>
        </w:tc>
        <w:tc>
          <w:tcPr/>
          <w:p>
            <w:pPr>
              <w:pStyle w:val="Compact"/>
              <w:jc w:val="right"/>
            </w:pPr>
            <w:r>
              <w:t xml:space="preserve">📉🟢 -1.10%</w:t>
            </w:r>
          </w:p>
        </w:tc>
      </w:tr>
      <w:tr>
        <w:tc>
          <w:tcPr/>
          <w:p>
            <w:pPr>
              <w:pStyle w:val="Compact"/>
            </w:pPr>
            <w:r>
              <w:rPr>
                <w:rFonts w:hint="eastAsia"/>
              </w:rPr>
              <w:t xml:space="preserve">伦铜</w:t>
            </w:r>
          </w:p>
        </w:tc>
        <w:tc>
          <w:tcPr/>
          <w:p>
            <w:pPr>
              <w:pStyle w:val="Compact"/>
              <w:jc w:val="right"/>
            </w:pPr>
            <w:r>
              <w:t xml:space="preserve">14685.215</w:t>
            </w:r>
          </w:p>
        </w:tc>
        <w:tc>
          <w:tcPr/>
          <w:p>
            <w:pPr>
              <w:pStyle w:val="Compact"/>
              <w:jc w:val="right"/>
            </w:pPr>
            <w:r>
              <w:t xml:space="preserve">📉🟢 -0.16%</w:t>
            </w:r>
          </w:p>
        </w:tc>
      </w:tr>
    </w:tbl>
    <w:p>
      <w:pPr>
        <w:pStyle w:val="Compact"/>
        <w:numPr>
          <w:ilvl w:val="0"/>
          <w:numId w:val="1003"/>
        </w:numPr>
      </w:pPr>
      <w:r>
        <w:t xml:space="preserve">📈🔴 </w:t>
      </w:r>
      <w:r>
        <w:rPr>
          <w:rFonts w:hint="eastAsia"/>
        </w:rPr>
        <w:t xml:space="preserve">原油继续上涨，对油气开采、油服和部分煤化工形成正向映射。</w:t>
      </w:r>
    </w:p>
    <w:p>
      <w:pPr>
        <w:pStyle w:val="Compact"/>
        <w:numPr>
          <w:ilvl w:val="0"/>
          <w:numId w:val="1003"/>
        </w:numPr>
      </w:pPr>
      <w:r>
        <w:t xml:space="preserve">⚠️ </w:t>
      </w:r>
      <w:r>
        <w:rPr>
          <w:rFonts w:hint="eastAsia"/>
        </w:rPr>
        <w:t xml:space="preserve">油价上涨同时包含中东供应风险溢价，若继续急升，将增加全球通胀与下游成本压力。</w:t>
      </w:r>
    </w:p>
    <w:p>
      <w:pPr>
        <w:pStyle w:val="Compact"/>
        <w:numPr>
          <w:ilvl w:val="0"/>
          <w:numId w:val="1003"/>
        </w:numPr>
      </w:pPr>
      <w:r>
        <w:t xml:space="preserve">📉🟢 </w:t>
      </w:r>
      <w:r>
        <w:rPr>
          <w:rFonts w:hint="eastAsia"/>
        </w:rPr>
        <w:t xml:space="preserve">黄金、伦铜走弱，资源板块内部预计继续分化，不能把油价上涨外推至全部有色品种。</w:t>
      </w:r>
    </w:p>
    <w:p>
      <w:r>
        <w:pict>
          <v:rect style="width:0;height:1.5pt" o:hralign="center" o:hrstd="t" o:hr="t"/>
        </w:pict>
      </w:r>
    </w:p>
    <w:bookmarkEnd w:id="11"/>
    <w:bookmarkEnd w:id="12"/>
    <w:bookmarkStart w:id="21" w:name="二新闻联播政策面深度解读"/>
    <w:p>
      <w:pPr>
        <w:pStyle w:val="Heading2"/>
      </w:pPr>
      <w:r>
        <w:t xml:space="preserve">📺 </w:t>
      </w:r>
      <w:r>
        <w:rPr>
          <w:rFonts w:hint="eastAsia"/>
        </w:rPr>
        <w:t xml:space="preserve">二、新闻联播政策面深度解读</w:t>
      </w:r>
    </w:p>
    <w:bookmarkStart w:id="13" w:name="服务贸易与数字服务出口进入政策发力期"/>
    <w:p>
      <w:pPr>
        <w:pStyle w:val="Heading3"/>
      </w:pPr>
      <w:r>
        <w:t xml:space="preserve">🔴 </w:t>
      </w:r>
      <w:r>
        <w:rPr>
          <w:rFonts w:hint="eastAsia"/>
        </w:rPr>
        <w:t xml:space="preserve">服务贸易与数字服务出口进入政策发力期</w:t>
      </w:r>
    </w:p>
    <w:p>
      <w:pPr>
        <w:pStyle w:val="FirstParagraph"/>
      </w:pPr>
      <w:r>
        <w:rPr>
          <w:rFonts w:hint="eastAsia"/>
        </w:rPr>
        <w:t xml:space="preserve">昨晚《新闻联播》重点强调服务贸易新格局加速成型：</w:t>
      </w:r>
    </w:p>
    <w:p>
      <w:pPr>
        <w:pStyle w:val="Compact"/>
        <w:numPr>
          <w:ilvl w:val="0"/>
          <w:numId w:val="1004"/>
        </w:numPr>
      </w:pPr>
      <w:r>
        <w:rPr>
          <w:rFonts w:hint="eastAsia"/>
        </w:rPr>
        <w:t xml:space="preserve">2021年至2025年，我国服务进出口额年均增长12.1%。</w:t>
      </w:r>
    </w:p>
    <w:p>
      <w:pPr>
        <w:pStyle w:val="Compact"/>
        <w:numPr>
          <w:ilvl w:val="0"/>
          <w:numId w:val="1004"/>
        </w:numPr>
      </w:pPr>
      <w:r>
        <w:rPr>
          <w:rFonts w:hint="eastAsia"/>
        </w:rPr>
        <w:t xml:space="preserve">2026年前七个月，知识密集型服务出口9482.8亿元，同比增长12.2%，占服务出口额超过一半。</w:t>
      </w:r>
    </w:p>
    <w:p>
      <w:pPr>
        <w:pStyle w:val="Compact"/>
        <w:numPr>
          <w:ilvl w:val="0"/>
          <w:numId w:val="1004"/>
        </w:numPr>
      </w:pPr>
      <w:r>
        <w:rPr>
          <w:rFonts w:hint="eastAsia"/>
        </w:rPr>
        <w:t xml:space="preserve">个人文化和娱乐服务出口同比增长57.8%。</w:t>
      </w:r>
    </w:p>
    <w:p>
      <w:pPr>
        <w:pStyle w:val="Compact"/>
        <w:numPr>
          <w:ilvl w:val="0"/>
          <w:numId w:val="1004"/>
        </w:numPr>
      </w:pPr>
      <w:r>
        <w:rPr>
          <w:rFonts w:hint="eastAsia"/>
        </w:rPr>
        <w:t xml:space="preserve">北京等17个地区开展国家服务贸易创新发展示范区建设。</w:t>
      </w:r>
    </w:p>
    <w:p>
      <w:pPr>
        <w:pStyle w:val="Compact"/>
        <w:numPr>
          <w:ilvl w:val="0"/>
          <w:numId w:val="1004"/>
        </w:numPr>
      </w:pPr>
      <w:r>
        <w:rPr>
          <w:rFonts w:hint="eastAsia"/>
        </w:rPr>
        <w:t xml:space="preserve">已有166家外资企业获批开展互联网数据中心、互联网接入服务、信息服务等增值电信业务。</w:t>
      </w:r>
    </w:p>
    <w:p>
      <w:pPr>
        <w:pStyle w:val="FirstParagraph"/>
      </w:pPr>
      <w:r>
        <w:rPr>
          <w:rFonts w:hint="eastAsia"/>
          <w:b/>
          <w:bCs/>
        </w:rPr>
        <w:t xml:space="preserve">A股映射：</w:t>
      </w:r>
    </w:p>
    <w:p>
      <w:pPr>
        <w:pStyle w:val="Compact"/>
        <w:numPr>
          <w:ilvl w:val="0"/>
          <w:numId w:val="1005"/>
        </w:numPr>
      </w:pPr>
      <w:r>
        <w:t xml:space="preserve">📈🔴</w:t>
      </w:r>
      <w:r>
        <w:t xml:space="preserve"> </w:t>
      </w:r>
      <w:r>
        <w:rPr>
          <w:rFonts w:hint="eastAsia"/>
          <w:b/>
          <w:bCs/>
        </w:rPr>
        <w:t xml:space="preserve">数字服务与软件出海</w:t>
      </w:r>
      <w:r>
        <w:rPr>
          <w:rFonts w:hint="eastAsia"/>
        </w:rPr>
        <w:t xml:space="preserve">：云服务、工业软件、跨境数字营销、网络安全及数据中心服务具备政策催化。</w:t>
      </w:r>
    </w:p>
    <w:p>
      <w:pPr>
        <w:pStyle w:val="Compact"/>
        <w:numPr>
          <w:ilvl w:val="0"/>
          <w:numId w:val="1005"/>
        </w:numPr>
      </w:pPr>
      <w:r>
        <w:t xml:space="preserve">📈🔴</w:t>
      </w:r>
      <w:r>
        <w:t xml:space="preserve"> </w:t>
      </w:r>
      <w:r>
        <w:rPr>
          <w:rFonts w:hint="eastAsia"/>
          <w:b/>
          <w:bCs/>
        </w:rPr>
        <w:t xml:space="preserve">数字文化出口</w:t>
      </w:r>
      <w:r>
        <w:rPr>
          <w:rFonts w:hint="eastAsia"/>
        </w:rPr>
        <w:t xml:space="preserve">：游戏、网络文学、网络视听、动漫IP具备产业增量，但必须区分真实海外收入与纯题材炒作。</w:t>
      </w:r>
    </w:p>
    <w:p>
      <w:pPr>
        <w:pStyle w:val="Compact"/>
        <w:numPr>
          <w:ilvl w:val="0"/>
          <w:numId w:val="1005"/>
        </w:numPr>
      </w:pPr>
      <w:r>
        <w:t xml:space="preserve">📈🔴</w:t>
      </w:r>
      <w:r>
        <w:t xml:space="preserve"> </w:t>
      </w:r>
      <w:r>
        <w:rPr>
          <w:rFonts w:hint="eastAsia"/>
          <w:b/>
          <w:bCs/>
        </w:rPr>
        <w:t xml:space="preserve">AI赋能传统行业</w:t>
      </w:r>
      <w:r>
        <w:rPr>
          <w:rFonts w:hint="eastAsia"/>
        </w:rPr>
        <w:t xml:space="preserve">：智慧农业、工业智能化、节能解决方案等方向受益于“中国方案出海”。</w:t>
      </w:r>
    </w:p>
    <w:p>
      <w:pPr>
        <w:pStyle w:val="Compact"/>
        <w:numPr>
          <w:ilvl w:val="0"/>
          <w:numId w:val="1005"/>
        </w:numPr>
      </w:pPr>
      <w:r>
        <w:t xml:space="preserve">⚠️</w:t>
      </w:r>
      <w:r>
        <w:t xml:space="preserve"> </w:t>
      </w:r>
      <w:r>
        <w:rPr>
          <w:rFonts w:hint="eastAsia"/>
          <w:b/>
          <w:bCs/>
        </w:rPr>
        <w:t xml:space="preserve">竞争与开放并存</w:t>
      </w:r>
      <w:r>
        <w:rPr>
          <w:rFonts w:hint="eastAsia"/>
        </w:rPr>
        <w:t xml:space="preserve">：增值电信、生物技术、外商独资医院扩大开放，也意味着国内相关企业面临更高水平竞争。</w:t>
      </w:r>
    </w:p>
    <w:bookmarkEnd w:id="13"/>
    <w:bookmarkStart w:id="14" w:name="城市更新财政支持与多元融资并举"/>
    <w:p>
      <w:pPr>
        <w:pStyle w:val="Heading3"/>
      </w:pPr>
      <w:r>
        <w:t xml:space="preserve">🏙️ </w:t>
      </w:r>
      <w:r>
        <w:rPr>
          <w:rFonts w:hint="eastAsia"/>
        </w:rPr>
        <w:t xml:space="preserve">城市更新：财政支持与多元融资并举</w:t>
      </w:r>
    </w:p>
    <w:p>
      <w:pPr>
        <w:pStyle w:val="FirstParagraph"/>
      </w:pPr>
      <w:r>
        <w:rPr>
          <w:rFonts w:hint="eastAsia"/>
        </w:rPr>
        <w:t xml:space="preserve">国务院专题学习提出：</w:t>
      </w:r>
    </w:p>
    <w:p>
      <w:pPr>
        <w:pStyle w:val="Compact"/>
        <w:numPr>
          <w:ilvl w:val="0"/>
          <w:numId w:val="1006"/>
        </w:numPr>
      </w:pPr>
      <w:r>
        <w:rPr>
          <w:rFonts w:hint="eastAsia"/>
        </w:rPr>
        <w:t xml:space="preserve">加大政府投入力度和要素资源保障。</w:t>
      </w:r>
    </w:p>
    <w:p>
      <w:pPr>
        <w:pStyle w:val="Compact"/>
        <w:numPr>
          <w:ilvl w:val="0"/>
          <w:numId w:val="1006"/>
        </w:numPr>
      </w:pPr>
      <w:r>
        <w:rPr>
          <w:rFonts w:hint="eastAsia"/>
        </w:rPr>
        <w:t xml:space="preserve">推动重大工程项目建设。</w:t>
      </w:r>
    </w:p>
    <w:p>
      <w:pPr>
        <w:pStyle w:val="Compact"/>
        <w:numPr>
          <w:ilvl w:val="0"/>
          <w:numId w:val="1006"/>
        </w:numPr>
      </w:pPr>
      <w:r>
        <w:rPr>
          <w:rFonts w:hint="eastAsia"/>
        </w:rPr>
        <w:t xml:space="preserve">构建多元化、可持续的城市更新投融资体系。</w:t>
      </w:r>
    </w:p>
    <w:p>
      <w:pPr>
        <w:pStyle w:val="Compact"/>
        <w:numPr>
          <w:ilvl w:val="0"/>
          <w:numId w:val="1006"/>
        </w:numPr>
      </w:pPr>
      <w:r>
        <w:rPr>
          <w:rFonts w:hint="eastAsia"/>
        </w:rPr>
        <w:t xml:space="preserve">适时优化规划、用地、财税、金融及相关标准规范。</w:t>
      </w:r>
    </w:p>
    <w:p>
      <w:pPr>
        <w:pStyle w:val="Compact"/>
        <w:numPr>
          <w:ilvl w:val="0"/>
          <w:numId w:val="1006"/>
        </w:numPr>
      </w:pPr>
      <w:r>
        <w:rPr>
          <w:rFonts w:hint="eastAsia"/>
        </w:rPr>
        <w:t xml:space="preserve">强化防灾减灾、公共空间改造和居住条件改善。</w:t>
      </w:r>
    </w:p>
    <w:p>
      <w:pPr>
        <w:pStyle w:val="FirstParagraph"/>
      </w:pPr>
      <w:r>
        <w:rPr>
          <w:rFonts w:hint="eastAsia"/>
          <w:b/>
          <w:bCs/>
        </w:rPr>
        <w:t xml:space="preserve">A股映射：</w:t>
      </w:r>
    </w:p>
    <w:p>
      <w:pPr>
        <w:pStyle w:val="Compact"/>
        <w:numPr>
          <w:ilvl w:val="0"/>
          <w:numId w:val="1007"/>
        </w:numPr>
      </w:pPr>
      <w:r>
        <w:t xml:space="preserve">📈🔴 </w:t>
      </w:r>
      <w:r>
        <w:rPr>
          <w:rFonts w:hint="eastAsia"/>
        </w:rPr>
        <w:t xml:space="preserve">直接受益链：建筑装饰、地下管网、防水材料、建筑设计、城市照明、电梯更新、智慧城市。</w:t>
      </w:r>
    </w:p>
    <w:p>
      <w:pPr>
        <w:pStyle w:val="Compact"/>
        <w:numPr>
          <w:ilvl w:val="0"/>
          <w:numId w:val="1007"/>
        </w:numPr>
      </w:pPr>
      <w:r>
        <w:t xml:space="preserve">📈🔴 </w:t>
      </w:r>
      <w:r>
        <w:rPr>
          <w:rFonts w:hint="eastAsia"/>
        </w:rPr>
        <w:t xml:space="preserve">金融支持链：城投转型、基础设施REITs、城市更新综合运营。</w:t>
      </w:r>
    </w:p>
    <w:p>
      <w:pPr>
        <w:pStyle w:val="Compact"/>
        <w:numPr>
          <w:ilvl w:val="0"/>
          <w:numId w:val="1007"/>
        </w:numPr>
      </w:pPr>
      <w:r>
        <w:t xml:space="preserve">⚠️ </w:t>
      </w:r>
      <w:r>
        <w:rPr>
          <w:rFonts w:hint="eastAsia"/>
        </w:rPr>
        <w:t xml:space="preserve">城市更新不是无差别房地产刺激，优先选择项目储备明确、回款能力强、负债可控的企业。</w:t>
      </w:r>
    </w:p>
    <w:p>
      <w:pPr>
        <w:pStyle w:val="Compact"/>
        <w:numPr>
          <w:ilvl w:val="0"/>
          <w:numId w:val="1007"/>
        </w:numPr>
      </w:pPr>
      <w:r>
        <w:t xml:space="preserve">💡 </w:t>
      </w:r>
      <w:r>
        <w:rPr>
          <w:rFonts w:hint="eastAsia"/>
        </w:rPr>
        <w:t xml:space="preserve">昨日建筑装饰主力净流入10.51亿元、房地产净流入11.08亿元，政策与资金已有一定共振，但仍需观察持续性。</w:t>
      </w:r>
    </w:p>
    <w:bookmarkEnd w:id="14"/>
    <w:bookmarkStart w:id="15" w:name="外贸延续高增长机电出口继续占据核心位置"/>
    <w:p>
      <w:pPr>
        <w:pStyle w:val="Heading3"/>
      </w:pPr>
      <w:r>
        <w:t xml:space="preserve">🚢 </w:t>
      </w:r>
      <w:r>
        <w:rPr>
          <w:rFonts w:hint="eastAsia"/>
        </w:rPr>
        <w:t xml:space="preserve">外贸延续高增长，机电出口继续占据核心位置</w:t>
      </w:r>
    </w:p>
    <w:p>
      <w:pPr>
        <w:pStyle w:val="FirstParagraph"/>
      </w:pPr>
      <w:r>
        <w:rPr>
          <w:rFonts w:hint="eastAsia"/>
        </w:rPr>
        <w:t xml:space="preserve">2026年前8个月：</w:t>
      </w:r>
    </w:p>
    <w:p>
      <w:pPr>
        <w:pStyle w:val="Compact"/>
        <w:numPr>
          <w:ilvl w:val="0"/>
          <w:numId w:val="1008"/>
        </w:numPr>
      </w:pPr>
      <w:r>
        <w:rPr>
          <w:rFonts w:hint="eastAsia"/>
        </w:rPr>
        <w:t xml:space="preserve">货物贸易进出口总值34.78万亿元，同比增长17.6%。</w:t>
      </w:r>
    </w:p>
    <w:p>
      <w:pPr>
        <w:pStyle w:val="Compact"/>
        <w:numPr>
          <w:ilvl w:val="0"/>
          <w:numId w:val="1008"/>
        </w:numPr>
      </w:pPr>
      <w:r>
        <w:rPr>
          <w:rFonts w:hint="eastAsia"/>
        </w:rPr>
        <w:t xml:space="preserve">出口20.17万亿元，同比增长14.6%。</w:t>
      </w:r>
    </w:p>
    <w:p>
      <w:pPr>
        <w:pStyle w:val="Compact"/>
        <w:numPr>
          <w:ilvl w:val="0"/>
          <w:numId w:val="1008"/>
        </w:numPr>
      </w:pPr>
      <w:r>
        <w:rPr>
          <w:rFonts w:hint="eastAsia"/>
        </w:rPr>
        <w:t xml:space="preserve">进口14.61万亿元，同比增长22.0%。</w:t>
      </w:r>
    </w:p>
    <w:p>
      <w:pPr>
        <w:pStyle w:val="Compact"/>
        <w:numPr>
          <w:ilvl w:val="0"/>
          <w:numId w:val="1008"/>
        </w:numPr>
      </w:pPr>
      <w:r>
        <w:rPr>
          <w:rFonts w:hint="eastAsia"/>
        </w:rPr>
        <w:t xml:space="preserve">8月进出口4.65万亿元，同比增长19.8%。</w:t>
      </w:r>
    </w:p>
    <w:p>
      <w:pPr>
        <w:pStyle w:val="Compact"/>
        <w:numPr>
          <w:ilvl w:val="0"/>
          <w:numId w:val="1008"/>
        </w:numPr>
      </w:pPr>
      <w:r>
        <w:rPr>
          <w:rFonts w:hint="eastAsia"/>
        </w:rPr>
        <w:t xml:space="preserve">机电产品出口12.91万亿元，占出口总值64%。</w:t>
      </w:r>
    </w:p>
    <w:p>
      <w:pPr>
        <w:pStyle w:val="Compact"/>
        <w:numPr>
          <w:ilvl w:val="0"/>
          <w:numId w:val="1008"/>
        </w:numPr>
      </w:pPr>
      <w:r>
        <w:rPr>
          <w:rFonts w:hint="eastAsia"/>
        </w:rPr>
        <w:t xml:space="preserve">汽车、工业机器人、船舶出口分别增长47.1%、13.0%、29.8%。</w:t>
      </w:r>
    </w:p>
    <w:p>
      <w:pPr>
        <w:pStyle w:val="FirstParagraph"/>
      </w:pPr>
      <w:r>
        <w:rPr>
          <w:rFonts w:hint="eastAsia"/>
          <w:b/>
          <w:bCs/>
        </w:rPr>
        <w:t xml:space="preserve">A股映射：</w:t>
      </w:r>
    </w:p>
    <w:p>
      <w:pPr>
        <w:pStyle w:val="Compact"/>
        <w:numPr>
          <w:ilvl w:val="0"/>
          <w:numId w:val="1009"/>
        </w:numPr>
      </w:pPr>
      <w:r>
        <w:t xml:space="preserve">📈🔴 </w:t>
      </w:r>
      <w:r>
        <w:rPr>
          <w:rFonts w:hint="eastAsia"/>
        </w:rPr>
        <w:t xml:space="preserve">汽车出口、工业机器人、船舶、高端装备具备硬数据支撑。</w:t>
      </w:r>
    </w:p>
    <w:p>
      <w:pPr>
        <w:pStyle w:val="Compact"/>
        <w:numPr>
          <w:ilvl w:val="0"/>
          <w:numId w:val="1009"/>
        </w:numPr>
      </w:pPr>
      <w:r>
        <w:t xml:space="preserve">📈🔴 </w:t>
      </w:r>
      <w:r>
        <w:rPr>
          <w:rFonts w:hint="eastAsia"/>
        </w:rPr>
        <w:t xml:space="preserve">对东盟、拉美、非洲进出口分别增长20.6%、14.5%、18.5%，海外渠道完善的制造企业更具优势。</w:t>
      </w:r>
    </w:p>
    <w:p>
      <w:pPr>
        <w:pStyle w:val="Compact"/>
        <w:numPr>
          <w:ilvl w:val="0"/>
          <w:numId w:val="1009"/>
        </w:numPr>
      </w:pPr>
      <w:r>
        <w:t xml:space="preserve">⚠️ </w:t>
      </w:r>
      <w:r>
        <w:rPr>
          <w:rFonts w:hint="eastAsia"/>
        </w:rPr>
        <w:t xml:space="preserve">进口增速连续6个月高于出口，既反映内需和生产需求，也需观察大宗商品价格上涨对进口金额的影响。</w:t>
      </w:r>
    </w:p>
    <w:p>
      <w:pPr>
        <w:pStyle w:val="Compact"/>
        <w:numPr>
          <w:ilvl w:val="0"/>
          <w:numId w:val="1009"/>
        </w:numPr>
      </w:pPr>
      <w:r>
        <w:t xml:space="preserve">⚠️ </w:t>
      </w:r>
      <w:r>
        <w:rPr>
          <w:rFonts w:hint="eastAsia"/>
        </w:rPr>
        <w:t xml:space="preserve">加拿大与美国关税冲突升级，全球贸易摩擦仍可能扰动汽车、钢铝、家电和农业设备出口链。</w:t>
      </w:r>
    </w:p>
    <w:bookmarkEnd w:id="15"/>
    <w:bookmarkStart w:id="16" w:name="汽车供应商账期治理"/>
    <w:p>
      <w:pPr>
        <w:pStyle w:val="Heading3"/>
      </w:pPr>
      <w:r>
        <w:t xml:space="preserve">🚗 </w:t>
      </w:r>
      <w:r>
        <w:rPr>
          <w:rFonts w:hint="eastAsia"/>
        </w:rPr>
        <w:t xml:space="preserve">汽车供应商账期治理</w:t>
      </w:r>
    </w:p>
    <w:p>
      <w:pPr>
        <w:pStyle w:val="FirstParagraph"/>
      </w:pPr>
      <w:r>
        <w:rPr>
          <w:rFonts w:hint="eastAsia"/>
        </w:rPr>
        <w:t xml:space="preserve">工信部、市场监管总局发布汽车企业供应商账期管理文件，要求：</w:t>
      </w:r>
    </w:p>
    <w:p>
      <w:pPr>
        <w:pStyle w:val="Compact"/>
        <w:numPr>
          <w:ilvl w:val="0"/>
          <w:numId w:val="1010"/>
        </w:numPr>
      </w:pPr>
      <w:r>
        <w:rPr>
          <w:rFonts w:hint="eastAsia"/>
        </w:rPr>
        <w:t xml:space="preserve">接收货物、工程、服务并验收合格后起算账期。</w:t>
      </w:r>
    </w:p>
    <w:p>
      <w:pPr>
        <w:pStyle w:val="Compact"/>
        <w:numPr>
          <w:ilvl w:val="0"/>
          <w:numId w:val="1010"/>
        </w:numPr>
      </w:pPr>
      <w:r>
        <w:rPr>
          <w:rFonts w:hint="eastAsia"/>
        </w:rPr>
        <w:t xml:space="preserve">一般零部件等生产性物料应在3个工作日内完成验收。</w:t>
      </w:r>
    </w:p>
    <w:p>
      <w:pPr>
        <w:pStyle w:val="FirstParagraph"/>
      </w:pPr>
      <w:r>
        <w:rPr>
          <w:rFonts w:hint="eastAsia"/>
          <w:b/>
          <w:bCs/>
        </w:rPr>
        <w:t xml:space="preserve">A股映射：</w:t>
      </w:r>
    </w:p>
    <w:p>
      <w:pPr>
        <w:pStyle w:val="Compact"/>
        <w:numPr>
          <w:ilvl w:val="0"/>
          <w:numId w:val="1011"/>
        </w:numPr>
      </w:pPr>
      <w:r>
        <w:t xml:space="preserve">📈🔴 </w:t>
      </w:r>
      <w:r>
        <w:rPr>
          <w:rFonts w:hint="eastAsia"/>
        </w:rPr>
        <w:t xml:space="preserve">有利于改善汽车零部件企业应收账款周转与经营现金流。</w:t>
      </w:r>
    </w:p>
    <w:p>
      <w:pPr>
        <w:pStyle w:val="Compact"/>
        <w:numPr>
          <w:ilvl w:val="0"/>
          <w:numId w:val="1011"/>
        </w:numPr>
      </w:pPr>
      <w:r>
        <w:t xml:space="preserve">📈🔴 </w:t>
      </w:r>
      <w:r>
        <w:rPr>
          <w:rFonts w:hint="eastAsia"/>
        </w:rPr>
        <w:t xml:space="preserve">议价能力较弱但产品竞争力较强的中小零部件供应商边际受益更明显。</w:t>
      </w:r>
    </w:p>
    <w:p>
      <w:pPr>
        <w:pStyle w:val="Compact"/>
        <w:numPr>
          <w:ilvl w:val="0"/>
          <w:numId w:val="1011"/>
        </w:numPr>
      </w:pPr>
      <w:r>
        <w:t xml:space="preserve">⚠️ </w:t>
      </w:r>
      <w:r>
        <w:rPr>
          <w:rFonts w:hint="eastAsia"/>
        </w:rPr>
        <w:t xml:space="preserve">整车企业短期营运资金压力可能增加，需关注应付账款下降对现金流的影响。</w:t>
      </w:r>
    </w:p>
    <w:bookmarkEnd w:id="16"/>
    <w:bookmarkStart w:id="17" w:name="人民币跨境支付系统扩容"/>
    <w:p>
      <w:pPr>
        <w:pStyle w:val="Heading3"/>
      </w:pPr>
      <w:r>
        <w:t xml:space="preserve">💳 </w:t>
      </w:r>
      <w:r>
        <w:rPr>
          <w:rFonts w:hint="eastAsia"/>
        </w:rPr>
        <w:t xml:space="preserve">人民币跨境支付系统扩容</w:t>
      </w:r>
    </w:p>
    <w:p>
      <w:pPr>
        <w:pStyle w:val="FirstParagraph"/>
      </w:pPr>
      <w:r>
        <w:rPr>
          <w:rFonts w:hint="eastAsia"/>
        </w:rPr>
        <w:t xml:space="preserve">人民币跨境支付系统与11家外资银行直接参与者签约，参与者已分布全球133个国家和地区，业务覆盖192个国家和地区。</w:t>
      </w:r>
    </w:p>
    <w:p>
      <w:pPr>
        <w:pStyle w:val="Compact"/>
        <w:numPr>
          <w:ilvl w:val="0"/>
          <w:numId w:val="1012"/>
        </w:numPr>
      </w:pPr>
      <w:r>
        <w:t xml:space="preserve">📈🔴 </w:t>
      </w:r>
      <w:r>
        <w:rPr>
          <w:rFonts w:hint="eastAsia"/>
        </w:rPr>
        <w:t xml:space="preserve">映射跨境支付、银行IT、金融信息安全和人民币国际化。</w:t>
      </w:r>
    </w:p>
    <w:p>
      <w:pPr>
        <w:pStyle w:val="Compact"/>
        <w:numPr>
          <w:ilvl w:val="0"/>
          <w:numId w:val="1012"/>
        </w:numPr>
      </w:pPr>
      <w:r>
        <w:t xml:space="preserve">💡 </w:t>
      </w:r>
      <w:r>
        <w:rPr>
          <w:rFonts w:hint="eastAsia"/>
        </w:rPr>
        <w:t xml:space="preserve">该信号偏中长期基础设施建设，不宜按单日题材追涨。</w:t>
      </w:r>
    </w:p>
    <w:bookmarkEnd w:id="17"/>
    <w:bookmarkStart w:id="18" w:name="基建防灾与区域建设"/>
    <w:p>
      <w:pPr>
        <w:pStyle w:val="Heading3"/>
      </w:pPr>
      <w:r>
        <w:t xml:space="preserve">🏗️ </w:t>
      </w:r>
      <w:r>
        <w:rPr>
          <w:rFonts w:hint="eastAsia"/>
        </w:rPr>
        <w:t xml:space="preserve">基建、防灾与区域建设</w:t>
      </w:r>
    </w:p>
    <w:p>
      <w:pPr>
        <w:pStyle w:val="Compact"/>
        <w:numPr>
          <w:ilvl w:val="0"/>
          <w:numId w:val="1013"/>
        </w:numPr>
      </w:pPr>
      <w:r>
        <w:rPr>
          <w:rFonts w:hint="eastAsia"/>
        </w:rPr>
        <w:t xml:space="preserve">西渝高铁朱家山隧道贯通，线路正线全长739公里，设计时速350公里。</w:t>
      </w:r>
    </w:p>
    <w:p>
      <w:pPr>
        <w:pStyle w:val="Compact"/>
        <w:numPr>
          <w:ilvl w:val="0"/>
          <w:numId w:val="1013"/>
        </w:numPr>
      </w:pPr>
      <w:r>
        <w:rPr>
          <w:rFonts w:hint="eastAsia"/>
        </w:rPr>
        <w:t xml:space="preserve">滇中引水一期输水工程累计贯通630多公里，项目建成后年均引水量34亿立方米。</w:t>
      </w:r>
    </w:p>
    <w:p>
      <w:pPr>
        <w:pStyle w:val="Compact"/>
        <w:numPr>
          <w:ilvl w:val="0"/>
          <w:numId w:val="1013"/>
        </w:numPr>
      </w:pPr>
      <w:r>
        <w:rPr>
          <w:rFonts w:hint="eastAsia"/>
        </w:rPr>
        <w:t xml:space="preserve">澳琴国际教育（大学）城一期启用，规划总面积80万平方米。</w:t>
      </w:r>
    </w:p>
    <w:p>
      <w:pPr>
        <w:pStyle w:val="Compact"/>
        <w:numPr>
          <w:ilvl w:val="0"/>
          <w:numId w:val="1013"/>
        </w:numPr>
      </w:pPr>
      <w:r>
        <w:rPr>
          <w:rFonts w:hint="eastAsia"/>
        </w:rPr>
        <w:t xml:space="preserve">“绿动渤海2026”联合巡航执法启动，涉及海上风电、光伏、油田作业区和环保治理。</w:t>
      </w:r>
    </w:p>
    <w:p>
      <w:pPr>
        <w:pStyle w:val="FirstParagraph"/>
      </w:pPr>
      <w:r>
        <w:rPr>
          <w:rFonts w:hint="eastAsia"/>
          <w:b/>
          <w:bCs/>
        </w:rPr>
        <w:t xml:space="preserve">A股映射：</w:t>
      </w:r>
    </w:p>
    <w:p>
      <w:pPr>
        <w:pStyle w:val="Compact"/>
        <w:numPr>
          <w:ilvl w:val="0"/>
          <w:numId w:val="1014"/>
        </w:numPr>
      </w:pPr>
      <w:r>
        <w:t xml:space="preserve">📈🔴 </w:t>
      </w:r>
      <w:r>
        <w:rPr>
          <w:rFonts w:hint="eastAsia"/>
        </w:rPr>
        <w:t xml:space="preserve">轨交工程、水利建设、工程机械、隧道设备、防灾监测、海洋环保存在订单映射。</w:t>
      </w:r>
    </w:p>
    <w:p>
      <w:pPr>
        <w:pStyle w:val="Compact"/>
        <w:numPr>
          <w:ilvl w:val="0"/>
          <w:numId w:val="1014"/>
        </w:numPr>
      </w:pPr>
      <w:r>
        <w:t xml:space="preserve">⚠️ </w:t>
      </w:r>
      <w:r>
        <w:rPr>
          <w:rFonts w:hint="eastAsia"/>
        </w:rPr>
        <w:t xml:space="preserve">工程类公司必须关注合同质量、应收账款、项目回款及资本开支，不能只看项目总投资规模。</w:t>
      </w:r>
    </w:p>
    <w:bookmarkEnd w:id="18"/>
    <w:bookmarkStart w:id="19" w:name="消费医保知识产权与教育"/>
    <w:p>
      <w:pPr>
        <w:pStyle w:val="Heading3"/>
      </w:pPr>
      <w:r>
        <w:t xml:space="preserve">🛍️ </w:t>
      </w:r>
      <w:r>
        <w:rPr>
          <w:rFonts w:hint="eastAsia"/>
        </w:rPr>
        <w:t xml:space="preserve">消费、医保、知识产权与教育</w:t>
      </w:r>
    </w:p>
    <w:p>
      <w:pPr>
        <w:pStyle w:val="Compact"/>
        <w:numPr>
          <w:ilvl w:val="0"/>
          <w:numId w:val="1015"/>
        </w:numPr>
      </w:pPr>
      <w:r>
        <w:rPr>
          <w:rFonts w:hint="eastAsia"/>
        </w:rPr>
        <w:t xml:space="preserve">“放心消费”培育工作启动，计划到2030年建成5000个以上放心消费集聚区。</w:t>
      </w:r>
    </w:p>
    <w:p>
      <w:pPr>
        <w:pStyle w:val="Compact"/>
        <w:numPr>
          <w:ilvl w:val="0"/>
          <w:numId w:val="1015"/>
        </w:numPr>
      </w:pPr>
      <w:r>
        <w:rPr>
          <w:rFonts w:hint="eastAsia"/>
        </w:rPr>
        <w:t xml:space="preserve">七部门启动灵活就业人员、农民工、新就业形态人员基本医保参保提质行动。</w:t>
      </w:r>
    </w:p>
    <w:p>
      <w:pPr>
        <w:pStyle w:val="Compact"/>
        <w:numPr>
          <w:ilvl w:val="0"/>
          <w:numId w:val="1015"/>
        </w:numPr>
      </w:pPr>
      <w:r>
        <w:rPr>
          <w:rFonts w:hint="eastAsia"/>
        </w:rPr>
        <w:t xml:space="preserve">国内有效发明专利拥有量达到566.7万件，战略性新兴产业有效发明专利174.6万件。</w:t>
      </w:r>
    </w:p>
    <w:p>
      <w:pPr>
        <w:pStyle w:val="Compact"/>
        <w:numPr>
          <w:ilvl w:val="0"/>
          <w:numId w:val="1015"/>
        </w:numPr>
      </w:pPr>
      <w:r>
        <w:rPr>
          <w:rFonts w:hint="eastAsia"/>
        </w:rPr>
        <w:t xml:space="preserve">全国教材工作会议强调建设高质量教材体系。</w:t>
      </w:r>
    </w:p>
    <w:p>
      <w:pPr>
        <w:pStyle w:val="FirstParagraph"/>
      </w:pPr>
      <w:r>
        <w:rPr>
          <w:rFonts w:hint="eastAsia"/>
          <w:b/>
          <w:bCs/>
        </w:rPr>
        <w:t xml:space="preserve">A股映射：</w:t>
      </w:r>
    </w:p>
    <w:p>
      <w:pPr>
        <w:pStyle w:val="Compact"/>
        <w:numPr>
          <w:ilvl w:val="0"/>
          <w:numId w:val="1016"/>
        </w:numPr>
      </w:pPr>
      <w:r>
        <w:t xml:space="preserve">📈🔴 </w:t>
      </w:r>
      <w:r>
        <w:rPr>
          <w:rFonts w:hint="eastAsia"/>
        </w:rPr>
        <w:t xml:space="preserve">消费环境治理有利于品牌零售、消费服务和检测认证。</w:t>
      </w:r>
    </w:p>
    <w:p>
      <w:pPr>
        <w:pStyle w:val="Compact"/>
        <w:numPr>
          <w:ilvl w:val="0"/>
          <w:numId w:val="1016"/>
        </w:numPr>
      </w:pPr>
      <w:r>
        <w:t xml:space="preserve">📈🔴 </w:t>
      </w:r>
      <w:r>
        <w:rPr>
          <w:rFonts w:hint="eastAsia"/>
        </w:rPr>
        <w:t xml:space="preserve">医保扩面利好医疗服务需求稳定，但支付约束仍需同步考虑。</w:t>
      </w:r>
    </w:p>
    <w:p>
      <w:pPr>
        <w:pStyle w:val="Compact"/>
        <w:numPr>
          <w:ilvl w:val="0"/>
          <w:numId w:val="1016"/>
        </w:numPr>
      </w:pPr>
      <w:r>
        <w:t xml:space="preserve">📈🔴 </w:t>
      </w:r>
      <w:r>
        <w:rPr>
          <w:rFonts w:hint="eastAsia"/>
        </w:rPr>
        <w:t xml:space="preserve">知识产权保护利好创新药、半导体、高端装备和正版数字内容。</w:t>
      </w:r>
    </w:p>
    <w:p>
      <w:pPr>
        <w:pStyle w:val="Compact"/>
        <w:numPr>
          <w:ilvl w:val="0"/>
          <w:numId w:val="1016"/>
        </w:numPr>
      </w:pPr>
      <w:r>
        <w:t xml:space="preserve">📈🔴 </w:t>
      </w:r>
      <w:r>
        <w:rPr>
          <w:rFonts w:hint="eastAsia"/>
        </w:rPr>
        <w:t xml:space="preserve">教育出版、数字教材、职业教育信息化存在政策支撑，但商业兑现周期偏长。</w:t>
      </w:r>
    </w:p>
    <w:bookmarkEnd w:id="19"/>
    <w:bookmarkStart w:id="20" w:name="海外冲突与贸易风险"/>
    <w:p>
      <w:pPr>
        <w:pStyle w:val="Heading3"/>
      </w:pPr>
      <w:r>
        <w:t xml:space="preserve">⚠️ </w:t>
      </w:r>
      <w:r>
        <w:rPr>
          <w:rFonts w:hint="eastAsia"/>
        </w:rPr>
        <w:t xml:space="preserve">海外冲突与贸易风险</w:t>
      </w:r>
    </w:p>
    <w:p>
      <w:pPr>
        <w:pStyle w:val="Compact"/>
        <w:numPr>
          <w:ilvl w:val="0"/>
          <w:numId w:val="1017"/>
        </w:numPr>
      </w:pPr>
      <w:r>
        <w:rPr>
          <w:rFonts w:hint="eastAsia"/>
        </w:rPr>
        <w:t xml:space="preserve">加拿大对价值200亿美元的美国进口商品征收等额关税，涉及钢铝、乳制品、家电、农业设备。</w:t>
      </w:r>
    </w:p>
    <w:p>
      <w:pPr>
        <w:pStyle w:val="Compact"/>
        <w:numPr>
          <w:ilvl w:val="0"/>
          <w:numId w:val="1017"/>
        </w:numPr>
      </w:pPr>
      <w:r>
        <w:rPr>
          <w:rFonts w:hint="eastAsia"/>
        </w:rPr>
        <w:t xml:space="preserve">俄乌冲突再度升级，俄罗斯对基辅、敖德萨等地发动大规模打击。</w:t>
      </w:r>
    </w:p>
    <w:p>
      <w:pPr>
        <w:pStyle w:val="Compact"/>
        <w:numPr>
          <w:ilvl w:val="0"/>
          <w:numId w:val="1017"/>
        </w:numPr>
      </w:pPr>
      <w:r>
        <w:rPr>
          <w:rFonts w:hint="eastAsia"/>
        </w:rPr>
        <w:t xml:space="preserve">胡塞武装袭击沙特多个目标，部分能源设施暂时中断运营。</w:t>
      </w:r>
    </w:p>
    <w:p>
      <w:pPr>
        <w:pStyle w:val="Compact"/>
        <w:numPr>
          <w:ilvl w:val="0"/>
          <w:numId w:val="1017"/>
        </w:numPr>
      </w:pPr>
      <w:r>
        <w:rPr>
          <w:rFonts w:hint="eastAsia"/>
        </w:rPr>
        <w:t xml:space="preserve">伊朗警告若其能源资产遭打击，将报复美国在中东的能源资产。</w:t>
      </w:r>
    </w:p>
    <w:p>
      <w:pPr>
        <w:pStyle w:val="Compact"/>
        <w:numPr>
          <w:ilvl w:val="0"/>
          <w:numId w:val="1017"/>
        </w:numPr>
      </w:pPr>
      <w:r>
        <w:rPr>
          <w:rFonts w:hint="eastAsia"/>
        </w:rPr>
        <w:t xml:space="preserve">俄德相互关闭领事及文化机构，欧洲地缘关系继续承压。</w:t>
      </w:r>
    </w:p>
    <w:p>
      <w:pPr>
        <w:pStyle w:val="FirstParagraph"/>
      </w:pPr>
      <w:r>
        <w:rPr>
          <w:rFonts w:hint="eastAsia"/>
          <w:b/>
          <w:bCs/>
        </w:rPr>
        <w:t xml:space="preserve">A股映射：</w:t>
      </w:r>
    </w:p>
    <w:p>
      <w:pPr>
        <w:pStyle w:val="Compact"/>
        <w:numPr>
          <w:ilvl w:val="0"/>
          <w:numId w:val="1018"/>
        </w:numPr>
      </w:pPr>
      <w:r>
        <w:t xml:space="preserve">📈🔴 </w:t>
      </w:r>
      <w:r>
        <w:rPr>
          <w:rFonts w:hint="eastAsia"/>
        </w:rPr>
        <w:t xml:space="preserve">油气开采、油服、能源运输和防务方向存在风险溢价。</w:t>
      </w:r>
    </w:p>
    <w:p>
      <w:pPr>
        <w:pStyle w:val="Compact"/>
        <w:numPr>
          <w:ilvl w:val="0"/>
          <w:numId w:val="1018"/>
        </w:numPr>
      </w:pPr>
      <w:r>
        <w:t xml:space="preserve">📉🟢 </w:t>
      </w:r>
      <w:r>
        <w:rPr>
          <w:rFonts w:hint="eastAsia"/>
        </w:rPr>
        <w:t xml:space="preserve">航空、化工下游、物流及高能耗制造面临成本压力。</w:t>
      </w:r>
    </w:p>
    <w:p>
      <w:pPr>
        <w:pStyle w:val="Compact"/>
        <w:numPr>
          <w:ilvl w:val="0"/>
          <w:numId w:val="1018"/>
        </w:numPr>
      </w:pPr>
      <w:r>
        <w:t xml:space="preserve">⚠️ </w:t>
      </w:r>
      <w:r>
        <w:rPr>
          <w:rFonts w:hint="eastAsia"/>
        </w:rPr>
        <w:t xml:space="preserve">地缘事件驱动持续性难以量化，严禁在油价急升后追涨高开标的。</w:t>
      </w:r>
    </w:p>
    <w:p>
      <w:r>
        <w:pict>
          <v:rect style="width:0;height:1.5pt" o:hralign="center" o:hrstd="t" o:hr="t"/>
        </w:pict>
      </w:r>
    </w:p>
    <w:bookmarkEnd w:id="20"/>
    <w:bookmarkEnd w:id="21"/>
    <w:bookmarkStart w:id="22" w:name="今日公告与公司事件公告主源失败采用妙想只读新闻有限增强"/>
    <w:p>
      <w:pPr>
        <w:pStyle w:val="Heading2"/>
      </w:pPr>
      <w:r>
        <w:t xml:space="preserve">📢 </w:t>
      </w:r>
      <w:r>
        <w:rPr>
          <w:rFonts w:hint="eastAsia"/>
        </w:rPr>
        <w:t xml:space="preserve">今日公告与公司事件：公告主源失败，采用妙想只读新闻有限增强</w:t>
      </w:r>
    </w:p>
    <w:p>
      <w:pPr>
        <w:pStyle w:val="BlockText"/>
      </w:pPr>
      <w:r>
        <w:t xml:space="preserve">⚠️ </w:t>
      </w:r>
      <w:r>
        <w:rPr>
          <w:rFonts w:hint="eastAsia"/>
        </w:rPr>
        <w:t xml:space="preserve">公告主源异常；筛选窗口：2026-09-08</w:t>
      </w:r>
      <w:r>
        <w:t xml:space="preserve"> 15:00:00 +0800 → 2026-09-09 08:30:23 </w:t>
      </w:r>
      <w:r>
        <w:rPr>
          <w:rFonts w:hint="eastAsia"/>
        </w:rPr>
        <w:t xml:space="preserve">+0800。以下仅为妙想只读新闻增强，未经交易所公告主源复核。</w:t>
      </w:r>
    </w:p>
    <w:p>
      <w:pPr>
        <w:pStyle w:val="Compact"/>
        <w:numPr>
          <w:ilvl w:val="0"/>
          <w:numId w:val="1019"/>
        </w:numPr>
      </w:pPr>
      <w:r>
        <w:rPr>
          <w:rFonts w:hint="eastAsia"/>
          <w:b/>
          <w:bCs/>
        </w:rPr>
        <w:t xml:space="preserve">晚间重要公告2026年9月8日星期二</w:t>
      </w:r>
      <w:r>
        <w:rPr>
          <w:rFonts w:hint="eastAsia"/>
        </w:rPr>
        <w:t xml:space="preserve">｜2026-09-09</w:t>
      </w:r>
      <w:r>
        <w:t xml:space="preserve"> 00:07:54 </w:t>
      </w:r>
      <w:r>
        <w:rPr>
          <w:rFonts w:hint="eastAsia"/>
        </w:rPr>
        <w:t xml:space="preserve">+0800｜来源：风浪越大越精神</w:t>
      </w:r>
    </w:p>
    <w:p>
      <w:pPr>
        <w:pStyle w:val="Compact"/>
        <w:numPr>
          <w:ilvl w:val="1"/>
          <w:numId w:val="1020"/>
        </w:numPr>
      </w:pPr>
      <w:r>
        <w:rPr>
          <w:rFonts w:hint="eastAsia"/>
        </w:rPr>
        <w:t xml:space="preserve">事件线索：请先点赞，后阅读，点关注，谢谢</w:t>
      </w:r>
      <w:r>
        <w:t xml:space="preserve"> </w:t>
      </w:r>
      <w:r>
        <w:rPr>
          <w:rFonts w:hint="eastAsia"/>
        </w:rPr>
        <w:t xml:space="preserve">[握手]美力科技：公司不存在向特斯拉供应悬架弹簧的情形本川智能：拟投30亿元布局AI算力HDI及高端互连PCB产能中际旭创：控股股东解除200万股质押江波龙：首次回购124.95万股，耗资4.48亿元敦煌种业：股票可能存在市场情绪过热和非理性炒作情形海鸥股份：控股股东金敖大完成减持3%股份桂林旅游：公司未投入低空经济相关项目业绩晓鸣股份：2026年累计销售鸡产品18659.80万羽，8月销售收入9979.26万元环旭电子：2026年1-8月合并营业收入同比增4.54%，8月营收同比增17.12%金龙汽车：2026年1-8月累计生产客车31928辆，累计销售客车31542辆天邦食品：2026年1-8月销售商品猪521.61万头，8月销售62.25万头京基智农：2026年1-8月累计销售商品肥猪139.97万头，8月销售14.11万头正邦科技：2026年1-8月累计销售生猪726.76万头，8月销售生猪86.79万头股权变动珠免集团：康格投资通过收购海投公司</w:t>
      </w:r>
    </w:p>
    <w:p>
      <w:pPr>
        <w:pStyle w:val="Compact"/>
        <w:numPr>
          <w:ilvl w:val="1"/>
          <w:numId w:val="1020"/>
        </w:numPr>
      </w:pPr>
      <w:r>
        <w:rPr>
          <w:rFonts w:hint="eastAsia"/>
        </w:rPr>
        <w:t xml:space="preserve">核验状态：未经交易所公告主源复核。</w:t>
      </w:r>
    </w:p>
    <w:p>
      <w:pPr>
        <w:pStyle w:val="Compact"/>
        <w:numPr>
          <w:ilvl w:val="0"/>
          <w:numId w:val="1019"/>
        </w:numPr>
      </w:pPr>
      <w:r>
        <w:rPr>
          <w:rFonts w:hint="eastAsia"/>
          <w:b/>
          <w:bCs/>
        </w:rPr>
        <w:t xml:space="preserve">江波龙：公司于2026年9月8日首次通过回购专用证券账户以集中竞价方式回购A股股份124.95万股，占总股本的0.29%，成交总金额为4.48亿元。根据此前方案，公司回购资金总额不低于4亿元且不超过8亿元，回购价格不超过735元/股。</w:t>
      </w:r>
      <w:r>
        <w:rPr>
          <w:rFonts w:hint="eastAsia"/>
        </w:rPr>
        <w:t xml:space="preserve">｜2026-09-09</w:t>
      </w:r>
      <w:r>
        <w:t xml:space="preserve"> 06:00:09 </w:t>
      </w:r>
      <w:r>
        <w:rPr>
          <w:rFonts w:hint="eastAsia"/>
        </w:rPr>
        <w:t xml:space="preserve">+0800｜来源：东方财富Choice数据</w:t>
      </w:r>
    </w:p>
    <w:p>
      <w:pPr>
        <w:pStyle w:val="Compact"/>
        <w:numPr>
          <w:ilvl w:val="1"/>
          <w:numId w:val="1021"/>
        </w:numPr>
      </w:pPr>
      <w:r>
        <w:rPr>
          <w:rFonts w:hint="eastAsia"/>
        </w:rPr>
        <w:t xml:space="preserve">事件线索：江波龙：公司于2026年9月8日首次通过回购专用证券账户以集中竞价方式回购A股股份124.95万股，占总股本的0.29%，成交总金额为4.48亿元。根据此前方案，公司回购资金总额不低于4亿元且不超过8亿元，回购价格不超过735元/股。</w:t>
      </w:r>
    </w:p>
    <w:p>
      <w:pPr>
        <w:pStyle w:val="Compact"/>
        <w:numPr>
          <w:ilvl w:val="1"/>
          <w:numId w:val="1021"/>
        </w:numPr>
      </w:pPr>
      <w:r>
        <w:rPr>
          <w:rFonts w:hint="eastAsia"/>
        </w:rPr>
        <w:t xml:space="preserve">核验状态：未经交易所公告主源复核。</w:t>
      </w:r>
    </w:p>
    <w:p>
      <w:pPr>
        <w:pStyle w:val="Compact"/>
        <w:numPr>
          <w:ilvl w:val="0"/>
          <w:numId w:val="1019"/>
        </w:numPr>
      </w:pPr>
      <w:r>
        <w:rPr>
          <w:rFonts w:hint="eastAsia"/>
          <w:b/>
          <w:bCs/>
        </w:rPr>
        <w:t xml:space="preserve">华脉科技：公司控股股东、实际控制人胥爱民与王炳坤签署股份转让协议，拟以</w:t>
      </w:r>
      <w:r>
        <w:rPr>
          <w:rFonts w:hint="eastAsia"/>
        </w:rPr>
        <w:t xml:space="preserve">｜2026-09-09</w:t>
      </w:r>
      <w:r>
        <w:t xml:space="preserve"> 06:00:09 </w:t>
      </w:r>
      <w:r>
        <w:rPr>
          <w:rFonts w:hint="eastAsia"/>
        </w:rPr>
        <w:t xml:space="preserve">+0800｜来源：东方财富Choice数据</w:t>
      </w:r>
    </w:p>
    <w:p>
      <w:pPr>
        <w:pStyle w:val="Compact"/>
        <w:numPr>
          <w:ilvl w:val="1"/>
          <w:numId w:val="1022"/>
        </w:numPr>
      </w:pPr>
      <w:r>
        <w:rPr>
          <w:rFonts w:hint="eastAsia"/>
        </w:rPr>
        <w:t xml:space="preserve">事件线索：华脉科技：公司控股股东、实际控制人胥爱民与王炳坤签署股份转让协议，拟以</w:t>
      </w:r>
    </w:p>
    <w:p>
      <w:pPr>
        <w:pStyle w:val="Compact"/>
        <w:numPr>
          <w:ilvl w:val="1"/>
          <w:numId w:val="1022"/>
        </w:numPr>
      </w:pPr>
      <w:r>
        <w:rPr>
          <w:rFonts w:hint="eastAsia"/>
        </w:rPr>
        <w:t xml:space="preserve">核验状态：未经交易所公告主源复核。</w:t>
      </w:r>
    </w:p>
    <w:p>
      <w:pPr>
        <w:pStyle w:val="Compact"/>
        <w:numPr>
          <w:ilvl w:val="0"/>
          <w:numId w:val="1019"/>
        </w:numPr>
      </w:pPr>
      <w:r>
        <w:rPr>
          <w:rFonts w:hint="eastAsia"/>
          <w:b/>
          <w:bCs/>
        </w:rPr>
        <w:t xml:space="preserve">江波龙公告，昨日首次回购公司A股股份124.95万股，成交总金额4.48亿元。</w:t>
      </w:r>
      <w:r>
        <w:rPr>
          <w:rFonts w:hint="eastAsia"/>
        </w:rPr>
        <w:t xml:space="preserve">｜2026-09-09</w:t>
      </w:r>
      <w:r>
        <w:t xml:space="preserve"> 07:00:00 </w:t>
      </w:r>
      <w:r>
        <w:rPr>
          <w:rFonts w:hint="eastAsia"/>
        </w:rPr>
        <w:t xml:space="preserve">+0800｜来源：财联社</w:t>
      </w:r>
    </w:p>
    <w:p>
      <w:pPr>
        <w:pStyle w:val="Compact"/>
        <w:numPr>
          <w:ilvl w:val="1"/>
          <w:numId w:val="1023"/>
        </w:numPr>
      </w:pPr>
      <w:r>
        <w:rPr>
          <w:rFonts w:hint="eastAsia"/>
        </w:rPr>
        <w:t xml:space="preserve">事件线索：江波龙公告，昨日首次回购公司A股股份124.95万股，成交总金额4.48亿元。</w:t>
      </w:r>
    </w:p>
    <w:p>
      <w:pPr>
        <w:pStyle w:val="Compact"/>
        <w:numPr>
          <w:ilvl w:val="1"/>
          <w:numId w:val="1023"/>
        </w:numPr>
      </w:pPr>
      <w:r>
        <w:rPr>
          <w:rFonts w:hint="eastAsia"/>
        </w:rPr>
        <w:t xml:space="preserve">核验状态：未经交易所公告主源复核。</w:t>
      </w:r>
    </w:p>
    <w:p>
      <w:pPr>
        <w:pStyle w:val="Compact"/>
        <w:numPr>
          <w:ilvl w:val="0"/>
          <w:numId w:val="1019"/>
        </w:numPr>
      </w:pPr>
      <w:r>
        <w:t xml:space="preserve">*</w:t>
      </w:r>
      <w:r>
        <w:rPr>
          <w:rFonts w:hint="eastAsia"/>
          <w:b/>
          <w:bCs/>
        </w:rPr>
        <w:t xml:space="preserve">ST萃华公告，收到终止上市事先告知书。</w:t>
      </w:r>
      <w:r>
        <w:rPr>
          <w:rFonts w:hint="eastAsia"/>
        </w:rPr>
        <w:t xml:space="preserve">｜2026-09-09</w:t>
      </w:r>
      <w:r>
        <w:t xml:space="preserve"> 07:00:00 </w:t>
      </w:r>
      <w:r>
        <w:rPr>
          <w:rFonts w:hint="eastAsia"/>
        </w:rPr>
        <w:t xml:space="preserve">+0800｜来源：财联社</w:t>
      </w:r>
    </w:p>
    <w:p>
      <w:pPr>
        <w:pStyle w:val="Compact"/>
        <w:numPr>
          <w:ilvl w:val="1"/>
          <w:numId w:val="1024"/>
        </w:numPr>
      </w:pPr>
      <w:r>
        <w:rPr>
          <w:rFonts w:hint="eastAsia"/>
        </w:rPr>
        <w:t xml:space="preserve">事件线索：*ST萃华公告，收到终止上市事先告知书。</w:t>
      </w:r>
    </w:p>
    <w:p>
      <w:pPr>
        <w:pStyle w:val="Compact"/>
        <w:numPr>
          <w:ilvl w:val="1"/>
          <w:numId w:val="1024"/>
        </w:numPr>
      </w:pPr>
      <w:r>
        <w:rPr>
          <w:rFonts w:hint="eastAsia"/>
        </w:rPr>
        <w:t xml:space="preserve">核验状态：未经交易所公告主源复核。</w:t>
      </w:r>
    </w:p>
    <w:p>
      <w:pPr>
        <w:pStyle w:val="Compact"/>
        <w:numPr>
          <w:ilvl w:val="0"/>
          <w:numId w:val="1019"/>
        </w:numPr>
      </w:pPr>
      <w:r>
        <w:rPr>
          <w:rFonts w:hint="eastAsia"/>
          <w:b/>
          <w:bCs/>
        </w:rPr>
        <w:t xml:space="preserve">深南电路公告，下调募资总额为不超过43.67亿元。</w:t>
      </w:r>
      <w:r>
        <w:rPr>
          <w:rFonts w:hint="eastAsia"/>
        </w:rPr>
        <w:t xml:space="preserve">｜2026-09-09</w:t>
      </w:r>
      <w:r>
        <w:t xml:space="preserve"> 07:00:00 </w:t>
      </w:r>
      <w:r>
        <w:rPr>
          <w:rFonts w:hint="eastAsia"/>
        </w:rPr>
        <w:t xml:space="preserve">+0800｜来源：财联社</w:t>
      </w:r>
    </w:p>
    <w:p>
      <w:pPr>
        <w:pStyle w:val="Compact"/>
        <w:numPr>
          <w:ilvl w:val="1"/>
          <w:numId w:val="1025"/>
        </w:numPr>
      </w:pPr>
      <w:r>
        <w:rPr>
          <w:rFonts w:hint="eastAsia"/>
        </w:rPr>
        <w:t xml:space="preserve">事件线索：深南电路公告，下调募资总额为不超过43.67亿元。</w:t>
      </w:r>
    </w:p>
    <w:p>
      <w:pPr>
        <w:pStyle w:val="Compact"/>
        <w:numPr>
          <w:ilvl w:val="1"/>
          <w:numId w:val="1025"/>
        </w:numPr>
      </w:pPr>
      <w:r>
        <w:rPr>
          <w:rFonts w:hint="eastAsia"/>
        </w:rPr>
        <w:t xml:space="preserve">核验状态：未经交易所公告主源复核。</w:t>
      </w:r>
    </w:p>
    <w:p>
      <w:pPr>
        <w:pStyle w:val="Compact"/>
        <w:numPr>
          <w:ilvl w:val="0"/>
          <w:numId w:val="1019"/>
        </w:numPr>
      </w:pPr>
      <w:r>
        <w:rPr>
          <w:rFonts w:hint="eastAsia"/>
          <w:b/>
          <w:bCs/>
        </w:rPr>
        <w:t xml:space="preserve">华翔股份公告，控股股东拟减持不超3%股份。</w:t>
      </w:r>
      <w:r>
        <w:rPr>
          <w:rFonts w:hint="eastAsia"/>
        </w:rPr>
        <w:t xml:space="preserve">｜2026-09-09</w:t>
      </w:r>
      <w:r>
        <w:t xml:space="preserve"> 07:00:00 </w:t>
      </w:r>
      <w:r>
        <w:rPr>
          <w:rFonts w:hint="eastAsia"/>
        </w:rPr>
        <w:t xml:space="preserve">+0800｜来源：财联社</w:t>
      </w:r>
    </w:p>
    <w:p>
      <w:pPr>
        <w:pStyle w:val="Compact"/>
        <w:numPr>
          <w:ilvl w:val="1"/>
          <w:numId w:val="1026"/>
        </w:numPr>
      </w:pPr>
      <w:r>
        <w:rPr>
          <w:rFonts w:hint="eastAsia"/>
        </w:rPr>
        <w:t xml:space="preserve">事件线索：华翔股份公告，控股股东拟减持不超3%股份。</w:t>
      </w:r>
    </w:p>
    <w:p>
      <w:pPr>
        <w:pStyle w:val="Compact"/>
        <w:numPr>
          <w:ilvl w:val="1"/>
          <w:numId w:val="1026"/>
        </w:numPr>
      </w:pPr>
      <w:r>
        <w:rPr>
          <w:rFonts w:hint="eastAsia"/>
        </w:rPr>
        <w:t xml:space="preserve">核验状态：未经交易所公告主源复核。</w:t>
      </w:r>
    </w:p>
    <w:p>
      <w:pPr>
        <w:pStyle w:val="Compact"/>
        <w:numPr>
          <w:ilvl w:val="0"/>
          <w:numId w:val="1019"/>
        </w:numPr>
      </w:pPr>
      <w:r>
        <w:rPr>
          <w:rFonts w:hint="eastAsia"/>
          <w:b/>
          <w:bCs/>
        </w:rPr>
        <w:t xml:space="preserve">华脉科技公告，控股股东拟以14.37元/股的价格协议转让5.27%股份。</w:t>
      </w:r>
      <w:r>
        <w:rPr>
          <w:rFonts w:hint="eastAsia"/>
        </w:rPr>
        <w:t xml:space="preserve">｜2026-09-09</w:t>
      </w:r>
      <w:r>
        <w:t xml:space="preserve"> 07:00:00 </w:t>
      </w:r>
      <w:r>
        <w:rPr>
          <w:rFonts w:hint="eastAsia"/>
        </w:rPr>
        <w:t xml:space="preserve">+0800｜来源：财联社</w:t>
      </w:r>
    </w:p>
    <w:p>
      <w:pPr>
        <w:pStyle w:val="Compact"/>
        <w:numPr>
          <w:ilvl w:val="1"/>
          <w:numId w:val="1027"/>
        </w:numPr>
      </w:pPr>
      <w:r>
        <w:rPr>
          <w:rFonts w:hint="eastAsia"/>
        </w:rPr>
        <w:t xml:space="preserve">事件线索：华脉科技公告，控股股东拟以14.37元/股的价格协议转让5.27%股份。</w:t>
      </w:r>
    </w:p>
    <w:p>
      <w:pPr>
        <w:pStyle w:val="Compact"/>
        <w:numPr>
          <w:ilvl w:val="1"/>
          <w:numId w:val="1027"/>
        </w:numPr>
      </w:pPr>
      <w:r>
        <w:rPr>
          <w:rFonts w:hint="eastAsia"/>
        </w:rPr>
        <w:t xml:space="preserve">核验状态：未经交易所公告主源复核。</w:t>
      </w:r>
    </w:p>
    <w:bookmarkEnd w:id="22"/>
    <w:bookmarkStart w:id="26" w:name="四经济数据与今日事件"/>
    <w:p>
      <w:pPr>
        <w:pStyle w:val="Heading2"/>
      </w:pPr>
      <w:r>
        <w:t xml:space="preserve">📅 </w:t>
      </w:r>
      <w:r>
        <w:rPr>
          <w:rFonts w:hint="eastAsia"/>
        </w:rPr>
        <w:t xml:space="preserve">四、经济数据与今日事件</w:t>
      </w:r>
    </w:p>
    <w:bookmarkStart w:id="23" w:name="已确认数据"/>
    <w:p>
      <w:pPr>
        <w:pStyle w:val="Heading3"/>
      </w:pPr>
      <w:r>
        <w:t xml:space="preserve">📊 </w:t>
      </w:r>
      <w:r>
        <w:rPr>
          <w:rFonts w:hint="eastAsia"/>
        </w:rPr>
        <w:t xml:space="preserve">已确认数据</w:t>
      </w:r>
    </w:p>
    <w:p>
      <w:pPr>
        <w:pStyle w:val="Compact"/>
        <w:numPr>
          <w:ilvl w:val="0"/>
          <w:numId w:val="1028"/>
        </w:numPr>
      </w:pPr>
      <w:r>
        <w:rPr>
          <w:rFonts w:hint="eastAsia"/>
        </w:rPr>
        <w:t xml:space="preserve">8月中国大宗商品价格指数为132.3点，环比上涨2.8%，同比上涨18.4%。</w:t>
      </w:r>
    </w:p>
    <w:p>
      <w:pPr>
        <w:pStyle w:val="Compact"/>
        <w:numPr>
          <w:ilvl w:val="0"/>
          <w:numId w:val="1028"/>
        </w:numPr>
      </w:pPr>
      <w:r>
        <w:rPr>
          <w:rFonts w:hint="eastAsia"/>
        </w:rPr>
        <w:t xml:space="preserve">重点监测的50种大宗商品中，27种价格环比上涨。</w:t>
      </w:r>
    </w:p>
    <w:p>
      <w:pPr>
        <w:pStyle w:val="Compact"/>
        <w:numPr>
          <w:ilvl w:val="0"/>
          <w:numId w:val="1028"/>
        </w:numPr>
      </w:pPr>
      <w:r>
        <w:rPr>
          <w:rFonts w:hint="eastAsia"/>
        </w:rPr>
        <w:t xml:space="preserve">大宗商品价格与昨日基础化工、有色金属、石油石化资金流入形成共振，但不同商品走势已开始分化。</w:t>
      </w:r>
    </w:p>
    <w:bookmarkEnd w:id="23"/>
    <w:bookmarkStart w:id="24" w:name="今日产业事件"/>
    <w:p>
      <w:pPr>
        <w:pStyle w:val="Heading3"/>
      </w:pPr>
      <w:r>
        <w:t xml:space="preserve">🏢 </w:t>
      </w:r>
      <w:r>
        <w:rPr>
          <w:rFonts w:hint="eastAsia"/>
        </w:rPr>
        <w:t xml:space="preserve">今日产业事件</w:t>
      </w:r>
    </w:p>
    <w:p>
      <w:pPr>
        <w:pStyle w:val="Compact"/>
        <w:numPr>
          <w:ilvl w:val="0"/>
          <w:numId w:val="1029"/>
        </w:numPr>
      </w:pPr>
      <w:r>
        <w:rPr>
          <w:rFonts w:hint="eastAsia"/>
        </w:rPr>
        <w:t xml:space="preserve">2026年中国国际服务贸易交易会今日在北京开幕。</w:t>
      </w:r>
    </w:p>
    <w:p>
      <w:pPr>
        <w:pStyle w:val="Compact"/>
        <w:numPr>
          <w:ilvl w:val="0"/>
          <w:numId w:val="1029"/>
        </w:numPr>
      </w:pPr>
      <w:r>
        <w:rPr>
          <w:rFonts w:hint="eastAsia"/>
        </w:rPr>
        <w:t xml:space="preserve">本届服贸会有90个国家和地区及国际组织设展办会，473家世界500强和行业头部企业线下参展。</w:t>
      </w:r>
    </w:p>
    <w:p>
      <w:pPr>
        <w:pStyle w:val="Compact"/>
        <w:numPr>
          <w:ilvl w:val="0"/>
          <w:numId w:val="1029"/>
        </w:numPr>
      </w:pPr>
      <w:r>
        <w:rPr>
          <w:rFonts w:hint="eastAsia"/>
        </w:rPr>
        <w:t xml:space="preserve">展会期间将举办190余场论坛、会议和洽谈推介活动，以及74项配套活动。</w:t>
      </w:r>
    </w:p>
    <w:p>
      <w:pPr>
        <w:pStyle w:val="Compact"/>
        <w:numPr>
          <w:ilvl w:val="0"/>
          <w:numId w:val="1029"/>
        </w:numPr>
      </w:pPr>
      <w:r>
        <w:rPr>
          <w:rFonts w:hint="eastAsia"/>
        </w:rPr>
        <w:t xml:space="preserve">第27届中国国际光电博览会于9月9日至11日在深圳举行，覆盖信息通信、精密光学、激光制造、新型显示、AR/VR和光电子创新等方向。</w:t>
      </w:r>
    </w:p>
    <w:bookmarkEnd w:id="24"/>
    <w:bookmarkStart w:id="25" w:name="数据源缺失事项"/>
    <w:p>
      <w:pPr>
        <w:pStyle w:val="Heading3"/>
      </w:pPr>
      <w:r>
        <w:t xml:space="preserve">⚠️ </w:t>
      </w:r>
      <w:r>
        <w:rPr>
          <w:rFonts w:hint="eastAsia"/>
        </w:rPr>
        <w:t xml:space="preserve">数据源缺失事项</w:t>
      </w:r>
    </w:p>
    <w:p>
      <w:pPr>
        <w:pStyle w:val="Compact"/>
        <w:numPr>
          <w:ilvl w:val="0"/>
          <w:numId w:val="1030"/>
        </w:numPr>
      </w:pPr>
      <w:r>
        <w:rPr>
          <w:rFonts w:hint="eastAsia"/>
        </w:rPr>
        <w:t xml:space="preserve">今日国内外具体宏观数据发布时间及央行会议安排未在采集结果中形成可核实清单，不补数。</w:t>
      </w:r>
    </w:p>
    <w:p>
      <w:pPr>
        <w:pStyle w:val="Compact"/>
        <w:numPr>
          <w:ilvl w:val="0"/>
          <w:numId w:val="1030"/>
        </w:numPr>
      </w:pPr>
      <w:r>
        <w:rPr>
          <w:rFonts w:hint="eastAsia"/>
        </w:rPr>
        <w:t xml:space="preserve">对服贸会、光博会相关题材，只跟踪正式订单、产品发布及成交回执，不按展会名称直接追涨。</w:t>
      </w:r>
    </w:p>
    <w:p>
      <w:r>
        <w:pict>
          <v:rect style="width:0;height:1.5pt" o:hralign="center" o:hrstd="t" o:hr="t"/>
        </w:pict>
      </w:r>
    </w:p>
    <w:bookmarkEnd w:id="25"/>
    <w:bookmarkEnd w:id="26"/>
    <w:bookmarkStart w:id="27" w:name="五全球事件与资产映射"/>
    <w:p>
      <w:pPr>
        <w:pStyle w:val="Heading2"/>
      </w:pPr>
      <w:r>
        <w:t xml:space="preserve">🌐 </w:t>
      </w:r>
      <w:r>
        <w:rPr>
          <w:rFonts w:hint="eastAsia"/>
        </w:rPr>
        <w:t xml:space="preserve">五、全球事件与资产映射</w:t>
      </w:r>
    </w:p>
    <w:p>
      <w:pPr>
        <w:pStyle w:val="Compact"/>
        <w:numPr>
          <w:ilvl w:val="0"/>
          <w:numId w:val="1031"/>
        </w:numPr>
      </w:pPr>
      <w:r>
        <w:t xml:space="preserve">🛢️ </w:t>
      </w:r>
      <w:r>
        <w:rPr>
          <w:rFonts w:hint="eastAsia"/>
        </w:rPr>
        <w:t xml:space="preserve">中东能源设施遇袭叠加伊朗警告，WTI原油上涨1.64%，油气链风险溢价上升。</w:t>
      </w:r>
    </w:p>
    <w:p>
      <w:pPr>
        <w:pStyle w:val="Compact"/>
        <w:numPr>
          <w:ilvl w:val="0"/>
          <w:numId w:val="1031"/>
        </w:numPr>
      </w:pPr>
      <w:r>
        <w:t xml:space="preserve">⚔️ </w:t>
      </w:r>
      <w:r>
        <w:rPr>
          <w:rFonts w:hint="eastAsia"/>
        </w:rPr>
        <w:t xml:space="preserve">俄乌冲突再度升级，欧洲能源、航运及防务资产波动可能加大。</w:t>
      </w:r>
    </w:p>
    <w:p>
      <w:pPr>
        <w:pStyle w:val="Compact"/>
        <w:numPr>
          <w:ilvl w:val="0"/>
          <w:numId w:val="1031"/>
        </w:numPr>
      </w:pPr>
      <w:r>
        <w:t xml:space="preserve">🧱 </w:t>
      </w:r>
      <w:r>
        <w:rPr>
          <w:rFonts w:hint="eastAsia"/>
        </w:rPr>
        <w:t xml:space="preserve">美加关税冲突涉及钢铝、家电、农业设备，可能改变北美供应链订单与成本分配。</w:t>
      </w:r>
    </w:p>
    <w:p>
      <w:pPr>
        <w:pStyle w:val="Compact"/>
        <w:numPr>
          <w:ilvl w:val="0"/>
          <w:numId w:val="1031"/>
        </w:numPr>
      </w:pPr>
      <w:r>
        <w:t xml:space="preserve">📉🟢 </w:t>
      </w:r>
      <w:r>
        <w:rPr>
          <w:rFonts w:hint="eastAsia"/>
        </w:rPr>
        <w:t xml:space="preserve">美股三大指数全部收跌，A股高估值科技开盘阶段需防范外盘风险传导。</w:t>
      </w:r>
    </w:p>
    <w:p>
      <w:pPr>
        <w:pStyle w:val="Compact"/>
        <w:numPr>
          <w:ilvl w:val="0"/>
          <w:numId w:val="1031"/>
        </w:numPr>
      </w:pPr>
      <w:r>
        <w:t xml:space="preserve">📈🔴 </w:t>
      </w:r>
      <w:r>
        <w:rPr>
          <w:rFonts w:hint="eastAsia"/>
        </w:rPr>
        <w:t xml:space="preserve">AMD、台积电、博通逆势上涨，海外科技映射仍有结构性机会，重点看光通信和半导体内部强弱分化。</w:t>
      </w:r>
    </w:p>
    <w:p>
      <w:r>
        <w:pict>
          <v:rect style="width:0;height:1.5pt" o:hralign="center" o:hrstd="t" o:hr="t"/>
        </w:pict>
      </w:r>
    </w:p>
    <w:bookmarkEnd w:id="27"/>
    <w:bookmarkStart w:id="30" w:name="六昨日a股复盘"/>
    <w:p>
      <w:pPr>
        <w:pStyle w:val="Heading2"/>
      </w:pPr>
      <w:r>
        <w:t xml:space="preserve">📊 </w:t>
      </w:r>
      <w:r>
        <w:rPr>
          <w:rFonts w:hint="eastAsia"/>
        </w:rPr>
        <w:t xml:space="preserve">六、昨日A股复盘</w:t>
      </w:r>
    </w:p>
    <w:bookmarkStart w:id="28" w:name="指数表现"/>
    <w:p>
      <w:pPr>
        <w:pStyle w:val="Heading3"/>
      </w:pPr>
      <w:r>
        <w:t xml:space="preserve">📈🔴🟢 </w:t>
      </w:r>
      <w:r>
        <w:rPr>
          <w:rFonts w:hint="eastAsia"/>
        </w:rPr>
        <w:t xml:space="preserve">指数表现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r>
      <w:tr>
        <w:tc>
          <w:tcPr/>
          <w:p>
            <w:pPr>
              <w:pStyle w:val="Compact"/>
            </w:pPr>
            <w:r>
              <w:rPr>
                <w:rFonts w:hint="eastAsia"/>
              </w:rPr>
              <w:t xml:space="preserve">上证指数</w:t>
            </w:r>
          </w:p>
        </w:tc>
        <w:tc>
          <w:tcPr/>
          <w:p>
            <w:pPr>
              <w:pStyle w:val="Compact"/>
              <w:jc w:val="right"/>
            </w:pPr>
            <w:r>
              <w:t xml:space="preserve">3940.5509</w:t>
            </w:r>
          </w:p>
        </w:tc>
        <w:tc>
          <w:tcPr/>
          <w:p>
            <w:pPr>
              <w:pStyle w:val="Compact"/>
              <w:jc w:val="right"/>
            </w:pPr>
            <w:r>
              <w:t xml:space="preserve">📈🔴 +0.1997%</w:t>
            </w:r>
          </w:p>
        </w:tc>
      </w:tr>
      <w:tr>
        <w:tc>
          <w:tcPr/>
          <w:p>
            <w:pPr>
              <w:pStyle w:val="Compact"/>
            </w:pPr>
            <w:r>
              <w:rPr>
                <w:rFonts w:hint="eastAsia"/>
              </w:rPr>
              <w:t xml:space="preserve">深证成指</w:t>
            </w:r>
          </w:p>
        </w:tc>
        <w:tc>
          <w:tcPr/>
          <w:p>
            <w:pPr>
              <w:pStyle w:val="Compact"/>
              <w:jc w:val="right"/>
            </w:pPr>
            <w:r>
              <w:t xml:space="preserve">13703.2080</w:t>
            </w:r>
          </w:p>
        </w:tc>
        <w:tc>
          <w:tcPr/>
          <w:p>
            <w:pPr>
              <w:pStyle w:val="Compact"/>
              <w:jc w:val="right"/>
            </w:pPr>
            <w:r>
              <w:t xml:space="preserve">📉🟢 -0.5206%</w:t>
            </w:r>
          </w:p>
        </w:tc>
      </w:tr>
      <w:tr>
        <w:tc>
          <w:tcPr/>
          <w:p>
            <w:pPr>
              <w:pStyle w:val="Compact"/>
            </w:pPr>
            <w:r>
              <w:rPr>
                <w:rFonts w:hint="eastAsia"/>
              </w:rPr>
              <w:t xml:space="preserve">创业板指</w:t>
            </w:r>
          </w:p>
        </w:tc>
        <w:tc>
          <w:tcPr/>
          <w:p>
            <w:pPr>
              <w:pStyle w:val="Compact"/>
              <w:jc w:val="right"/>
            </w:pPr>
            <w:r>
              <w:t xml:space="preserve">3359.7160</w:t>
            </w:r>
          </w:p>
        </w:tc>
        <w:tc>
          <w:tcPr/>
          <w:p>
            <w:pPr>
              <w:pStyle w:val="Compact"/>
              <w:jc w:val="right"/>
            </w:pPr>
            <w:r>
              <w:t xml:space="preserve">📉🟢 -1.1465%</w:t>
            </w:r>
          </w:p>
        </w:tc>
      </w:tr>
      <w:tr>
        <w:tc>
          <w:tcPr/>
          <w:p>
            <w:pPr>
              <w:pStyle w:val="Compact"/>
            </w:pPr>
            <w:r>
              <w:rPr>
                <w:rFonts w:hint="eastAsia"/>
              </w:rPr>
              <w:t xml:space="preserve">科创50</w:t>
            </w:r>
          </w:p>
        </w:tc>
        <w:tc>
          <w:tcPr/>
          <w:p>
            <w:pPr>
              <w:pStyle w:val="Compact"/>
              <w:jc w:val="right"/>
            </w:pPr>
            <w:r>
              <w:t xml:space="preserve">1590.9954</w:t>
            </w:r>
          </w:p>
        </w:tc>
        <w:tc>
          <w:tcPr/>
          <w:p>
            <w:pPr>
              <w:pStyle w:val="Compact"/>
              <w:jc w:val="right"/>
            </w:pPr>
            <w:r>
              <w:t xml:space="preserve">📉🟢 -1.5187%</w:t>
            </w:r>
          </w:p>
        </w:tc>
      </w:tr>
      <w:tr>
        <w:tc>
          <w:tcPr/>
          <w:p>
            <w:pPr>
              <w:pStyle w:val="Compact"/>
            </w:pPr>
            <w:r>
              <w:rPr>
                <w:rFonts w:hint="eastAsia"/>
              </w:rPr>
              <w:t xml:space="preserve">沪深300</w:t>
            </w:r>
          </w:p>
        </w:tc>
        <w:tc>
          <w:tcPr/>
          <w:p>
            <w:pPr>
              <w:pStyle w:val="Compact"/>
              <w:jc w:val="right"/>
            </w:pPr>
            <w:r>
              <w:t xml:space="preserve">4558.7371</w:t>
            </w:r>
          </w:p>
        </w:tc>
        <w:tc>
          <w:tcPr/>
          <w:p>
            <w:pPr>
              <w:pStyle w:val="Compact"/>
              <w:jc w:val="right"/>
            </w:pPr>
            <w:r>
              <w:t xml:space="preserve">📉🟢 -0.3560%</w:t>
            </w:r>
          </w:p>
        </w:tc>
      </w:tr>
    </w:tbl>
    <w:p>
      <w:pPr>
        <w:pStyle w:val="Compact"/>
        <w:numPr>
          <w:ilvl w:val="0"/>
          <w:numId w:val="1032"/>
        </w:numPr>
      </w:pPr>
      <w:r>
        <w:rPr>
          <w:rFonts w:hint="eastAsia"/>
        </w:rPr>
        <w:t xml:space="preserve">上证指数小幅上涨，创业板指、科创50跌幅较大，指数结构表现为权重与价值相对占优。</w:t>
      </w:r>
    </w:p>
    <w:p>
      <w:pPr>
        <w:pStyle w:val="Compact"/>
        <w:numPr>
          <w:ilvl w:val="0"/>
          <w:numId w:val="1032"/>
        </w:numPr>
      </w:pPr>
      <w:r>
        <w:rPr>
          <w:rFonts w:hint="eastAsia"/>
        </w:rPr>
        <w:t xml:space="preserve">全市场上涨3417家、下跌2026家、平盘106家，涨跌比1.687。</w:t>
      </w:r>
    </w:p>
    <w:p>
      <w:pPr>
        <w:pStyle w:val="Compact"/>
        <w:numPr>
          <w:ilvl w:val="0"/>
          <w:numId w:val="1032"/>
        </w:numPr>
      </w:pPr>
      <w:r>
        <w:rPr>
          <w:rFonts w:hint="eastAsia"/>
        </w:rPr>
        <w:t xml:space="preserve">上证、深证、创业板、科创50和沪深300数据经新浪、东财、腾讯交叉校验，价位及涨跌幅差异均处于采集校验范围内。</w:t>
      </w:r>
    </w:p>
    <w:bookmarkEnd w:id="28"/>
    <w:bookmarkStart w:id="29" w:name="成交额与资金迁徙"/>
    <w:p>
      <w:pPr>
        <w:pStyle w:val="Heading3"/>
      </w:pPr>
      <w:r>
        <w:t xml:space="preserve">💰 </w:t>
      </w:r>
      <w:r>
        <w:rPr>
          <w:rFonts w:hint="eastAsia"/>
        </w:rPr>
        <w:t xml:space="preserve">成交额与资金迁徙</w:t>
      </w:r>
    </w:p>
    <w:p>
      <w:pPr>
        <w:pStyle w:val="Compact"/>
        <w:numPr>
          <w:ilvl w:val="0"/>
          <w:numId w:val="1033"/>
        </w:numPr>
      </w:pPr>
      <w:r>
        <w:rPr>
          <w:rFonts w:hint="eastAsia"/>
        </w:rPr>
        <w:t xml:space="preserve">沪深两市成交额19782.20亿元，前一交易日19642.35亿元。</w:t>
      </w:r>
    </w:p>
    <w:p>
      <w:pPr>
        <w:pStyle w:val="Compact"/>
        <w:numPr>
          <w:ilvl w:val="0"/>
          <w:numId w:val="1033"/>
        </w:numPr>
      </w:pPr>
      <w:r>
        <w:rPr>
          <w:rFonts w:hint="eastAsia"/>
        </w:rPr>
        <w:t xml:space="preserve">成交额增加139.84亿元，增幅0.71%，状态为“量能接近昨日”。</w:t>
      </w:r>
    </w:p>
    <w:p>
      <w:pPr>
        <w:pStyle w:val="Compact"/>
        <w:numPr>
          <w:ilvl w:val="0"/>
          <w:numId w:val="1033"/>
        </w:numPr>
      </w:pPr>
      <w:r>
        <w:rPr>
          <w:rFonts w:hint="eastAsia"/>
        </w:rPr>
        <w:t xml:space="preserve">基础化工、有色金属、医药生物、石油石化、房地产获得资金流入。</w:t>
      </w:r>
    </w:p>
    <w:p>
      <w:pPr>
        <w:pStyle w:val="Compact"/>
        <w:numPr>
          <w:ilvl w:val="0"/>
          <w:numId w:val="1033"/>
        </w:numPr>
      </w:pPr>
      <w:r>
        <w:rPr>
          <w:rFonts w:hint="eastAsia"/>
        </w:rPr>
        <w:t xml:space="preserve">消费电子、计算机设备、IT服务、电池、光学光电子等方向出现明显流出。</w:t>
      </w:r>
    </w:p>
    <w:p>
      <w:pPr>
        <w:pStyle w:val="Compact"/>
        <w:numPr>
          <w:ilvl w:val="0"/>
          <w:numId w:val="1033"/>
        </w:numPr>
      </w:pPr>
      <w:r>
        <w:t xml:space="preserve">💡 </w:t>
      </w:r>
      <w:r>
        <w:rPr>
          <w:rFonts w:hint="eastAsia"/>
        </w:rPr>
        <w:t xml:space="preserve">这不是普涨式风险偏好扩张，而是高位科技向资源、医药、地产及建筑方向迁徙。</w:t>
      </w:r>
    </w:p>
    <w:p>
      <w:r>
        <w:pict>
          <v:rect style="width:0;height:1.5pt" o:hralign="center" o:hrstd="t" o:hr="t"/>
        </w:pict>
      </w:r>
    </w:p>
    <w:bookmarkEnd w:id="29"/>
    <w:bookmarkEnd w:id="30"/>
    <w:bookmarkStart w:id="39" w:name="七上一交易日资金四张榜"/>
    <w:p>
      <w:pPr>
        <w:pStyle w:val="Heading2"/>
      </w:pPr>
      <w:r>
        <w:t xml:space="preserve">💰 </w:t>
      </w:r>
      <w:r>
        <w:rPr>
          <w:rFonts w:hint="eastAsia"/>
        </w:rPr>
        <w:t xml:space="preserve">七、上一交易日资金四张榜</w:t>
      </w:r>
    </w:p>
    <w:p>
      <w:pPr>
        <w:pStyle w:val="FirstParagraph"/>
      </w:pPr>
      <w:r>
        <w:rPr>
          <w:rFonts w:hint="eastAsia"/>
          <w:b/>
          <w:bCs/>
        </w:rPr>
        <w:t xml:space="preserve">统一口径：交易日2026-09-08，时点15:00，范围</w:t>
      </w:r>
      <w:r>
        <w:rPr>
          <w:rStyle w:val="VerbatimChar"/>
          <w:b/>
          <w:bCs/>
        </w:rPr>
        <w:t xml:space="preserve">previous_close</w:t>
      </w:r>
      <w:r>
        <w:rPr>
          <w:rFonts w:hint="eastAsia"/>
          <w:b/>
          <w:bCs/>
        </w:rPr>
        <w:t xml:space="preserve">，板块分类为申万二级行业。来源：华泰skill</w:t>
      </w:r>
      <w:r>
        <w:rPr>
          <w:b/>
          <w:bCs/>
        </w:rPr>
        <w:t xml:space="preserve"> + </w:t>
      </w:r>
      <w:r>
        <w:rPr>
          <w:rFonts w:hint="eastAsia"/>
          <w:b/>
          <w:bCs/>
        </w:rPr>
        <w:t xml:space="preserve">东财push2his_fflow；流出板块榜使用东财历史资金流接口补全。</w:t>
      </w:r>
    </w:p>
    <w:bookmarkStart w:id="31" w:name="流出top10板块15"/>
    <w:p>
      <w:pPr>
        <w:pStyle w:val="Heading3"/>
      </w:pPr>
      <w:r>
        <w:t xml:space="preserve">📉🟢 </w:t>
      </w:r>
      <w:r>
        <w:rPr>
          <w:rFonts w:hint="eastAsia"/>
        </w:rPr>
        <w:t xml:space="preserve">流出TOP10板块（1—5）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消费电子</w:t>
            </w:r>
          </w:p>
        </w:tc>
        <w:tc>
          <w:tcPr/>
          <w:p>
            <w:pPr>
              <w:pStyle w:val="Compact"/>
              <w:jc w:val="right"/>
            </w:pPr>
            <w:r>
              <w:rPr>
                <w:rFonts w:hint="eastAsia"/>
              </w:rPr>
              <w:t xml:space="preserve">-32.58亿元</w:t>
            </w:r>
          </w:p>
        </w:tc>
      </w:tr>
      <w:tr>
        <w:tc>
          <w:tcPr/>
          <w:p>
            <w:pPr>
              <w:pStyle w:val="Compact"/>
              <w:jc w:val="right"/>
            </w:pPr>
            <w:r>
              <w:t xml:space="preserve">2</w:t>
            </w:r>
          </w:p>
        </w:tc>
        <w:tc>
          <w:tcPr/>
          <w:p>
            <w:pPr>
              <w:pStyle w:val="Compact"/>
            </w:pPr>
            <w:r>
              <w:rPr>
                <w:rFonts w:hint="eastAsia"/>
              </w:rPr>
              <w:t xml:space="preserve">计算机设备</w:t>
            </w:r>
          </w:p>
        </w:tc>
        <w:tc>
          <w:tcPr/>
          <w:p>
            <w:pPr>
              <w:pStyle w:val="Compact"/>
              <w:jc w:val="right"/>
            </w:pPr>
            <w:r>
              <w:rPr>
                <w:rFonts w:hint="eastAsia"/>
              </w:rPr>
              <w:t xml:space="preserve">-28.58亿元</w:t>
            </w:r>
          </w:p>
        </w:tc>
      </w:tr>
      <w:tr>
        <w:tc>
          <w:tcPr/>
          <w:p>
            <w:pPr>
              <w:pStyle w:val="Compact"/>
              <w:jc w:val="right"/>
            </w:pPr>
            <w:r>
              <w:t xml:space="preserve">3</w:t>
            </w:r>
          </w:p>
        </w:tc>
        <w:tc>
          <w:tcPr/>
          <w:p>
            <w:pPr>
              <w:pStyle w:val="Compact"/>
            </w:pPr>
            <w:r>
              <w:rPr>
                <w:rFonts w:hint="eastAsia"/>
              </w:rPr>
              <w:t xml:space="preserve">IT服务Ⅱ</w:t>
            </w:r>
          </w:p>
        </w:tc>
        <w:tc>
          <w:tcPr/>
          <w:p>
            <w:pPr>
              <w:pStyle w:val="Compact"/>
              <w:jc w:val="right"/>
            </w:pPr>
            <w:r>
              <w:rPr>
                <w:rFonts w:hint="eastAsia"/>
              </w:rPr>
              <w:t xml:space="preserve">-20.75亿元</w:t>
            </w:r>
          </w:p>
        </w:tc>
      </w:tr>
      <w:tr>
        <w:tc>
          <w:tcPr/>
          <w:p>
            <w:pPr>
              <w:pStyle w:val="Compact"/>
              <w:jc w:val="right"/>
            </w:pPr>
            <w:r>
              <w:t xml:space="preserve">4</w:t>
            </w:r>
          </w:p>
        </w:tc>
        <w:tc>
          <w:tcPr/>
          <w:p>
            <w:pPr>
              <w:pStyle w:val="Compact"/>
            </w:pPr>
            <w:r>
              <w:rPr>
                <w:rFonts w:hint="eastAsia"/>
              </w:rPr>
              <w:t xml:space="preserve">电池</w:t>
            </w:r>
          </w:p>
        </w:tc>
        <w:tc>
          <w:tcPr/>
          <w:p>
            <w:pPr>
              <w:pStyle w:val="Compact"/>
              <w:jc w:val="right"/>
            </w:pPr>
            <w:r>
              <w:rPr>
                <w:rFonts w:hint="eastAsia"/>
              </w:rPr>
              <w:t xml:space="preserve">-17.04亿元</w:t>
            </w:r>
          </w:p>
        </w:tc>
      </w:tr>
      <w:tr>
        <w:tc>
          <w:tcPr/>
          <w:p>
            <w:pPr>
              <w:pStyle w:val="Compact"/>
              <w:jc w:val="right"/>
            </w:pPr>
            <w:r>
              <w:t xml:space="preserve">5</w:t>
            </w:r>
          </w:p>
        </w:tc>
        <w:tc>
          <w:tcPr/>
          <w:p>
            <w:pPr>
              <w:pStyle w:val="Compact"/>
            </w:pPr>
            <w:r>
              <w:rPr>
                <w:rFonts w:hint="eastAsia"/>
              </w:rPr>
              <w:t xml:space="preserve">光学光电子</w:t>
            </w:r>
          </w:p>
        </w:tc>
        <w:tc>
          <w:tcPr/>
          <w:p>
            <w:pPr>
              <w:pStyle w:val="Compact"/>
              <w:jc w:val="right"/>
            </w:pPr>
            <w:r>
              <w:rPr>
                <w:rFonts w:hint="eastAsia"/>
              </w:rPr>
              <w:t xml:space="preserve">-17.03亿元</w:t>
            </w:r>
          </w:p>
        </w:tc>
      </w:tr>
    </w:tbl>
    <w:bookmarkEnd w:id="31"/>
    <w:bookmarkStart w:id="32" w:name="流出top10板块610"/>
    <w:p>
      <w:pPr>
        <w:pStyle w:val="Heading3"/>
      </w:pPr>
      <w:r>
        <w:t xml:space="preserve">📉🟢 </w:t>
      </w:r>
      <w:r>
        <w:rPr>
          <w:rFonts w:hint="eastAsia"/>
        </w:rPr>
        <w:t xml:space="preserve">流出TOP10板块（6—10）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证券Ⅱ</w:t>
            </w:r>
          </w:p>
        </w:tc>
        <w:tc>
          <w:tcPr/>
          <w:p>
            <w:pPr>
              <w:pStyle w:val="Compact"/>
              <w:jc w:val="right"/>
            </w:pPr>
            <w:r>
              <w:rPr>
                <w:rFonts w:hint="eastAsia"/>
              </w:rPr>
              <w:t xml:space="preserve">-14.55亿元</w:t>
            </w:r>
          </w:p>
        </w:tc>
      </w:tr>
      <w:tr>
        <w:tc>
          <w:tcPr/>
          <w:p>
            <w:pPr>
              <w:pStyle w:val="Compact"/>
              <w:jc w:val="right"/>
            </w:pPr>
            <w:r>
              <w:t xml:space="preserve">7</w:t>
            </w:r>
          </w:p>
        </w:tc>
        <w:tc>
          <w:tcPr/>
          <w:p>
            <w:pPr>
              <w:pStyle w:val="Compact"/>
            </w:pPr>
            <w:r>
              <w:rPr>
                <w:rFonts w:hint="eastAsia"/>
              </w:rPr>
              <w:t xml:space="preserve">半导体</w:t>
            </w:r>
          </w:p>
        </w:tc>
        <w:tc>
          <w:tcPr/>
          <w:p>
            <w:pPr>
              <w:pStyle w:val="Compact"/>
              <w:jc w:val="right"/>
            </w:pPr>
            <w:r>
              <w:rPr>
                <w:rFonts w:hint="eastAsia"/>
              </w:rPr>
              <w:t xml:space="preserve">-13.89亿元</w:t>
            </w:r>
          </w:p>
        </w:tc>
      </w:tr>
      <w:tr>
        <w:tc>
          <w:tcPr/>
          <w:p>
            <w:pPr>
              <w:pStyle w:val="Compact"/>
              <w:jc w:val="right"/>
            </w:pPr>
            <w:r>
              <w:t xml:space="preserve">8</w:t>
            </w:r>
          </w:p>
        </w:tc>
        <w:tc>
          <w:tcPr/>
          <w:p>
            <w:pPr>
              <w:pStyle w:val="Compact"/>
            </w:pPr>
            <w:r>
              <w:rPr>
                <w:rFonts w:hint="eastAsia"/>
              </w:rPr>
              <w:t xml:space="preserve">软件开发</w:t>
            </w:r>
          </w:p>
        </w:tc>
        <w:tc>
          <w:tcPr/>
          <w:p>
            <w:pPr>
              <w:pStyle w:val="Compact"/>
              <w:jc w:val="right"/>
            </w:pPr>
            <w:r>
              <w:rPr>
                <w:rFonts w:hint="eastAsia"/>
              </w:rPr>
              <w:t xml:space="preserve">-13.84亿元</w:t>
            </w:r>
          </w:p>
        </w:tc>
      </w:tr>
      <w:tr>
        <w:tc>
          <w:tcPr/>
          <w:p>
            <w:pPr>
              <w:pStyle w:val="Compact"/>
              <w:jc w:val="right"/>
            </w:pPr>
            <w:r>
              <w:t xml:space="preserve">9</w:t>
            </w:r>
          </w:p>
        </w:tc>
        <w:tc>
          <w:tcPr/>
          <w:p>
            <w:pPr>
              <w:pStyle w:val="Compact"/>
            </w:pPr>
            <w:r>
              <w:rPr>
                <w:rFonts w:hint="eastAsia"/>
              </w:rPr>
              <w:t xml:space="preserve">元件</w:t>
            </w:r>
          </w:p>
        </w:tc>
        <w:tc>
          <w:tcPr/>
          <w:p>
            <w:pPr>
              <w:pStyle w:val="Compact"/>
              <w:jc w:val="right"/>
            </w:pPr>
            <w:r>
              <w:rPr>
                <w:rFonts w:hint="eastAsia"/>
              </w:rPr>
              <w:t xml:space="preserve">-13.04亿元</w:t>
            </w:r>
          </w:p>
        </w:tc>
      </w:tr>
      <w:tr>
        <w:tc>
          <w:tcPr/>
          <w:p>
            <w:pPr>
              <w:pStyle w:val="Compact"/>
              <w:jc w:val="right"/>
            </w:pPr>
            <w:r>
              <w:t xml:space="preserve">10</w:t>
            </w:r>
          </w:p>
        </w:tc>
        <w:tc>
          <w:tcPr/>
          <w:p>
            <w:pPr>
              <w:pStyle w:val="Compact"/>
            </w:pPr>
            <w:r>
              <w:rPr>
                <w:rFonts w:hint="eastAsia"/>
              </w:rPr>
              <w:t xml:space="preserve">电子化学品Ⅱ</w:t>
            </w:r>
          </w:p>
        </w:tc>
        <w:tc>
          <w:tcPr/>
          <w:p>
            <w:pPr>
              <w:pStyle w:val="Compact"/>
              <w:jc w:val="right"/>
            </w:pPr>
            <w:r>
              <w:rPr>
                <w:rFonts w:hint="eastAsia"/>
              </w:rPr>
              <w:t xml:space="preserve">-10.37亿元</w:t>
            </w:r>
          </w:p>
        </w:tc>
      </w:tr>
    </w:tbl>
    <w:bookmarkEnd w:id="32"/>
    <w:bookmarkStart w:id="33" w:name="流出top10个股15"/>
    <w:p>
      <w:pPr>
        <w:pStyle w:val="Heading3"/>
      </w:pPr>
      <w:r>
        <w:t xml:space="preserve">📉🟢 </w:t>
      </w:r>
      <w:r>
        <w:rPr>
          <w:rFonts w:hint="eastAsia"/>
        </w:rPr>
        <w:t xml:space="preserve">流出TOP10个股（1—5）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宁德时代</w:t>
            </w:r>
          </w:p>
        </w:tc>
        <w:tc>
          <w:tcPr/>
          <w:p>
            <w:pPr>
              <w:pStyle w:val="Compact"/>
            </w:pPr>
            <w:r>
              <w:t xml:space="preserve">300750</w:t>
            </w:r>
          </w:p>
        </w:tc>
        <w:tc>
          <w:tcPr/>
          <w:p>
            <w:pPr>
              <w:pStyle w:val="Compact"/>
              <w:jc w:val="right"/>
            </w:pPr>
            <w:r>
              <w:rPr>
                <w:rFonts w:hint="eastAsia"/>
              </w:rPr>
              <w:t xml:space="preserve">-13.28亿元</w:t>
            </w:r>
          </w:p>
        </w:tc>
      </w:tr>
      <w:tr>
        <w:tc>
          <w:tcPr/>
          <w:p>
            <w:pPr>
              <w:pStyle w:val="Compact"/>
              <w:jc w:val="right"/>
            </w:pPr>
            <w:r>
              <w:t xml:space="preserve">2</w:t>
            </w:r>
          </w:p>
        </w:tc>
        <w:tc>
          <w:tcPr/>
          <w:p>
            <w:pPr>
              <w:pStyle w:val="Compact"/>
            </w:pPr>
            <w:r>
              <w:rPr>
                <w:rFonts w:hint="eastAsia"/>
              </w:rPr>
              <w:t xml:space="preserve">京东方A</w:t>
            </w:r>
          </w:p>
        </w:tc>
        <w:tc>
          <w:tcPr/>
          <w:p>
            <w:pPr>
              <w:pStyle w:val="Compact"/>
            </w:pPr>
            <w:r>
              <w:t xml:space="preserve">000725</w:t>
            </w:r>
          </w:p>
        </w:tc>
        <w:tc>
          <w:tcPr/>
          <w:p>
            <w:pPr>
              <w:pStyle w:val="Compact"/>
              <w:jc w:val="right"/>
            </w:pPr>
            <w:r>
              <w:rPr>
                <w:rFonts w:hint="eastAsia"/>
              </w:rPr>
              <w:t xml:space="preserve">-11.48亿元</w:t>
            </w:r>
          </w:p>
        </w:tc>
      </w:tr>
      <w:tr>
        <w:tc>
          <w:tcPr/>
          <w:p>
            <w:pPr>
              <w:pStyle w:val="Compact"/>
              <w:jc w:val="right"/>
            </w:pPr>
            <w:r>
              <w:t xml:space="preserve">3</w:t>
            </w:r>
          </w:p>
        </w:tc>
        <w:tc>
          <w:tcPr/>
          <w:p>
            <w:pPr>
              <w:pStyle w:val="Compact"/>
            </w:pPr>
            <w:r>
              <w:rPr>
                <w:rFonts w:hint="eastAsia"/>
              </w:rPr>
              <w:t xml:space="preserve">海康威视</w:t>
            </w:r>
          </w:p>
        </w:tc>
        <w:tc>
          <w:tcPr/>
          <w:p>
            <w:pPr>
              <w:pStyle w:val="Compact"/>
            </w:pPr>
            <w:r>
              <w:t xml:space="preserve">002415</w:t>
            </w:r>
          </w:p>
        </w:tc>
        <w:tc>
          <w:tcPr/>
          <w:p>
            <w:pPr>
              <w:pStyle w:val="Compact"/>
              <w:jc w:val="right"/>
            </w:pPr>
            <w:r>
              <w:rPr>
                <w:rFonts w:hint="eastAsia"/>
              </w:rPr>
              <w:t xml:space="preserve">-9.97亿元</w:t>
            </w:r>
          </w:p>
        </w:tc>
      </w:tr>
      <w:tr>
        <w:tc>
          <w:tcPr/>
          <w:p>
            <w:pPr>
              <w:pStyle w:val="Compact"/>
              <w:jc w:val="right"/>
            </w:pPr>
            <w:r>
              <w:t xml:space="preserve">4</w:t>
            </w:r>
          </w:p>
        </w:tc>
        <w:tc>
          <w:tcPr/>
          <w:p>
            <w:pPr>
              <w:pStyle w:val="Compact"/>
            </w:pPr>
            <w:r>
              <w:rPr>
                <w:rFonts w:hint="eastAsia"/>
              </w:rPr>
              <w:t xml:space="preserve">紫光股份</w:t>
            </w:r>
          </w:p>
        </w:tc>
        <w:tc>
          <w:tcPr/>
          <w:p>
            <w:pPr>
              <w:pStyle w:val="Compact"/>
            </w:pPr>
            <w:r>
              <w:t xml:space="preserve">000938</w:t>
            </w:r>
          </w:p>
        </w:tc>
        <w:tc>
          <w:tcPr/>
          <w:p>
            <w:pPr>
              <w:pStyle w:val="Compact"/>
              <w:jc w:val="right"/>
            </w:pPr>
            <w:r>
              <w:rPr>
                <w:rFonts w:hint="eastAsia"/>
              </w:rPr>
              <w:t xml:space="preserve">-8.27亿元</w:t>
            </w:r>
          </w:p>
        </w:tc>
      </w:tr>
      <w:tr>
        <w:tc>
          <w:tcPr/>
          <w:p>
            <w:pPr>
              <w:pStyle w:val="Compact"/>
              <w:jc w:val="right"/>
            </w:pPr>
            <w:r>
              <w:t xml:space="preserve">5</w:t>
            </w:r>
          </w:p>
        </w:tc>
        <w:tc>
          <w:tcPr/>
          <w:p>
            <w:pPr>
              <w:pStyle w:val="Compact"/>
            </w:pPr>
            <w:r>
              <w:rPr>
                <w:rFonts w:hint="eastAsia"/>
              </w:rPr>
              <w:t xml:space="preserve">浪潮信息</w:t>
            </w:r>
          </w:p>
        </w:tc>
        <w:tc>
          <w:tcPr/>
          <w:p>
            <w:pPr>
              <w:pStyle w:val="Compact"/>
            </w:pPr>
            <w:r>
              <w:t xml:space="preserve">000977</w:t>
            </w:r>
          </w:p>
        </w:tc>
        <w:tc>
          <w:tcPr/>
          <w:p>
            <w:pPr>
              <w:pStyle w:val="Compact"/>
              <w:jc w:val="right"/>
            </w:pPr>
            <w:r>
              <w:rPr>
                <w:rFonts w:hint="eastAsia"/>
              </w:rPr>
              <w:t xml:space="preserve">-7.82亿元</w:t>
            </w:r>
          </w:p>
        </w:tc>
      </w:tr>
    </w:tbl>
    <w:bookmarkEnd w:id="33"/>
    <w:bookmarkStart w:id="34" w:name="流出top10个股610"/>
    <w:p>
      <w:pPr>
        <w:pStyle w:val="Heading3"/>
      </w:pPr>
      <w:r>
        <w:t xml:space="preserve">📉🟢 </w:t>
      </w:r>
      <w:r>
        <w:rPr>
          <w:rFonts w:hint="eastAsia"/>
        </w:rPr>
        <w:t xml:space="preserve">流出TOP10个股（6—10）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工业富联</w:t>
            </w:r>
          </w:p>
        </w:tc>
        <w:tc>
          <w:tcPr/>
          <w:p>
            <w:pPr>
              <w:pStyle w:val="Compact"/>
            </w:pPr>
            <w:r>
              <w:t xml:space="preserve">601138</w:t>
            </w:r>
          </w:p>
        </w:tc>
        <w:tc>
          <w:tcPr/>
          <w:p>
            <w:pPr>
              <w:pStyle w:val="Compact"/>
              <w:jc w:val="right"/>
            </w:pPr>
            <w:r>
              <w:rPr>
                <w:rFonts w:hint="eastAsia"/>
              </w:rPr>
              <w:t xml:space="preserve">-7.62亿元</w:t>
            </w:r>
          </w:p>
        </w:tc>
      </w:tr>
      <w:tr>
        <w:tc>
          <w:tcPr/>
          <w:p>
            <w:pPr>
              <w:pStyle w:val="Compact"/>
              <w:jc w:val="right"/>
            </w:pPr>
            <w:r>
              <w:t xml:space="preserve">7</w:t>
            </w:r>
          </w:p>
        </w:tc>
        <w:tc>
          <w:tcPr/>
          <w:p>
            <w:pPr>
              <w:pStyle w:val="Compact"/>
            </w:pPr>
            <w:r>
              <w:rPr>
                <w:rFonts w:hint="eastAsia"/>
              </w:rPr>
              <w:t xml:space="preserve">立讯精密</w:t>
            </w:r>
          </w:p>
        </w:tc>
        <w:tc>
          <w:tcPr/>
          <w:p>
            <w:pPr>
              <w:pStyle w:val="Compact"/>
            </w:pPr>
            <w:r>
              <w:t xml:space="preserve">002475</w:t>
            </w:r>
          </w:p>
        </w:tc>
        <w:tc>
          <w:tcPr/>
          <w:p>
            <w:pPr>
              <w:pStyle w:val="Compact"/>
              <w:jc w:val="right"/>
            </w:pPr>
            <w:r>
              <w:rPr>
                <w:rFonts w:hint="eastAsia"/>
              </w:rPr>
              <w:t xml:space="preserve">-5.84亿元</w:t>
            </w:r>
          </w:p>
        </w:tc>
      </w:tr>
      <w:tr>
        <w:tc>
          <w:tcPr/>
          <w:p>
            <w:pPr>
              <w:pStyle w:val="Compact"/>
              <w:jc w:val="right"/>
            </w:pPr>
            <w:r>
              <w:t xml:space="preserve">8</w:t>
            </w:r>
          </w:p>
        </w:tc>
        <w:tc>
          <w:tcPr/>
          <w:p>
            <w:pPr>
              <w:pStyle w:val="Compact"/>
            </w:pPr>
            <w:r>
              <w:rPr>
                <w:rFonts w:hint="eastAsia"/>
              </w:rPr>
              <w:t xml:space="preserve">景旺电子</w:t>
            </w:r>
          </w:p>
        </w:tc>
        <w:tc>
          <w:tcPr/>
          <w:p>
            <w:pPr>
              <w:pStyle w:val="Compact"/>
            </w:pPr>
            <w:r>
              <w:t xml:space="preserve">603228</w:t>
            </w:r>
          </w:p>
        </w:tc>
        <w:tc>
          <w:tcPr/>
          <w:p>
            <w:pPr>
              <w:pStyle w:val="Compact"/>
              <w:jc w:val="right"/>
            </w:pPr>
            <w:r>
              <w:rPr>
                <w:rFonts w:hint="eastAsia"/>
              </w:rPr>
              <w:t xml:space="preserve">-5.63亿元</w:t>
            </w:r>
          </w:p>
        </w:tc>
      </w:tr>
      <w:tr>
        <w:tc>
          <w:tcPr/>
          <w:p>
            <w:pPr>
              <w:pStyle w:val="Compact"/>
              <w:jc w:val="right"/>
            </w:pPr>
            <w:r>
              <w:t xml:space="preserve">9</w:t>
            </w:r>
          </w:p>
        </w:tc>
        <w:tc>
          <w:tcPr/>
          <w:p>
            <w:pPr>
              <w:pStyle w:val="Compact"/>
            </w:pPr>
            <w:r>
              <w:rPr>
                <w:rFonts w:hint="eastAsia"/>
              </w:rPr>
              <w:t xml:space="preserve">中微公司</w:t>
            </w:r>
          </w:p>
        </w:tc>
        <w:tc>
          <w:tcPr/>
          <w:p>
            <w:pPr>
              <w:pStyle w:val="Compact"/>
            </w:pPr>
            <w:r>
              <w:t xml:space="preserve">688012</w:t>
            </w:r>
          </w:p>
        </w:tc>
        <w:tc>
          <w:tcPr/>
          <w:p>
            <w:pPr>
              <w:pStyle w:val="Compact"/>
              <w:jc w:val="right"/>
            </w:pPr>
            <w:r>
              <w:rPr>
                <w:rFonts w:hint="eastAsia"/>
              </w:rPr>
              <w:t xml:space="preserve">-5.28亿元</w:t>
            </w:r>
          </w:p>
        </w:tc>
      </w:tr>
      <w:tr>
        <w:tc>
          <w:tcPr/>
          <w:p>
            <w:pPr>
              <w:pStyle w:val="Compact"/>
              <w:jc w:val="right"/>
            </w:pPr>
            <w:r>
              <w:t xml:space="preserve">10</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-4.69亿元</w:t>
            </w:r>
          </w:p>
        </w:tc>
      </w:tr>
    </w:tbl>
    <w:bookmarkEnd w:id="34"/>
    <w:bookmarkStart w:id="35" w:name="流入top10板块15"/>
    <w:p>
      <w:pPr>
        <w:pStyle w:val="Heading3"/>
      </w:pPr>
      <w:r>
        <w:t xml:space="preserve">📈🔴 </w:t>
      </w:r>
      <w:r>
        <w:rPr>
          <w:rFonts w:hint="eastAsia"/>
        </w:rPr>
        <w:t xml:space="preserve">流入TOP10板块（1—5）</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基础化工</w:t>
            </w:r>
          </w:p>
        </w:tc>
        <w:tc>
          <w:tcPr/>
          <w:p>
            <w:pPr>
              <w:pStyle w:val="Compact"/>
              <w:jc w:val="right"/>
            </w:pPr>
            <w:r>
              <w:rPr>
                <w:rFonts w:hint="eastAsia"/>
              </w:rPr>
              <w:t xml:space="preserve">+41.53亿元</w:t>
            </w:r>
          </w:p>
        </w:tc>
      </w:tr>
      <w:tr>
        <w:tc>
          <w:tcPr/>
          <w:p>
            <w:pPr>
              <w:pStyle w:val="Compact"/>
              <w:jc w:val="right"/>
            </w:pPr>
            <w:r>
              <w:t xml:space="preserve">2</w:t>
            </w:r>
          </w:p>
        </w:tc>
        <w:tc>
          <w:tcPr/>
          <w:p>
            <w:pPr>
              <w:pStyle w:val="Compact"/>
            </w:pPr>
            <w:r>
              <w:rPr>
                <w:rFonts w:hint="eastAsia"/>
              </w:rPr>
              <w:t xml:space="preserve">有色金属</w:t>
            </w:r>
          </w:p>
        </w:tc>
        <w:tc>
          <w:tcPr/>
          <w:p>
            <w:pPr>
              <w:pStyle w:val="Compact"/>
              <w:jc w:val="right"/>
            </w:pPr>
            <w:r>
              <w:rPr>
                <w:rFonts w:hint="eastAsia"/>
              </w:rPr>
              <w:t xml:space="preserve">+33.19亿元</w:t>
            </w:r>
          </w:p>
        </w:tc>
      </w:tr>
      <w:tr>
        <w:tc>
          <w:tcPr/>
          <w:p>
            <w:pPr>
              <w:pStyle w:val="Compact"/>
              <w:jc w:val="right"/>
            </w:pPr>
            <w:r>
              <w:t xml:space="preserve">3</w:t>
            </w:r>
          </w:p>
        </w:tc>
        <w:tc>
          <w:tcPr/>
          <w:p>
            <w:pPr>
              <w:pStyle w:val="Compact"/>
            </w:pPr>
            <w:r>
              <w:rPr>
                <w:rFonts w:hint="eastAsia"/>
              </w:rPr>
              <w:t xml:space="preserve">医药生物</w:t>
            </w:r>
          </w:p>
        </w:tc>
        <w:tc>
          <w:tcPr/>
          <w:p>
            <w:pPr>
              <w:pStyle w:val="Compact"/>
              <w:jc w:val="right"/>
            </w:pPr>
            <w:r>
              <w:rPr>
                <w:rFonts w:hint="eastAsia"/>
              </w:rPr>
              <w:t xml:space="preserve">+23.09亿元</w:t>
            </w:r>
          </w:p>
        </w:tc>
      </w:tr>
      <w:tr>
        <w:tc>
          <w:tcPr/>
          <w:p>
            <w:pPr>
              <w:pStyle w:val="Compact"/>
              <w:jc w:val="right"/>
            </w:pPr>
            <w:r>
              <w:t xml:space="preserve">4</w:t>
            </w:r>
          </w:p>
        </w:tc>
        <w:tc>
          <w:tcPr/>
          <w:p>
            <w:pPr>
              <w:pStyle w:val="Compact"/>
            </w:pPr>
            <w:r>
              <w:rPr>
                <w:rFonts w:hint="eastAsia"/>
              </w:rPr>
              <w:t xml:space="preserve">石油石化</w:t>
            </w:r>
          </w:p>
        </w:tc>
        <w:tc>
          <w:tcPr/>
          <w:p>
            <w:pPr>
              <w:pStyle w:val="Compact"/>
              <w:jc w:val="right"/>
            </w:pPr>
            <w:r>
              <w:rPr>
                <w:rFonts w:hint="eastAsia"/>
              </w:rPr>
              <w:t xml:space="preserve">+12.90亿元</w:t>
            </w:r>
          </w:p>
        </w:tc>
      </w:tr>
      <w:tr>
        <w:tc>
          <w:tcPr/>
          <w:p>
            <w:pPr>
              <w:pStyle w:val="Compact"/>
              <w:jc w:val="right"/>
            </w:pPr>
            <w:r>
              <w:t xml:space="preserve">5</w:t>
            </w:r>
          </w:p>
        </w:tc>
        <w:tc>
          <w:tcPr/>
          <w:p>
            <w:pPr>
              <w:pStyle w:val="Compact"/>
            </w:pPr>
            <w:r>
              <w:rPr>
                <w:rFonts w:hint="eastAsia"/>
              </w:rPr>
              <w:t xml:space="preserve">房地产</w:t>
            </w:r>
          </w:p>
        </w:tc>
        <w:tc>
          <w:tcPr/>
          <w:p>
            <w:pPr>
              <w:pStyle w:val="Compact"/>
              <w:jc w:val="right"/>
            </w:pPr>
            <w:r>
              <w:rPr>
                <w:rFonts w:hint="eastAsia"/>
              </w:rPr>
              <w:t xml:space="preserve">+11.08亿元</w:t>
            </w:r>
          </w:p>
        </w:tc>
      </w:tr>
    </w:tbl>
    <w:bookmarkEnd w:id="35"/>
    <w:bookmarkStart w:id="36" w:name="流入top10板块610"/>
    <w:p>
      <w:pPr>
        <w:pStyle w:val="Heading3"/>
      </w:pPr>
      <w:r>
        <w:t xml:space="preserve">📈🔴 </w:t>
      </w:r>
      <w:r>
        <w:rPr>
          <w:rFonts w:hint="eastAsia"/>
        </w:rPr>
        <w:t xml:space="preserve">流入TOP10板块（6—10）</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建筑装饰</w:t>
            </w:r>
          </w:p>
        </w:tc>
        <w:tc>
          <w:tcPr/>
          <w:p>
            <w:pPr>
              <w:pStyle w:val="Compact"/>
              <w:jc w:val="right"/>
            </w:pPr>
            <w:r>
              <w:rPr>
                <w:rFonts w:hint="eastAsia"/>
              </w:rPr>
              <w:t xml:space="preserve">+10.51亿元</w:t>
            </w:r>
          </w:p>
        </w:tc>
      </w:tr>
      <w:tr>
        <w:tc>
          <w:tcPr/>
          <w:p>
            <w:pPr>
              <w:pStyle w:val="Compact"/>
              <w:jc w:val="right"/>
            </w:pPr>
            <w:r>
              <w:t xml:space="preserve">7</w:t>
            </w:r>
          </w:p>
        </w:tc>
        <w:tc>
          <w:tcPr/>
          <w:p>
            <w:pPr>
              <w:pStyle w:val="Compact"/>
            </w:pPr>
            <w:r>
              <w:rPr>
                <w:rFonts w:hint="eastAsia"/>
              </w:rPr>
              <w:t xml:space="preserve">国防军工</w:t>
            </w:r>
          </w:p>
        </w:tc>
        <w:tc>
          <w:tcPr/>
          <w:p>
            <w:pPr>
              <w:pStyle w:val="Compact"/>
              <w:jc w:val="right"/>
            </w:pPr>
            <w:r>
              <w:rPr>
                <w:rFonts w:hint="eastAsia"/>
              </w:rPr>
              <w:t xml:space="preserve">+8.85亿元</w:t>
            </w:r>
          </w:p>
        </w:tc>
      </w:tr>
      <w:tr>
        <w:tc>
          <w:tcPr/>
          <w:p>
            <w:pPr>
              <w:pStyle w:val="Compact"/>
              <w:jc w:val="right"/>
            </w:pPr>
            <w:r>
              <w:t xml:space="preserve">8</w:t>
            </w:r>
          </w:p>
        </w:tc>
        <w:tc>
          <w:tcPr/>
          <w:p>
            <w:pPr>
              <w:pStyle w:val="Compact"/>
            </w:pPr>
            <w:r>
              <w:rPr>
                <w:rFonts w:hint="eastAsia"/>
              </w:rPr>
              <w:t xml:space="preserve">公用事业</w:t>
            </w:r>
          </w:p>
        </w:tc>
        <w:tc>
          <w:tcPr/>
          <w:p>
            <w:pPr>
              <w:pStyle w:val="Compact"/>
              <w:jc w:val="right"/>
            </w:pPr>
            <w:r>
              <w:rPr>
                <w:rFonts w:hint="eastAsia"/>
              </w:rPr>
              <w:t xml:space="preserve">+8.15亿元</w:t>
            </w:r>
          </w:p>
        </w:tc>
      </w:tr>
      <w:tr>
        <w:tc>
          <w:tcPr/>
          <w:p>
            <w:pPr>
              <w:pStyle w:val="Compact"/>
              <w:jc w:val="right"/>
            </w:pPr>
            <w:r>
              <w:t xml:space="preserve">9</w:t>
            </w:r>
          </w:p>
        </w:tc>
        <w:tc>
          <w:tcPr/>
          <w:p>
            <w:pPr>
              <w:pStyle w:val="Compact"/>
            </w:pPr>
            <w:r>
              <w:rPr>
                <w:rFonts w:hint="eastAsia"/>
              </w:rPr>
              <w:t xml:space="preserve">综合</w:t>
            </w:r>
          </w:p>
        </w:tc>
        <w:tc>
          <w:tcPr/>
          <w:p>
            <w:pPr>
              <w:pStyle w:val="Compact"/>
              <w:jc w:val="right"/>
            </w:pPr>
            <w:r>
              <w:rPr>
                <w:rFonts w:hint="eastAsia"/>
              </w:rPr>
              <w:t xml:space="preserve">+4.95亿元</w:t>
            </w:r>
          </w:p>
        </w:tc>
      </w:tr>
      <w:tr>
        <w:tc>
          <w:tcPr/>
          <w:p>
            <w:pPr>
              <w:pStyle w:val="Compact"/>
              <w:jc w:val="right"/>
            </w:pPr>
            <w:r>
              <w:t xml:space="preserve">10</w:t>
            </w:r>
          </w:p>
        </w:tc>
        <w:tc>
          <w:tcPr/>
          <w:p>
            <w:pPr>
              <w:pStyle w:val="Compact"/>
            </w:pPr>
            <w:r>
              <w:rPr>
                <w:rFonts w:hint="eastAsia"/>
              </w:rPr>
              <w:t xml:space="preserve">通信</w:t>
            </w:r>
          </w:p>
        </w:tc>
        <w:tc>
          <w:tcPr/>
          <w:p>
            <w:pPr>
              <w:pStyle w:val="Compact"/>
              <w:jc w:val="right"/>
            </w:pPr>
            <w:r>
              <w:rPr>
                <w:rFonts w:hint="eastAsia"/>
              </w:rPr>
              <w:t xml:space="preserve">+4.07亿元</w:t>
            </w:r>
          </w:p>
        </w:tc>
      </w:tr>
    </w:tbl>
    <w:bookmarkEnd w:id="36"/>
    <w:bookmarkStart w:id="37" w:name="流入top10个股15"/>
    <w:p>
      <w:pPr>
        <w:pStyle w:val="Heading3"/>
      </w:pPr>
      <w:r>
        <w:t xml:space="preserve">📈🔴 </w:t>
      </w:r>
      <w:r>
        <w:rPr>
          <w:rFonts w:hint="eastAsia"/>
        </w:rPr>
        <w:t xml:space="preserve">流入TOP10个股（1—5）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+166.52亿元</w:t>
            </w:r>
          </w:p>
        </w:tc>
      </w:tr>
      <w:tr>
        <w:tc>
          <w:tcPr/>
          <w:p>
            <w:pPr>
              <w:pStyle w:val="Compact"/>
              <w:jc w:val="right"/>
            </w:pPr>
            <w:r>
              <w:t xml:space="preserve">2</w:t>
            </w:r>
          </w:p>
        </w:tc>
        <w:tc>
          <w:tcPr/>
          <w:p>
            <w:pPr>
              <w:pStyle w:val="Compact"/>
            </w:pPr>
            <w:r>
              <w:rPr>
                <w:rFonts w:hint="eastAsia"/>
              </w:rPr>
              <w:t xml:space="preserve">宁德时代</w:t>
            </w:r>
          </w:p>
        </w:tc>
        <w:tc>
          <w:tcPr/>
          <w:p>
            <w:pPr>
              <w:pStyle w:val="Compact"/>
            </w:pPr>
            <w:r>
              <w:t xml:space="preserve">300750</w:t>
            </w:r>
          </w:p>
        </w:tc>
        <w:tc>
          <w:tcPr/>
          <w:p>
            <w:pPr>
              <w:pStyle w:val="Compact"/>
              <w:jc w:val="right"/>
            </w:pPr>
            <w:r>
              <w:rPr>
                <w:rFonts w:hint="eastAsia"/>
              </w:rPr>
              <w:t xml:space="preserve">+91.21亿元</w:t>
            </w:r>
          </w:p>
        </w:tc>
      </w:tr>
      <w:tr>
        <w:tc>
          <w:tcPr/>
          <w:p>
            <w:pPr>
              <w:pStyle w:val="Compact"/>
              <w:jc w:val="right"/>
            </w:pPr>
            <w:r>
              <w:t xml:space="preserve">3</w:t>
            </w:r>
          </w:p>
        </w:tc>
        <w:tc>
          <w:tcPr/>
          <w:p>
            <w:pPr>
              <w:pStyle w:val="Compact"/>
            </w:pPr>
            <w:r>
              <w:rPr>
                <w:rFonts w:hint="eastAsia"/>
              </w:rPr>
              <w:t xml:space="preserve">寒武纪</w:t>
            </w:r>
          </w:p>
        </w:tc>
        <w:tc>
          <w:tcPr/>
          <w:p>
            <w:pPr>
              <w:pStyle w:val="Compact"/>
            </w:pPr>
            <w:r>
              <w:t xml:space="preserve">688256</w:t>
            </w:r>
          </w:p>
        </w:tc>
        <w:tc>
          <w:tcPr/>
          <w:p>
            <w:pPr>
              <w:pStyle w:val="Compact"/>
              <w:jc w:val="right"/>
            </w:pPr>
            <w:r>
              <w:rPr>
                <w:rFonts w:hint="eastAsia"/>
              </w:rPr>
              <w:t xml:space="preserve">+88.91亿元</w:t>
            </w:r>
          </w:p>
        </w:tc>
      </w:tr>
      <w:tr>
        <w:tc>
          <w:tcPr/>
          <w:p>
            <w:pPr>
              <w:pStyle w:val="Compact"/>
              <w:jc w:val="right"/>
            </w:pPr>
            <w:r>
              <w:t xml:space="preserve">4</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+86.30亿元</w:t>
            </w:r>
          </w:p>
        </w:tc>
      </w:tr>
      <w:tr>
        <w:tc>
          <w:tcPr/>
          <w:p>
            <w:pPr>
              <w:pStyle w:val="Compact"/>
              <w:jc w:val="right"/>
            </w:pPr>
            <w:r>
              <w:t xml:space="preserve">5</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+67.68亿元</w:t>
            </w:r>
          </w:p>
        </w:tc>
      </w:tr>
    </w:tbl>
    <w:bookmarkEnd w:id="37"/>
    <w:bookmarkStart w:id="38" w:name="流入top10个股610"/>
    <w:p>
      <w:pPr>
        <w:pStyle w:val="Heading3"/>
      </w:pPr>
      <w:r>
        <w:t xml:space="preserve">📈🔴 </w:t>
      </w:r>
      <w:r>
        <w:rPr>
          <w:rFonts w:hint="eastAsia"/>
        </w:rPr>
        <w:t xml:space="preserve">流入TOP10个股（6—10）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源杰科技</w:t>
            </w:r>
          </w:p>
        </w:tc>
        <w:tc>
          <w:tcPr/>
          <w:p>
            <w:pPr>
              <w:pStyle w:val="Compact"/>
            </w:pPr>
            <w:r>
              <w:t xml:space="preserve">688498</w:t>
            </w:r>
          </w:p>
        </w:tc>
        <w:tc>
          <w:tcPr/>
          <w:p>
            <w:pPr>
              <w:pStyle w:val="Compact"/>
              <w:jc w:val="right"/>
            </w:pPr>
            <w:r>
              <w:rPr>
                <w:rFonts w:hint="eastAsia"/>
              </w:rPr>
              <w:t xml:space="preserve">+65.83亿元</w:t>
            </w:r>
          </w:p>
        </w:tc>
      </w:tr>
      <w:tr>
        <w:tc>
          <w:tcPr/>
          <w:p>
            <w:pPr>
              <w:pStyle w:val="Compact"/>
              <w:jc w:val="right"/>
            </w:pPr>
            <w:r>
              <w:t xml:space="preserve">7</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+65.28亿元</w:t>
            </w:r>
          </w:p>
        </w:tc>
      </w:tr>
      <w:tr>
        <w:tc>
          <w:tcPr/>
          <w:p>
            <w:pPr>
              <w:pStyle w:val="Compact"/>
              <w:jc w:val="right"/>
            </w:pPr>
            <w:r>
              <w:t xml:space="preserve">8</w:t>
            </w:r>
          </w:p>
        </w:tc>
        <w:tc>
          <w:tcPr/>
          <w:p>
            <w:pPr>
              <w:pStyle w:val="Compact"/>
            </w:pPr>
            <w:r>
              <w:rPr>
                <w:rFonts w:hint="eastAsia"/>
              </w:rPr>
              <w:t xml:space="preserve">兴森科技</w:t>
            </w:r>
          </w:p>
        </w:tc>
        <w:tc>
          <w:tcPr/>
          <w:p>
            <w:pPr>
              <w:pStyle w:val="Compact"/>
            </w:pPr>
            <w:r>
              <w:t xml:space="preserve">002436</w:t>
            </w:r>
          </w:p>
        </w:tc>
        <w:tc>
          <w:tcPr/>
          <w:p>
            <w:pPr>
              <w:pStyle w:val="Compact"/>
              <w:jc w:val="right"/>
            </w:pPr>
            <w:r>
              <w:rPr>
                <w:rFonts w:hint="eastAsia"/>
              </w:rPr>
              <w:t xml:space="preserve">+63.76亿元</w:t>
            </w:r>
          </w:p>
        </w:tc>
      </w:tr>
      <w:tr>
        <w:tc>
          <w:tcPr/>
          <w:p>
            <w:pPr>
              <w:pStyle w:val="Compact"/>
              <w:jc w:val="right"/>
            </w:pPr>
            <w:r>
              <w:t xml:space="preserve">9</w:t>
            </w:r>
          </w:p>
        </w:tc>
        <w:tc>
          <w:tcPr/>
          <w:p>
            <w:pPr>
              <w:pStyle w:val="Compact"/>
            </w:pPr>
            <w:r>
              <w:rPr>
                <w:rFonts w:hint="eastAsia"/>
              </w:rPr>
              <w:t xml:space="preserve">XD剑桥科</w:t>
            </w:r>
          </w:p>
        </w:tc>
        <w:tc>
          <w:tcPr/>
          <w:p>
            <w:pPr>
              <w:pStyle w:val="Compact"/>
            </w:pPr>
            <w:r>
              <w:t xml:space="preserve">603083</w:t>
            </w:r>
          </w:p>
        </w:tc>
        <w:tc>
          <w:tcPr/>
          <w:p>
            <w:pPr>
              <w:pStyle w:val="Compact"/>
              <w:jc w:val="right"/>
            </w:pPr>
            <w:r>
              <w:rPr>
                <w:rFonts w:hint="eastAsia"/>
              </w:rPr>
              <w:t xml:space="preserve">+60.17亿元</w:t>
            </w:r>
          </w:p>
        </w:tc>
      </w:tr>
      <w:tr>
        <w:tc>
          <w:tcPr/>
          <w:p>
            <w:pPr>
              <w:pStyle w:val="Compact"/>
              <w:jc w:val="right"/>
            </w:pPr>
            <w:r>
              <w:t xml:space="preserve">10</w:t>
            </w:r>
          </w:p>
        </w:tc>
        <w:tc>
          <w:tcPr/>
          <w:p>
            <w:pPr>
              <w:pStyle w:val="Compact"/>
            </w:pPr>
            <w:r>
              <w:rPr>
                <w:rFonts w:hint="eastAsia"/>
              </w:rPr>
              <w:t xml:space="preserve">天孚通信</w:t>
            </w:r>
          </w:p>
        </w:tc>
        <w:tc>
          <w:tcPr/>
          <w:p>
            <w:pPr>
              <w:pStyle w:val="Compact"/>
            </w:pPr>
            <w:r>
              <w:t xml:space="preserve">300394</w:t>
            </w:r>
          </w:p>
        </w:tc>
        <w:tc>
          <w:tcPr/>
          <w:p>
            <w:pPr>
              <w:pStyle w:val="Compact"/>
              <w:jc w:val="right"/>
            </w:pPr>
            <w:r>
              <w:rPr>
                <w:rFonts w:hint="eastAsia"/>
              </w:rPr>
              <w:t xml:space="preserve">+50.06亿元</w:t>
            </w:r>
          </w:p>
        </w:tc>
      </w:tr>
    </w:tbl>
    <w:p>
      <w:pPr>
        <w:pStyle w:val="BodyText"/>
      </w:pPr>
      <w:r>
        <w:t xml:space="preserve">⚠️ </w:t>
      </w:r>
      <w:r>
        <w:rPr>
          <w:rFonts w:hint="eastAsia"/>
        </w:rPr>
        <w:t xml:space="preserve">宁德时代、长鑫科技同时出现在采集合同的流入榜和流出榜中，两张榜均按采集JSON原样展示，不相互替代。该现象反映不同字段或统计链路结果存在差异，使用时必须结合价格、成交及后续资金持续性复核。</w:t>
      </w:r>
    </w:p>
    <w:p>
      <w:r>
        <w:pict>
          <v:rect style="width:0;height:1.5pt" o:hralign="center" o:hrstd="t" o:hr="t"/>
        </w:pict>
      </w:r>
    </w:p>
    <w:bookmarkEnd w:id="38"/>
    <w:bookmarkEnd w:id="39"/>
    <w:bookmarkStart w:id="45" w:name="八两融宽基etf成交额恐慌联合信号"/>
    <w:p>
      <w:pPr>
        <w:pStyle w:val="Heading2"/>
      </w:pPr>
      <w:r>
        <w:t xml:space="preserve">💧 </w:t>
      </w:r>
      <w:r>
        <w:rPr>
          <w:rFonts w:hint="eastAsia"/>
        </w:rPr>
        <w:t xml:space="preserve">八、两融·宽基ETF·成交额·恐慌联合信号</w:t>
      </w:r>
    </w:p>
    <w:bookmarkStart w:id="40" w:name="两融余额"/>
    <w:p>
      <w:pPr>
        <w:pStyle w:val="Heading3"/>
      </w:pPr>
      <w:r>
        <w:t xml:space="preserve">🧮 </w:t>
      </w:r>
      <w:r>
        <w:rPr>
          <w:rFonts w:hint="eastAsia"/>
        </w:rPr>
        <w:t xml:space="preserve">两融余额</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t xml:space="preserve">2026-09-07</w:t>
            </w:r>
          </w:p>
        </w:tc>
        <w:tc>
          <w:tcPr/>
          <w:p>
            <w:pPr>
              <w:pStyle w:val="Compact"/>
              <w:jc w:val="right"/>
            </w:pPr>
            <w:r>
              <w:t xml:space="preserve">2026-09-04</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26494.79亿元</w:t>
            </w:r>
          </w:p>
        </w:tc>
        <w:tc>
          <w:tcPr/>
          <w:p>
            <w:pPr>
              <w:pStyle w:val="Compact"/>
              <w:jc w:val="right"/>
            </w:pPr>
            <w:r>
              <w:rPr>
                <w:rFonts w:hint="eastAsia"/>
              </w:rPr>
              <w:t xml:space="preserve">26378.40亿元</w:t>
            </w:r>
          </w:p>
        </w:tc>
        <w:tc>
          <w:tcPr/>
          <w:p>
            <w:pPr>
              <w:pStyle w:val="Compact"/>
              <w:jc w:val="right"/>
            </w:pPr>
            <w:r>
              <w:t xml:space="preserve">📈🔴 </w:t>
            </w:r>
            <w:r>
              <w:rPr>
                <w:rFonts w:hint="eastAsia"/>
              </w:rPr>
              <w:t xml:space="preserve">+116.39亿元</w:t>
            </w:r>
          </w:p>
        </w:tc>
      </w:tr>
      <w:tr>
        <w:tc>
          <w:tcPr/>
          <w:p>
            <w:pPr>
              <w:pStyle w:val="Compact"/>
            </w:pPr>
            <w:r>
              <w:rPr>
                <w:rFonts w:hint="eastAsia"/>
              </w:rPr>
              <w:t xml:space="preserve">融资余额</w:t>
            </w:r>
          </w:p>
        </w:tc>
        <w:tc>
          <w:tcPr/>
          <w:p>
            <w:pPr>
              <w:pStyle w:val="Compact"/>
              <w:jc w:val="right"/>
            </w:pPr>
            <w:r>
              <w:rPr>
                <w:rFonts w:hint="eastAsia"/>
              </w:rPr>
              <w:t xml:space="preserve">26207.42亿元</w:t>
            </w:r>
          </w:p>
        </w:tc>
        <w:tc>
          <w:tcPr/>
          <w:p>
            <w:pPr>
              <w:pStyle w:val="Compact"/>
              <w:jc w:val="right"/>
            </w:pPr>
            <w:r>
              <w:rPr>
                <w:rFonts w:hint="eastAsia"/>
              </w:rPr>
              <w:t xml:space="preserve">26092.57亿元</w:t>
            </w:r>
          </w:p>
        </w:tc>
        <w:tc>
          <w:tcPr/>
          <w:p>
            <w:pPr>
              <w:pStyle w:val="Compact"/>
              <w:jc w:val="right"/>
            </w:pPr>
            <w:r>
              <w:t xml:space="preserve">📈🔴 </w:t>
            </w:r>
            <w:r>
              <w:rPr>
                <w:rFonts w:hint="eastAsia"/>
              </w:rPr>
              <w:t xml:space="preserve">+114.85亿元</w:t>
            </w:r>
          </w:p>
        </w:tc>
      </w:tr>
      <w:tr>
        <w:tc>
          <w:tcPr/>
          <w:p>
            <w:pPr>
              <w:pStyle w:val="Compact"/>
            </w:pPr>
            <w:r>
              <w:rPr>
                <w:rFonts w:hint="eastAsia"/>
              </w:rPr>
              <w:t xml:space="preserve">融券余额</w:t>
            </w:r>
          </w:p>
        </w:tc>
        <w:tc>
          <w:tcPr/>
          <w:p>
            <w:pPr>
              <w:pStyle w:val="Compact"/>
              <w:jc w:val="right"/>
            </w:pPr>
            <w:r>
              <w:rPr>
                <w:rFonts w:hint="eastAsia"/>
              </w:rPr>
              <w:t xml:space="preserve">287.37亿元</w:t>
            </w:r>
          </w:p>
        </w:tc>
        <w:tc>
          <w:tcPr/>
          <w:p>
            <w:pPr>
              <w:pStyle w:val="Compact"/>
              <w:jc w:val="right"/>
            </w:pPr>
            <w:r>
              <w:rPr>
                <w:rFonts w:hint="eastAsia"/>
              </w:rPr>
              <w:t xml:space="preserve">285.83亿元</w:t>
            </w:r>
          </w:p>
        </w:tc>
        <w:tc>
          <w:tcPr/>
          <w:p>
            <w:pPr>
              <w:pStyle w:val="Compact"/>
              <w:jc w:val="right"/>
            </w:pPr>
            <w:r>
              <w:t xml:space="preserve">📈🔴 </w:t>
            </w:r>
            <w:r>
              <w:rPr>
                <w:rFonts w:hint="eastAsia"/>
              </w:rPr>
              <w:t xml:space="preserve">+1.53亿元</w:t>
            </w:r>
          </w:p>
        </w:tc>
      </w:tr>
    </w:tbl>
    <w:p>
      <w:pPr>
        <w:pStyle w:val="Compact"/>
        <w:numPr>
          <w:ilvl w:val="0"/>
          <w:numId w:val="1034"/>
        </w:numPr>
      </w:pPr>
      <w:r>
        <w:rPr>
          <w:rFonts w:hint="eastAsia"/>
        </w:rPr>
        <w:t xml:space="preserve">实际最新结算日期：2026-09-07。</w:t>
      </w:r>
    </w:p>
    <w:p>
      <w:pPr>
        <w:pStyle w:val="Compact"/>
        <w:numPr>
          <w:ilvl w:val="0"/>
          <w:numId w:val="1034"/>
        </w:numPr>
      </w:pPr>
      <w:r>
        <w:rPr>
          <w:rFonts w:hint="eastAsia"/>
          <w:b/>
          <w:bCs/>
        </w:rPr>
        <w:t xml:space="preserve">T+1滞后，报告日当日两融尚未发布</w:t>
      </w:r>
      <w:r>
        <w:t xml:space="preserve">。</w:t>
      </w:r>
    </w:p>
    <w:p>
      <w:pPr>
        <w:pStyle w:val="Compact"/>
        <w:numPr>
          <w:ilvl w:val="0"/>
          <w:numId w:val="1034"/>
        </w:numPr>
      </w:pPr>
      <w:r>
        <w:rPr>
          <w:rFonts w:hint="eastAsia"/>
        </w:rPr>
        <w:t xml:space="preserve">本轮两融余额增加主要由融资余额增加驱动，融资贡献远高于融券。</w:t>
      </w:r>
    </w:p>
    <w:p>
      <w:pPr>
        <w:pStyle w:val="Compact"/>
        <w:numPr>
          <w:ilvl w:val="0"/>
          <w:numId w:val="1034"/>
        </w:numPr>
      </w:pPr>
      <w:r>
        <w:t xml:space="preserve">💡 </w:t>
      </w:r>
      <w:r>
        <w:rPr>
          <w:rFonts w:hint="eastAsia"/>
        </w:rPr>
        <w:t xml:space="preserve">杠杆风险偏好出现修复，但数据早于上一交易日，不能据此判断9月8日科技回落过程中融资是否继续加仓。</w:t>
      </w:r>
    </w:p>
    <w:bookmarkEnd w:id="40"/>
    <w:bookmarkStart w:id="41" w:name="宽基etf份额与估算净申购"/>
    <w:p>
      <w:pPr>
        <w:pStyle w:val="Heading3"/>
      </w:pPr>
      <w:r>
        <w:t xml:space="preserve">💰 </w:t>
      </w:r>
      <w:r>
        <w:rPr>
          <w:rFonts w:hint="eastAsia"/>
        </w:rPr>
        <w:t xml:space="preserve">宽基ETF份额与估算净申购</w:t>
      </w:r>
    </w:p>
    <w:p>
      <w:pPr>
        <w:pStyle w:val="Compact"/>
        <w:numPr>
          <w:ilvl w:val="0"/>
          <w:numId w:val="1035"/>
        </w:numPr>
      </w:pPr>
      <w:r>
        <w:rPr>
          <w:rFonts w:hint="eastAsia"/>
        </w:rPr>
        <w:t xml:space="preserve">上证50ETF（510050）：最新份额6,847,866,800份，份额减少171,000,000份，估算净申购-5.15907亿元，未连续流入。</w:t>
      </w:r>
    </w:p>
    <w:p>
      <w:pPr>
        <w:pStyle w:val="Compact"/>
        <w:numPr>
          <w:ilvl w:val="0"/>
          <w:numId w:val="1035"/>
        </w:numPr>
      </w:pPr>
      <w:r>
        <w:rPr>
          <w:rFonts w:hint="eastAsia"/>
        </w:rPr>
        <w:t xml:space="preserve">沪深300ETF（510300）：最新份额23,468,887,700份，份额减少180,000,000份，估算净申购-8.32320亿元，未连续流入。</w:t>
      </w:r>
    </w:p>
    <w:p>
      <w:pPr>
        <w:pStyle w:val="Compact"/>
        <w:numPr>
          <w:ilvl w:val="0"/>
          <w:numId w:val="1035"/>
        </w:numPr>
      </w:pPr>
      <w:r>
        <w:rPr>
          <w:rFonts w:hint="eastAsia"/>
        </w:rPr>
        <w:t xml:space="preserve">中证500ETF（510500）：最新份额5,500,968,600份，份额减少30,400,000份，估算净申购-2.367552亿元，未连续流入。</w:t>
      </w:r>
    </w:p>
    <w:p>
      <w:pPr>
        <w:pStyle w:val="Compact"/>
        <w:numPr>
          <w:ilvl w:val="0"/>
          <w:numId w:val="1035"/>
        </w:numPr>
      </w:pPr>
      <w:r>
        <w:rPr>
          <w:rFonts w:hint="eastAsia"/>
        </w:rPr>
        <w:t xml:space="preserve">科创50ETF（588000）：最新份额53,858,668,200份，份额增加324,000,000份，估算净申购+5.44644亿元，仅连续1个区间流入。</w:t>
      </w:r>
    </w:p>
    <w:p>
      <w:pPr>
        <w:pStyle w:val="Compact"/>
        <w:numPr>
          <w:ilvl w:val="0"/>
          <w:numId w:val="1035"/>
        </w:numPr>
      </w:pPr>
      <w:r>
        <w:rPr>
          <w:rFonts w:hint="eastAsia"/>
        </w:rPr>
        <w:t xml:space="preserve">科创板50ETF（588080）：最新份额25,642,628,100份，份额增加246,000,000份，估算净申购+4.00980亿元，仅连续1个区间流入。</w:t>
      </w:r>
    </w:p>
    <w:p>
      <w:pPr>
        <w:pStyle w:val="Compact"/>
        <w:numPr>
          <w:ilvl w:val="0"/>
          <w:numId w:val="1035"/>
        </w:numPr>
      </w:pPr>
      <w:r>
        <w:rPr>
          <w:rFonts w:hint="eastAsia"/>
        </w:rPr>
        <w:t xml:space="preserve">创业板ETF（159915）：最新份额19,364,454,936份，份额增加73,000,000份，估算净申购+2.46448亿元，仅连续1个区间流入。</w:t>
      </w:r>
    </w:p>
    <w:p>
      <w:pPr>
        <w:pStyle w:val="Compact"/>
        <w:numPr>
          <w:ilvl w:val="0"/>
          <w:numId w:val="1035"/>
        </w:numPr>
      </w:pPr>
      <w:r>
        <w:rPr>
          <w:rFonts w:hint="eastAsia"/>
        </w:rPr>
        <w:t xml:space="preserve">创业板50ETF（159949）：最新份额15,523,785,113份，份额增加135,000,000份，估算净申购+2.13435亿元，仅连续1个区间流入。</w:t>
      </w:r>
    </w:p>
    <w:p>
      <w:pPr>
        <w:pStyle w:val="Compact"/>
        <w:numPr>
          <w:ilvl w:val="0"/>
          <w:numId w:val="1035"/>
        </w:numPr>
      </w:pPr>
      <w:r>
        <w:rPr>
          <w:rFonts w:hint="eastAsia"/>
        </w:rPr>
        <w:t xml:space="preserve">深证100ETF（159901）：最新份额1,014,234,930份，份额增加10,500,000份，估算净申购+0.37023亿元，仅连续1个区间流入。</w:t>
      </w:r>
    </w:p>
    <w:p>
      <w:pPr>
        <w:pStyle w:val="FirstParagraph"/>
      </w:pPr>
      <w:r>
        <w:rPr>
          <w:rFonts w:hint="eastAsia"/>
          <w:b/>
          <w:bCs/>
        </w:rPr>
        <w:t xml:space="preserve">判断：</w:t>
      </w:r>
    </w:p>
    <w:p>
      <w:pPr>
        <w:pStyle w:val="Compact"/>
        <w:numPr>
          <w:ilvl w:val="0"/>
          <w:numId w:val="1036"/>
        </w:numPr>
      </w:pPr>
      <w:r>
        <w:rPr>
          <w:rFonts w:hint="eastAsia"/>
        </w:rPr>
        <w:t xml:space="preserve">大盘宽基上证50、沪深300、中证500出现净赎回。</w:t>
      </w:r>
    </w:p>
    <w:p>
      <w:pPr>
        <w:pStyle w:val="Compact"/>
        <w:numPr>
          <w:ilvl w:val="0"/>
          <w:numId w:val="1036"/>
        </w:numPr>
      </w:pPr>
      <w:r>
        <w:rPr>
          <w:rFonts w:hint="eastAsia"/>
        </w:rPr>
        <w:t xml:space="preserve">科创与创业板方向出现单区间净申购，但没有任何宽基ETF满足最近至少2个区间连续流入。</w:t>
      </w:r>
    </w:p>
    <w:p>
      <w:pPr>
        <w:pStyle w:val="Compact"/>
        <w:numPr>
          <w:ilvl w:val="0"/>
          <w:numId w:val="1036"/>
        </w:numPr>
      </w:pPr>
      <w:r>
        <w:rPr>
          <w:rFonts w:hint="eastAsia"/>
        </w:rPr>
        <w:t xml:space="preserve">ETF资金表现为结构性承接，不是全市场持续增量确认。</w:t>
      </w:r>
    </w:p>
    <w:bookmarkEnd w:id="41"/>
    <w:bookmarkStart w:id="42" w:name="成交额质量"/>
    <w:p>
      <w:pPr>
        <w:pStyle w:val="Heading3"/>
      </w:pPr>
      <w:r>
        <w:t xml:space="preserve">💰 </w:t>
      </w:r>
      <w:r>
        <w:rPr>
          <w:rFonts w:hint="eastAsia"/>
        </w:rPr>
        <w:t xml:space="preserve">成交额质量</w:t>
      </w:r>
    </w:p>
    <w:p>
      <w:pPr>
        <w:pStyle w:val="Compact"/>
        <w:numPr>
          <w:ilvl w:val="0"/>
          <w:numId w:val="1037"/>
        </w:numPr>
      </w:pPr>
      <w:r>
        <w:rPr>
          <w:rFonts w:hint="eastAsia"/>
        </w:rPr>
        <w:t xml:space="preserve">2026-09-08两市成交额19782.20亿元。</w:t>
      </w:r>
    </w:p>
    <w:p>
      <w:pPr>
        <w:pStyle w:val="Compact"/>
        <w:numPr>
          <w:ilvl w:val="0"/>
          <w:numId w:val="1037"/>
        </w:numPr>
      </w:pPr>
      <w:r>
        <w:rPr>
          <w:rFonts w:hint="eastAsia"/>
        </w:rPr>
        <w:t xml:space="preserve">前一交易日成交额19642.35亿元。</w:t>
      </w:r>
    </w:p>
    <w:p>
      <w:pPr>
        <w:pStyle w:val="Compact"/>
        <w:numPr>
          <w:ilvl w:val="0"/>
          <w:numId w:val="1037"/>
        </w:numPr>
      </w:pPr>
      <w:r>
        <w:rPr>
          <w:rFonts w:hint="eastAsia"/>
        </w:rPr>
        <w:t xml:space="preserve">增加139.84亿元，增幅0.71%。</w:t>
      </w:r>
    </w:p>
    <w:p>
      <w:pPr>
        <w:pStyle w:val="Compact"/>
        <w:numPr>
          <w:ilvl w:val="0"/>
          <w:numId w:val="1037"/>
        </w:numPr>
      </w:pPr>
      <w:r>
        <w:t xml:space="preserve">💡 </w:t>
      </w:r>
      <w:r>
        <w:rPr>
          <w:rFonts w:hint="eastAsia"/>
        </w:rPr>
        <w:t xml:space="preserve">量能仅小幅增加，尚不足以证明新一轮全面增量行情启动；若今日科技反弹仍需看到板块放量和核心股承接。</w:t>
      </w:r>
    </w:p>
    <w:bookmarkEnd w:id="42"/>
    <w:bookmarkStart w:id="43" w:name="etf-qvix"/>
    <w:p>
      <w:pPr>
        <w:pStyle w:val="Heading3"/>
      </w:pPr>
      <w:r>
        <w:t xml:space="preserve">⚠️ 300ETF QVIX</w:t>
      </w:r>
    </w:p>
    <w:p>
      <w:pPr>
        <w:pStyle w:val="Compact"/>
        <w:numPr>
          <w:ilvl w:val="0"/>
          <w:numId w:val="1038"/>
        </w:numPr>
      </w:pPr>
      <w:r>
        <w:rPr>
          <w:rFonts w:hint="eastAsia"/>
        </w:rPr>
        <w:t xml:space="preserve">最新结算值：17.51。</w:t>
      </w:r>
    </w:p>
    <w:p>
      <w:pPr>
        <w:pStyle w:val="Compact"/>
        <w:numPr>
          <w:ilvl w:val="0"/>
          <w:numId w:val="1038"/>
        </w:numPr>
      </w:pPr>
      <w:r>
        <w:rPr>
          <w:rFonts w:hint="eastAsia"/>
        </w:rPr>
        <w:t xml:space="preserve">前收盘：17.85。</w:t>
      </w:r>
    </w:p>
    <w:p>
      <w:pPr>
        <w:pStyle w:val="Compact"/>
        <w:numPr>
          <w:ilvl w:val="0"/>
          <w:numId w:val="1038"/>
        </w:numPr>
      </w:pPr>
      <w:r>
        <w:rPr>
          <w:rFonts w:hint="eastAsia"/>
        </w:rPr>
        <w:t xml:space="preserve">单日变化：-0.34，跌幅1.9048%。</w:t>
      </w:r>
    </w:p>
    <w:p>
      <w:pPr>
        <w:pStyle w:val="Compact"/>
        <w:numPr>
          <w:ilvl w:val="0"/>
          <w:numId w:val="1038"/>
        </w:numPr>
      </w:pPr>
      <w:r>
        <w:rPr>
          <w:rFonts w:hint="eastAsia"/>
        </w:rPr>
        <w:t xml:space="preserve">20日峰值：21.35，峰值日期2026-08-25。</w:t>
      </w:r>
    </w:p>
    <w:p>
      <w:pPr>
        <w:pStyle w:val="Compact"/>
        <w:numPr>
          <w:ilvl w:val="0"/>
          <w:numId w:val="1038"/>
        </w:numPr>
      </w:pPr>
      <w:r>
        <w:rPr>
          <w:rFonts w:hint="eastAsia"/>
        </w:rPr>
        <w:t xml:space="preserve">较20日峰值回落17.9859%，满足恐慌降温条件。</w:t>
      </w:r>
    </w:p>
    <w:bookmarkEnd w:id="43"/>
    <w:bookmarkStart w:id="44" w:name="联合信号结论未确认"/>
    <w:p>
      <w:pPr>
        <w:pStyle w:val="Heading3"/>
      </w:pPr>
      <w:r>
        <w:t xml:space="preserve">⚠️ </w:t>
      </w:r>
      <w:r>
        <w:rPr>
          <w:rFonts w:hint="eastAsia"/>
        </w:rPr>
        <w:t xml:space="preserve">联合信号结论：未确认</w:t>
      </w:r>
    </w:p>
    <w:p>
      <w:pPr>
        <w:pStyle w:val="FirstParagraph"/>
      </w:pPr>
      <w:r>
        <w:rPr>
          <w:rStyle w:val="VerbatimChar"/>
        </w:rPr>
        <w:t xml:space="preserve">derived.liquidity_panic_signal.status = not_confirmed</w:t>
      </w:r>
      <w:r>
        <w:t xml:space="preserve">。</w:t>
      </w:r>
    </w:p>
    <w:p>
      <w:pPr>
        <w:pStyle w:val="Compact"/>
        <w:numPr>
          <w:ilvl w:val="0"/>
          <w:numId w:val="1039"/>
        </w:numPr>
      </w:pPr>
      <w:r>
        <w:rPr>
          <w:rFonts w:hint="eastAsia"/>
        </w:rPr>
        <w:t xml:space="preserve">QVIX已从近期高位降温。</w:t>
      </w:r>
    </w:p>
    <w:p>
      <w:pPr>
        <w:pStyle w:val="Compact"/>
        <w:numPr>
          <w:ilvl w:val="0"/>
          <w:numId w:val="1039"/>
        </w:numPr>
      </w:pPr>
      <w:r>
        <w:rPr>
          <w:rFonts w:hint="eastAsia"/>
        </w:rPr>
        <w:t xml:space="preserve">但宽基ETF没有任何一只满足连续2个区间份额增加。</w:t>
      </w:r>
    </w:p>
    <w:p>
      <w:pPr>
        <w:pStyle w:val="Compact"/>
        <w:numPr>
          <w:ilvl w:val="0"/>
          <w:numId w:val="1039"/>
        </w:numPr>
      </w:pPr>
      <w:r>
        <w:rPr>
          <w:rFonts w:hint="eastAsia"/>
        </w:rPr>
        <w:t xml:space="preserve">因此，</w:t>
      </w:r>
      <w:r>
        <w:rPr>
          <w:rFonts w:hint="eastAsia"/>
          <w:b/>
          <w:bCs/>
        </w:rPr>
        <w:t xml:space="preserve">“恐慌高位降温且宽基ETF持续流入”未确认</w:t>
      </w:r>
      <w:r>
        <w:t xml:space="preserve">。</w:t>
      </w:r>
    </w:p>
    <w:p>
      <w:pPr>
        <w:pStyle w:val="Compact"/>
        <w:numPr>
          <w:ilvl w:val="0"/>
          <w:numId w:val="1039"/>
        </w:numPr>
      </w:pPr>
      <w:r>
        <w:t xml:space="preserve">💡 </w:t>
      </w:r>
      <w:r>
        <w:rPr>
          <w:rFonts w:hint="eastAsia"/>
        </w:rPr>
        <w:t xml:space="preserve">操作上不应因波动率下降就主动扩大仓位，必须等待宽基ETF持续流入或指数放量站稳后再加仓。</w:t>
      </w:r>
    </w:p>
    <w:p>
      <w:r>
        <w:pict>
          <v:rect style="width:0;height:1.5pt" o:hralign="center" o:hrstd="t" o:hr="t"/>
        </w:pict>
      </w:r>
    </w:p>
    <w:bookmarkEnd w:id="44"/>
    <w:bookmarkEnd w:id="45"/>
    <w:bookmarkStart w:id="48" w:name="九今日市场风格预判"/>
    <w:p>
      <w:pPr>
        <w:pStyle w:val="Heading2"/>
      </w:pPr>
      <w:r>
        <w:t xml:space="preserve">🎨 </w:t>
      </w:r>
      <w:r>
        <w:rPr>
          <w:rFonts w:hint="eastAsia"/>
        </w:rPr>
        <w:t xml:space="preserve">九、今日市场风格预判</w:t>
      </w:r>
    </w:p>
    <w:bookmarkStart w:id="46" w:name="基准判断价值与周期防守科技内部择强"/>
    <w:p>
      <w:pPr>
        <w:pStyle w:val="Heading3"/>
      </w:pPr>
      <w:r>
        <w:t xml:space="preserve">🧭 </w:t>
      </w:r>
      <w:r>
        <w:rPr>
          <w:rFonts w:hint="eastAsia"/>
        </w:rPr>
        <w:t xml:space="preserve">基准判断：价值与周期防守，科技内部择强</w:t>
      </w:r>
    </w:p>
    <w:p>
      <w:pPr>
        <w:pStyle w:val="Compact"/>
        <w:numPr>
          <w:ilvl w:val="0"/>
          <w:numId w:val="1040"/>
        </w:numPr>
      </w:pPr>
      <w:r>
        <w:rPr>
          <w:rFonts w:hint="eastAsia"/>
        </w:rPr>
        <w:t xml:space="preserve">上证指数昨日上涨0.1997%，创业板指下跌1.1465%，科创50下跌1.5187%，权重和价值相对占优。</w:t>
      </w:r>
    </w:p>
    <w:p>
      <w:pPr>
        <w:pStyle w:val="Compact"/>
        <w:numPr>
          <w:ilvl w:val="0"/>
          <w:numId w:val="1040"/>
        </w:numPr>
      </w:pPr>
      <w:r>
        <w:rPr>
          <w:rFonts w:hint="eastAsia"/>
        </w:rPr>
        <w:t xml:space="preserve">基础化工、有色金属、医药生物、石油石化资金流入靠前。</w:t>
      </w:r>
    </w:p>
    <w:p>
      <w:pPr>
        <w:pStyle w:val="Compact"/>
        <w:numPr>
          <w:ilvl w:val="0"/>
          <w:numId w:val="1040"/>
        </w:numPr>
      </w:pPr>
      <w:r>
        <w:rPr>
          <w:rFonts w:hint="eastAsia"/>
        </w:rPr>
        <w:t xml:space="preserve">消费电子、计算机、半导体、软件、元件资金流出靠前。</w:t>
      </w:r>
    </w:p>
    <w:p>
      <w:pPr>
        <w:pStyle w:val="Compact"/>
        <w:numPr>
          <w:ilvl w:val="0"/>
          <w:numId w:val="1040"/>
        </w:numPr>
      </w:pPr>
      <w:r>
        <w:rPr>
          <w:rFonts w:hint="eastAsia"/>
        </w:rPr>
        <w:t xml:space="preserve">道指、纳指、标普隔夜均下跌，但AMD、台积电、博通上涨，科技方向仍是结构性而非系统性机会。</w:t>
      </w:r>
    </w:p>
    <w:bookmarkEnd w:id="46"/>
    <w:bookmarkStart w:id="47" w:name="行为金融信号"/>
    <w:p>
      <w:pPr>
        <w:pStyle w:val="Heading3"/>
      </w:pPr>
      <w:r>
        <w:t xml:space="preserve">🧠 </w:t>
      </w:r>
      <w:r>
        <w:rPr>
          <w:rFonts w:hint="eastAsia"/>
        </w:rPr>
        <w:t xml:space="preserve">行为金融信号</w:t>
      </w:r>
    </w:p>
    <w:p>
      <w:pPr>
        <w:pStyle w:val="FirstParagraph"/>
      </w:pPr>
      <w:r>
        <w:rPr>
          <w:rStyle w:val="VerbatimChar"/>
        </w:rPr>
        <w:t xml:space="preserve">derived.behavioral_finance_signals</w:t>
      </w:r>
      <w:r>
        <w:rPr>
          <w:rFonts w:hint="eastAsia"/>
        </w:rPr>
        <w:t xml:space="preserve">风险分为1，当前立场为中性：</w:t>
      </w:r>
    </w:p>
    <w:p>
      <w:pPr>
        <w:pStyle w:val="Compact"/>
        <w:numPr>
          <w:ilvl w:val="0"/>
          <w:numId w:val="1041"/>
        </w:numPr>
      </w:pPr>
      <w:r>
        <w:rPr>
          <w:rFonts w:hint="eastAsia"/>
        </w:rPr>
        <w:t xml:space="preserve">未触发FOMO追涨、估值拥挤、换手拥挤或亏损厌恶扩散阈值。</w:t>
      </w:r>
    </w:p>
    <w:p>
      <w:pPr>
        <w:pStyle w:val="Compact"/>
        <w:numPr>
          <w:ilvl w:val="0"/>
          <w:numId w:val="1041"/>
        </w:numPr>
      </w:pPr>
      <w:r>
        <w:rPr>
          <w:rFonts w:hint="eastAsia"/>
        </w:rPr>
        <w:t xml:space="preserve">昨日成交额仅增加0.71%，没有形成情绪资金全面抢筹证据。</w:t>
      </w:r>
    </w:p>
    <w:p>
      <w:pPr>
        <w:pStyle w:val="Compact"/>
        <w:numPr>
          <w:ilvl w:val="0"/>
          <w:numId w:val="1041"/>
        </w:numPr>
      </w:pPr>
      <w:r>
        <w:t xml:space="preserve">⚠️ </w:t>
      </w:r>
      <w:r>
        <w:rPr>
          <w:rFonts w:hint="eastAsia"/>
        </w:rPr>
        <w:t xml:space="preserve">兴森科技昨日上涨9.17%、XD剑桥科上涨7.33%，即使方向有催化，也要防止注意力偏差和开盘FOMO。</w:t>
      </w:r>
    </w:p>
    <w:p>
      <w:pPr>
        <w:pStyle w:val="Compact"/>
        <w:numPr>
          <w:ilvl w:val="0"/>
          <w:numId w:val="1041"/>
        </w:numPr>
      </w:pPr>
      <w:r>
        <w:t xml:space="preserve">💡 </w:t>
      </w:r>
      <w:r>
        <w:rPr>
          <w:rFonts w:hint="eastAsia"/>
        </w:rPr>
        <w:t xml:space="preserve">对高开科技股只看分歧后的承接，不因海外映射或展会催化追涨。</w:t>
      </w:r>
    </w:p>
    <w:p>
      <w:r>
        <w:pict>
          <v:rect style="width:0;height:1.5pt" o:hralign="center" o:hrstd="t" o:hr="t"/>
        </w:pict>
      </w:r>
    </w:p>
    <w:bookmarkEnd w:id="47"/>
    <w:bookmarkEnd w:id="48"/>
    <w:bookmarkStart w:id="56" w:name="十投资方向分层"/>
    <w:p>
      <w:pPr>
        <w:pStyle w:val="Heading2"/>
      </w:pPr>
      <w:r>
        <w:t xml:space="preserve">🧭 </w:t>
      </w:r>
      <w:r>
        <w:rPr>
          <w:rFonts w:hint="eastAsia"/>
        </w:rPr>
        <w:t xml:space="preserve">十、投资方向分层</w:t>
      </w:r>
    </w:p>
    <w:bookmarkStart w:id="51" w:name="可参与右侧趋势确认的光通信核心"/>
    <w:p>
      <w:pPr>
        <w:pStyle w:val="Heading3"/>
      </w:pPr>
      <w:r>
        <w:t xml:space="preserve">📈🔴 </w:t>
      </w:r>
      <w:r>
        <w:rPr>
          <w:rFonts w:hint="eastAsia"/>
        </w:rPr>
        <w:t xml:space="preserve">可参与：右侧趋势确认的光通信核心</w:t>
      </w:r>
    </w:p>
    <w:bookmarkStart w:id="49" w:name="天孚通信300394a级右侧趋势确认"/>
    <w:p>
      <w:pPr>
        <w:pStyle w:val="Heading4"/>
      </w:pPr>
      <w:r>
        <w:t xml:space="preserve">1. </w:t>
      </w:r>
      <w:r>
        <w:rPr>
          <w:rFonts w:hint="eastAsia"/>
        </w:rPr>
        <w:t xml:space="preserve">天孚通信（300394）——A级，右侧趋势确认</w:t>
      </w:r>
    </w:p>
    <w:p>
      <w:pPr>
        <w:pStyle w:val="FirstParagraph"/>
      </w:pPr>
      <w:r>
        <w:rPr>
          <w:rFonts w:hint="eastAsia"/>
          <w:b/>
          <w:bCs/>
        </w:rPr>
        <w:t xml:space="preserve">证据链：</w:t>
      </w:r>
    </w:p>
    <w:p>
      <w:pPr>
        <w:pStyle w:val="Compact"/>
        <w:numPr>
          <w:ilvl w:val="0"/>
          <w:numId w:val="1042"/>
        </w:numPr>
      </w:pPr>
      <w:r>
        <w:rPr>
          <w:rFonts w:hint="eastAsia"/>
        </w:rPr>
        <w:t xml:space="preserve">TickFlow技术数据截至2026-09-07：收盘267.00元。</w:t>
      </w:r>
    </w:p>
    <w:p>
      <w:pPr>
        <w:pStyle w:val="Compact"/>
        <w:numPr>
          <w:ilvl w:val="0"/>
          <w:numId w:val="1042"/>
        </w:numPr>
      </w:pPr>
      <w:r>
        <w:rPr>
          <w:rFonts w:hint="eastAsia"/>
        </w:rPr>
        <w:t xml:space="preserve">MA20为260.617元，MA60为255.0203元，价格站上MA20和MA60。</w:t>
      </w:r>
    </w:p>
    <w:p>
      <w:pPr>
        <w:pStyle w:val="Compact"/>
        <w:numPr>
          <w:ilvl w:val="0"/>
          <w:numId w:val="1042"/>
        </w:numPr>
      </w:pPr>
      <w:r>
        <w:rPr>
          <w:rFonts w:hint="eastAsia"/>
        </w:rPr>
        <w:t xml:space="preserve">MA20向上，20日动量为+19.7148%。</w:t>
      </w:r>
    </w:p>
    <w:p>
      <w:pPr>
        <w:pStyle w:val="Compact"/>
        <w:numPr>
          <w:ilvl w:val="0"/>
          <w:numId w:val="1042"/>
        </w:numPr>
      </w:pPr>
      <w:r>
        <w:rPr>
          <w:rFonts w:hint="eastAsia"/>
        </w:rPr>
        <w:t xml:space="preserve">5日量比1.5505，60日高点341.97元，距高点-21.92%。</w:t>
      </w:r>
    </w:p>
    <w:p>
      <w:pPr>
        <w:pStyle w:val="Compact"/>
        <w:numPr>
          <w:ilvl w:val="0"/>
          <w:numId w:val="1042"/>
        </w:numPr>
      </w:pPr>
      <w:r>
        <w:rPr>
          <w:rFonts w:hint="eastAsia"/>
        </w:rPr>
        <w:t xml:space="preserve">9月8日成交额108.88亿元，资金流入榜显示+50.06亿元，但当日收跌3.18%，说明承接与兑现并存。</w:t>
      </w:r>
    </w:p>
    <w:p>
      <w:pPr>
        <w:pStyle w:val="FirstParagraph"/>
      </w:pPr>
      <w:r>
        <w:rPr>
          <w:rFonts w:hint="eastAsia"/>
          <w:b/>
          <w:bCs/>
        </w:rPr>
        <w:t xml:space="preserve">触发条件：</w:t>
      </w:r>
    </w:p>
    <w:p>
      <w:pPr>
        <w:pStyle w:val="Compact"/>
        <w:numPr>
          <w:ilvl w:val="0"/>
          <w:numId w:val="1043"/>
        </w:numPr>
      </w:pPr>
      <w:r>
        <w:rPr>
          <w:rFonts w:hint="eastAsia"/>
        </w:rPr>
        <w:t xml:space="preserve">不追高。</w:t>
      </w:r>
    </w:p>
    <w:p>
      <w:pPr>
        <w:pStyle w:val="Compact"/>
        <w:numPr>
          <w:ilvl w:val="0"/>
          <w:numId w:val="1043"/>
        </w:numPr>
      </w:pPr>
      <w:r>
        <w:rPr>
          <w:rFonts w:hint="eastAsia"/>
        </w:rPr>
        <w:t xml:space="preserve">收盘站稳341.97元且量比不低于1.2，才能确认突破60日高点。</w:t>
      </w:r>
    </w:p>
    <w:p>
      <w:pPr>
        <w:pStyle w:val="Compact"/>
        <w:numPr>
          <w:ilvl w:val="0"/>
          <w:numId w:val="1043"/>
        </w:numPr>
      </w:pPr>
      <w:r>
        <w:rPr>
          <w:rFonts w:hint="eastAsia"/>
        </w:rPr>
        <w:t xml:space="preserve">或等待缩量回踩MA20不破后，再出现放量转强。</w:t>
      </w:r>
    </w:p>
    <w:p>
      <w:pPr>
        <w:pStyle w:val="FirstParagraph"/>
      </w:pPr>
      <w:r>
        <w:rPr>
          <w:rFonts w:hint="eastAsia"/>
          <w:b/>
          <w:bCs/>
        </w:rPr>
        <w:t xml:space="preserve">失效条件：</w:t>
      </w:r>
    </w:p>
    <w:p>
      <w:pPr>
        <w:pStyle w:val="Compact"/>
        <w:numPr>
          <w:ilvl w:val="0"/>
          <w:numId w:val="1044"/>
        </w:numPr>
      </w:pPr>
      <w:r>
        <w:rPr>
          <w:rFonts w:hint="eastAsia"/>
        </w:rPr>
        <w:t xml:space="preserve">技术证伪参考250.952元。</w:t>
      </w:r>
    </w:p>
    <w:p>
      <w:pPr>
        <w:pStyle w:val="Compact"/>
        <w:numPr>
          <w:ilvl w:val="0"/>
          <w:numId w:val="1044"/>
        </w:numPr>
      </w:pPr>
      <w:r>
        <w:rPr>
          <w:rFonts w:hint="eastAsia"/>
        </w:rPr>
        <w:t xml:space="preserve">收盘跌破“MA20减0.5倍ATR”参考线则降低仓位或退出。</w:t>
      </w:r>
    </w:p>
    <w:bookmarkEnd w:id="49"/>
    <w:bookmarkStart w:id="50" w:name="xd剑桥科603083b级趋势保持但等待确认"/>
    <w:p>
      <w:pPr>
        <w:pStyle w:val="Heading4"/>
      </w:pPr>
      <w:r>
        <w:t xml:space="preserve">2. </w:t>
      </w:r>
      <w:r>
        <w:rPr>
          <w:rFonts w:hint="eastAsia"/>
        </w:rPr>
        <w:t xml:space="preserve">XD剑桥科（603083）——B级，趋势保持但等待确认</w:t>
      </w:r>
    </w:p>
    <w:p>
      <w:pPr>
        <w:pStyle w:val="FirstParagraph"/>
      </w:pPr>
      <w:r>
        <w:rPr>
          <w:rFonts w:hint="eastAsia"/>
          <w:b/>
          <w:bCs/>
        </w:rPr>
        <w:t xml:space="preserve">证据链：</w:t>
      </w:r>
    </w:p>
    <w:p>
      <w:pPr>
        <w:pStyle w:val="Compact"/>
        <w:numPr>
          <w:ilvl w:val="0"/>
          <w:numId w:val="1045"/>
        </w:numPr>
      </w:pPr>
      <w:r>
        <w:rPr>
          <w:rFonts w:hint="eastAsia"/>
        </w:rPr>
        <w:t xml:space="preserve">TickFlow技术数据截至2026-09-07：收盘207.21元。</w:t>
      </w:r>
    </w:p>
    <w:p>
      <w:pPr>
        <w:pStyle w:val="Compact"/>
        <w:numPr>
          <w:ilvl w:val="0"/>
          <w:numId w:val="1045"/>
        </w:numPr>
      </w:pPr>
      <w:r>
        <w:rPr>
          <w:rFonts w:hint="eastAsia"/>
        </w:rPr>
        <w:t xml:space="preserve">MA20为179.583元，MA60为187.7802元，价格位于两条均线上方。</w:t>
      </w:r>
    </w:p>
    <w:p>
      <w:pPr>
        <w:pStyle w:val="Compact"/>
        <w:numPr>
          <w:ilvl w:val="0"/>
          <w:numId w:val="1045"/>
        </w:numPr>
      </w:pPr>
      <w:r>
        <w:rPr>
          <w:rFonts w:hint="eastAsia"/>
        </w:rPr>
        <w:t xml:space="preserve">MA20向上，20日动量+33.8739%，缩量回踩结构成立。</w:t>
      </w:r>
    </w:p>
    <w:p>
      <w:pPr>
        <w:pStyle w:val="Compact"/>
        <w:numPr>
          <w:ilvl w:val="0"/>
          <w:numId w:val="1045"/>
        </w:numPr>
      </w:pPr>
      <w:r>
        <w:rPr>
          <w:rFonts w:hint="eastAsia"/>
        </w:rPr>
        <w:t xml:space="preserve">5日量比0.8199，尚未构成放量突破。</w:t>
      </w:r>
    </w:p>
    <w:p>
      <w:pPr>
        <w:pStyle w:val="Compact"/>
        <w:numPr>
          <w:ilvl w:val="0"/>
          <w:numId w:val="1045"/>
        </w:numPr>
      </w:pPr>
      <w:r>
        <w:rPr>
          <w:rFonts w:hint="eastAsia"/>
        </w:rPr>
        <w:t xml:space="preserve">9月8日成交额109.45亿元，资金流入榜显示+60.17亿元，当日上涨7.33%。</w:t>
      </w:r>
    </w:p>
    <w:p>
      <w:pPr>
        <w:pStyle w:val="FirstParagraph"/>
      </w:pPr>
      <w:r>
        <w:rPr>
          <w:rFonts w:hint="eastAsia"/>
          <w:b/>
          <w:bCs/>
        </w:rPr>
        <w:t xml:space="preserve">触发条件：</w:t>
      </w:r>
    </w:p>
    <w:p>
      <w:pPr>
        <w:pStyle w:val="Compact"/>
        <w:numPr>
          <w:ilvl w:val="0"/>
          <w:numId w:val="1046"/>
        </w:numPr>
      </w:pPr>
      <w:r>
        <w:rPr>
          <w:rFonts w:hint="eastAsia"/>
        </w:rPr>
        <w:t xml:space="preserve">等待收盘站稳60日高点262.21元且量比不低于1.2。</w:t>
      </w:r>
    </w:p>
    <w:p>
      <w:pPr>
        <w:pStyle w:val="Compact"/>
        <w:numPr>
          <w:ilvl w:val="0"/>
          <w:numId w:val="1046"/>
        </w:numPr>
      </w:pPr>
      <w:r>
        <w:rPr>
          <w:rFonts w:hint="eastAsia"/>
        </w:rPr>
        <w:t xml:space="preserve">更稳健方案是等待回踩MA20不破，再观察放量突破。</w:t>
      </w:r>
    </w:p>
    <w:p>
      <w:pPr>
        <w:pStyle w:val="FirstParagraph"/>
      </w:pPr>
      <w:r>
        <w:rPr>
          <w:rFonts w:hint="eastAsia"/>
          <w:b/>
          <w:bCs/>
        </w:rPr>
        <w:t xml:space="preserve">失效条件：</w:t>
      </w:r>
    </w:p>
    <w:p>
      <w:pPr>
        <w:pStyle w:val="Compact"/>
        <w:numPr>
          <w:ilvl w:val="0"/>
          <w:numId w:val="1047"/>
        </w:numPr>
      </w:pPr>
      <w:r>
        <w:rPr>
          <w:rFonts w:hint="eastAsia"/>
        </w:rPr>
        <w:t xml:space="preserve">技术证伪参考172.559元。</w:t>
      </w:r>
    </w:p>
    <w:p>
      <w:pPr>
        <w:pStyle w:val="Compact"/>
        <w:numPr>
          <w:ilvl w:val="0"/>
          <w:numId w:val="1047"/>
        </w:numPr>
      </w:pPr>
      <w:r>
        <w:rPr>
          <w:rFonts w:hint="eastAsia"/>
        </w:rPr>
        <w:t xml:space="preserve">高开快速冲涨而量能无法持续时，不参与追价。</w:t>
      </w:r>
    </w:p>
    <w:bookmarkEnd w:id="50"/>
    <w:bookmarkEnd w:id="51"/>
    <w:bookmarkStart w:id="54" w:name="只观察生益科技与资源医药方向"/>
    <w:p>
      <w:pPr>
        <w:pStyle w:val="Heading3"/>
      </w:pPr>
      <w:r>
        <w:t xml:space="preserve">👀 </w:t>
      </w:r>
      <w:r>
        <w:rPr>
          <w:rFonts w:hint="eastAsia"/>
        </w:rPr>
        <w:t xml:space="preserve">只观察：生益科技与资源医药方向</w:t>
      </w:r>
    </w:p>
    <w:bookmarkStart w:id="52" w:name="生益科技600183b级尚未完成突破"/>
    <w:p>
      <w:pPr>
        <w:pStyle w:val="Heading4"/>
      </w:pPr>
      <w:r>
        <w:rPr>
          <w:rFonts w:hint="eastAsia"/>
        </w:rPr>
        <w:t xml:space="preserve">生益科技（600183）——B级，尚未完成突破</w:t>
      </w:r>
    </w:p>
    <w:p>
      <w:pPr>
        <w:pStyle w:val="Compact"/>
        <w:numPr>
          <w:ilvl w:val="0"/>
          <w:numId w:val="1048"/>
        </w:numPr>
      </w:pPr>
      <w:r>
        <w:rPr>
          <w:rFonts w:hint="eastAsia"/>
        </w:rPr>
        <w:t xml:space="preserve">技术数据截至2026-09-07：收盘148.15元，MA20为139.203元，MA60为143.6727元。</w:t>
      </w:r>
    </w:p>
    <w:p>
      <w:pPr>
        <w:pStyle w:val="Compact"/>
        <w:numPr>
          <w:ilvl w:val="0"/>
          <w:numId w:val="1048"/>
        </w:numPr>
      </w:pPr>
      <w:r>
        <w:rPr>
          <w:rFonts w:hint="eastAsia"/>
        </w:rPr>
        <w:t xml:space="preserve">MA20向上，20日动量+5.8365%，站上MA20与MA60。</w:t>
      </w:r>
    </w:p>
    <w:p>
      <w:pPr>
        <w:pStyle w:val="Compact"/>
        <w:numPr>
          <w:ilvl w:val="0"/>
          <w:numId w:val="1048"/>
        </w:numPr>
      </w:pPr>
      <w:r>
        <w:rPr>
          <w:rFonts w:hint="eastAsia"/>
        </w:rPr>
        <w:t xml:space="preserve">60日高点187.20元，距高点-20.86%，5日量比1.1073。</w:t>
      </w:r>
    </w:p>
    <w:p>
      <w:pPr>
        <w:pStyle w:val="Compact"/>
        <w:numPr>
          <w:ilvl w:val="0"/>
          <w:numId w:val="1048"/>
        </w:numPr>
      </w:pPr>
      <w:r>
        <w:rPr>
          <w:rFonts w:hint="eastAsia"/>
        </w:rPr>
        <w:t xml:space="preserve">触发条件：收盘站稳187.20元且量比不低于1.2，或缩量回踩MA20后再放量。</w:t>
      </w:r>
    </w:p>
    <w:p>
      <w:pPr>
        <w:pStyle w:val="Compact"/>
        <w:numPr>
          <w:ilvl w:val="0"/>
          <w:numId w:val="1048"/>
        </w:numPr>
      </w:pPr>
      <w:r>
        <w:rPr>
          <w:rFonts w:hint="eastAsia"/>
        </w:rPr>
        <w:t xml:space="preserve">失效条件：收盘跌破133.597元参考线。</w:t>
      </w:r>
    </w:p>
    <w:p>
      <w:pPr>
        <w:pStyle w:val="Compact"/>
        <w:numPr>
          <w:ilvl w:val="0"/>
          <w:numId w:val="1048"/>
        </w:numPr>
      </w:pPr>
      <w:r>
        <w:t xml:space="preserve">💡 </w:t>
      </w:r>
      <w:r>
        <w:rPr>
          <w:rFonts w:hint="eastAsia"/>
        </w:rPr>
        <w:t xml:space="preserve">当前只观察，不把“站上均线”直接等同于突破买点。</w:t>
      </w:r>
    </w:p>
    <w:bookmarkEnd w:id="52"/>
    <w:bookmarkStart w:id="53" w:name="基础化工有色金属医药生物石油石化"/>
    <w:p>
      <w:pPr>
        <w:pStyle w:val="Heading4"/>
      </w:pPr>
      <w:r>
        <w:rPr>
          <w:rFonts w:hint="eastAsia"/>
        </w:rPr>
        <w:t xml:space="preserve">基础化工、有色金属、医药生物、石油石化</w:t>
      </w:r>
    </w:p>
    <w:p>
      <w:pPr>
        <w:pStyle w:val="Compact"/>
        <w:numPr>
          <w:ilvl w:val="0"/>
          <w:numId w:val="1049"/>
        </w:numPr>
      </w:pPr>
      <w:r>
        <w:rPr>
          <w:rFonts w:hint="eastAsia"/>
        </w:rPr>
        <w:t xml:space="preserve">基础化工净流入41.53亿元，有色金属净流入33.19亿元，医药生物净流入23.09亿元，石油石化净流入12.90亿元。</w:t>
      </w:r>
    </w:p>
    <w:p>
      <w:pPr>
        <w:pStyle w:val="Compact"/>
        <w:numPr>
          <w:ilvl w:val="0"/>
          <w:numId w:val="1049"/>
        </w:numPr>
      </w:pPr>
      <w:r>
        <w:rPr>
          <w:rFonts w:hint="eastAsia"/>
        </w:rPr>
        <w:t xml:space="preserve">8月大宗商品价格指数环比上涨2.8%，WTI原油隔夜上涨1.64%。</w:t>
      </w:r>
    </w:p>
    <w:p>
      <w:pPr>
        <w:pStyle w:val="Compact"/>
        <w:numPr>
          <w:ilvl w:val="0"/>
          <w:numId w:val="1049"/>
        </w:numPr>
      </w:pPr>
      <w:r>
        <w:t xml:space="preserve">⚠️ </w:t>
      </w:r>
      <w:r>
        <w:rPr>
          <w:rFonts w:hint="eastAsia"/>
        </w:rPr>
        <w:t xml:space="preserve">采集结果没有给出这些方向核心个股的完整A/B级右侧技术确认，暂不下达个股参与结论。</w:t>
      </w:r>
    </w:p>
    <w:p>
      <w:pPr>
        <w:pStyle w:val="Compact"/>
        <w:numPr>
          <w:ilvl w:val="0"/>
          <w:numId w:val="1049"/>
        </w:numPr>
      </w:pPr>
      <w:r>
        <w:rPr>
          <w:rFonts w:hint="eastAsia"/>
        </w:rPr>
        <w:t xml:space="preserve">触发条件：板块资金继续流入，核心股回踩不破趋势线后放量突破前高。</w:t>
      </w:r>
    </w:p>
    <w:p>
      <w:pPr>
        <w:pStyle w:val="Compact"/>
        <w:numPr>
          <w:ilvl w:val="0"/>
          <w:numId w:val="1049"/>
        </w:numPr>
      </w:pPr>
      <w:r>
        <w:rPr>
          <w:rFonts w:hint="eastAsia"/>
        </w:rPr>
        <w:t xml:space="preserve">失效条件：高开低走、资金转为净流出，或商品价格与板块股价出现明显背离。</w:t>
      </w:r>
    </w:p>
    <w:bookmarkEnd w:id="53"/>
    <w:bookmarkEnd w:id="54"/>
    <w:bookmarkStart w:id="55" w:name="应回避d级趋势破位与数据不足标的"/>
    <w:p>
      <w:pPr>
        <w:pStyle w:val="Heading3"/>
      </w:pPr>
      <w:r>
        <w:t xml:space="preserve">📉🟢 </w:t>
      </w:r>
      <w:r>
        <w:rPr>
          <w:rFonts w:hint="eastAsia"/>
        </w:rPr>
        <w:t xml:space="preserve">应回避：D级趋势破位与数据不足标的</w:t>
      </w:r>
    </w:p>
    <w:p>
      <w:pPr>
        <w:pStyle w:val="Compact"/>
        <w:numPr>
          <w:ilvl w:val="0"/>
          <w:numId w:val="1050"/>
        </w:numPr>
      </w:pPr>
      <w:r>
        <w:rPr>
          <w:rFonts w:hint="eastAsia"/>
          <w:b/>
          <w:bCs/>
        </w:rPr>
        <w:t xml:space="preserve">中际旭创（300308）</w:t>
      </w:r>
    </w:p>
    <w:p>
      <w:pPr>
        <w:pStyle w:val="Compact"/>
        <w:numPr>
          <w:ilvl w:val="1"/>
          <w:numId w:val="1051"/>
        </w:numPr>
      </w:pPr>
      <w:r>
        <w:rPr>
          <w:rFonts w:hint="eastAsia"/>
        </w:rPr>
        <w:t xml:space="preserve">D级；MA20为887.729元，MA60为1037.8587元。</w:t>
      </w:r>
    </w:p>
    <w:p>
      <w:pPr>
        <w:pStyle w:val="Compact"/>
        <w:numPr>
          <w:ilvl w:val="1"/>
          <w:numId w:val="1051"/>
        </w:numPr>
      </w:pPr>
      <w:r>
        <w:rPr>
          <w:rFonts w:hint="eastAsia"/>
        </w:rPr>
        <w:t xml:space="preserve">截至9月7日仍低于MA60，距离60日高点-35.00%。</w:t>
      </w:r>
    </w:p>
    <w:p>
      <w:pPr>
        <w:pStyle w:val="Compact"/>
        <w:numPr>
          <w:ilvl w:val="1"/>
          <w:numId w:val="1051"/>
        </w:numPr>
      </w:pPr>
      <w:r>
        <w:rPr>
          <w:rFonts w:hint="eastAsia"/>
        </w:rPr>
        <w:t xml:space="preserve">2026中报营收同比+182.5%、净利润同比+247.3%，但PE</w:t>
      </w:r>
      <w:r>
        <w:t xml:space="preserve"> </w:t>
      </w:r>
      <w:r>
        <w:rPr>
          <w:rFonts w:hint="eastAsia"/>
        </w:rPr>
        <w:t xml:space="preserve">51.97倍、PB</w:t>
      </w:r>
      <w:r>
        <w:t xml:space="preserve"> </w:t>
      </w:r>
      <w:r>
        <w:rPr>
          <w:rFonts w:hint="eastAsia"/>
        </w:rPr>
        <w:t xml:space="preserve">26.67倍。</w:t>
      </w:r>
    </w:p>
    <w:p>
      <w:pPr>
        <w:pStyle w:val="Compact"/>
        <w:numPr>
          <w:ilvl w:val="1"/>
          <w:numId w:val="1051"/>
        </w:numPr>
      </w:pPr>
      <w:r>
        <w:rPr>
          <w:rFonts w:hint="eastAsia"/>
        </w:rPr>
        <w:t xml:space="preserve">基本面高增不能替代右侧趋势确认，重新站回MA20和MA60后再评估。</w:t>
      </w:r>
    </w:p>
    <w:p>
      <w:pPr>
        <w:pStyle w:val="Compact"/>
        <w:numPr>
          <w:ilvl w:val="0"/>
          <w:numId w:val="1050"/>
        </w:numPr>
      </w:pPr>
      <w:r>
        <w:rPr>
          <w:rFonts w:hint="eastAsia"/>
          <w:b/>
          <w:bCs/>
        </w:rPr>
        <w:t xml:space="preserve">宁德时代（300750）</w:t>
      </w:r>
    </w:p>
    <w:p>
      <w:pPr>
        <w:pStyle w:val="Compact"/>
        <w:numPr>
          <w:ilvl w:val="1"/>
          <w:numId w:val="1052"/>
        </w:numPr>
      </w:pPr>
      <w:r>
        <w:rPr>
          <w:rFonts w:hint="eastAsia"/>
        </w:rPr>
        <w:t xml:space="preserve">D级；截至9月7日低于MA20和MA60，20日动量-11.5952%。</w:t>
      </w:r>
    </w:p>
    <w:p>
      <w:pPr>
        <w:pStyle w:val="Compact"/>
        <w:numPr>
          <w:ilvl w:val="1"/>
          <w:numId w:val="1052"/>
        </w:numPr>
      </w:pPr>
      <w:r>
        <w:rPr>
          <w:rFonts w:hint="eastAsia"/>
        </w:rPr>
        <w:t xml:space="preserve">9月8日收跌3.65%，同时出现在采集资金流入与流出榜，资金方向不一致。</w:t>
      </w:r>
    </w:p>
    <w:p>
      <w:pPr>
        <w:pStyle w:val="Compact"/>
        <w:numPr>
          <w:ilvl w:val="1"/>
          <w:numId w:val="1052"/>
        </w:numPr>
      </w:pPr>
      <w:r>
        <w:rPr>
          <w:rFonts w:hint="eastAsia"/>
        </w:rPr>
        <w:t xml:space="preserve">2026中报营收同比+54.8%、净利润同比+45.31%，PE</w:t>
      </w:r>
      <w:r>
        <w:t xml:space="preserve"> </w:t>
      </w:r>
      <w:r>
        <w:rPr>
          <w:rFonts w:hint="eastAsia"/>
        </w:rPr>
        <w:t xml:space="preserve">18.26倍，但当前趋势仍未修复。</w:t>
      </w:r>
    </w:p>
    <w:p>
      <w:pPr>
        <w:pStyle w:val="Compact"/>
        <w:numPr>
          <w:ilvl w:val="0"/>
          <w:numId w:val="1050"/>
        </w:numPr>
      </w:pPr>
      <w:r>
        <w:rPr>
          <w:rFonts w:hint="eastAsia"/>
          <w:b/>
          <w:bCs/>
        </w:rPr>
        <w:t xml:space="preserve">新易盛（300502）</w:t>
      </w:r>
    </w:p>
    <w:p>
      <w:pPr>
        <w:pStyle w:val="Compact"/>
        <w:numPr>
          <w:ilvl w:val="1"/>
          <w:numId w:val="1053"/>
        </w:numPr>
      </w:pPr>
      <w:r>
        <w:rPr>
          <w:rFonts w:hint="eastAsia"/>
        </w:rPr>
        <w:t xml:space="preserve">D级；虽略高于MA20，但仍低于MA60</w:t>
      </w:r>
      <w:r>
        <w:t xml:space="preserve"> </w:t>
      </w:r>
      <w:r>
        <w:rPr>
          <w:rFonts w:hint="eastAsia"/>
        </w:rPr>
        <w:t xml:space="preserve">12.39%，距离60日高点-31.66%。</w:t>
      </w:r>
    </w:p>
    <w:p>
      <w:pPr>
        <w:pStyle w:val="Compact"/>
        <w:numPr>
          <w:ilvl w:val="1"/>
          <w:numId w:val="1053"/>
        </w:numPr>
      </w:pPr>
      <w:r>
        <w:rPr>
          <w:rFonts w:hint="eastAsia"/>
        </w:rPr>
        <w:t xml:space="preserve">2026中报营收同比+100.3%、净利润同比+91.93%，PE</w:t>
      </w:r>
      <w:r>
        <w:t xml:space="preserve"> </w:t>
      </w:r>
      <w:r>
        <w:rPr>
          <w:rFonts w:hint="eastAsia"/>
        </w:rPr>
        <w:t xml:space="preserve">44.25倍、PB</w:t>
      </w:r>
      <w:r>
        <w:t xml:space="preserve"> </w:t>
      </w:r>
      <w:r>
        <w:rPr>
          <w:rFonts w:hint="eastAsia"/>
        </w:rPr>
        <w:t xml:space="preserve">23.89倍。</w:t>
      </w:r>
    </w:p>
    <w:p>
      <w:pPr>
        <w:pStyle w:val="Compact"/>
        <w:numPr>
          <w:ilvl w:val="1"/>
          <w:numId w:val="1053"/>
        </w:numPr>
      </w:pPr>
      <w:r>
        <w:rPr>
          <w:rFonts w:hint="eastAsia"/>
        </w:rPr>
        <w:t xml:space="preserve">只看业绩容易产生确认偏误，未重新站回MA60前回避。</w:t>
      </w:r>
    </w:p>
    <w:p>
      <w:pPr>
        <w:pStyle w:val="Compact"/>
        <w:numPr>
          <w:ilvl w:val="0"/>
          <w:numId w:val="1050"/>
        </w:numPr>
      </w:pPr>
      <w:r>
        <w:rPr>
          <w:rFonts w:hint="eastAsia"/>
          <w:b/>
          <w:bCs/>
        </w:rPr>
        <w:t xml:space="preserve">兆易创新（603986）</w:t>
      </w:r>
    </w:p>
    <w:p>
      <w:pPr>
        <w:pStyle w:val="Compact"/>
        <w:numPr>
          <w:ilvl w:val="1"/>
          <w:numId w:val="1054"/>
        </w:numPr>
      </w:pPr>
      <w:r>
        <w:rPr>
          <w:rFonts w:hint="eastAsia"/>
        </w:rPr>
        <w:t xml:space="preserve">D级；低于MA20</w:t>
      </w:r>
      <w:r>
        <w:t xml:space="preserve"> </w:t>
      </w:r>
      <w:r>
        <w:rPr>
          <w:rFonts w:hint="eastAsia"/>
        </w:rPr>
        <w:t xml:space="preserve">4.25%、低于MA60</w:t>
      </w:r>
      <w:r>
        <w:t xml:space="preserve"> </w:t>
      </w:r>
      <w:r>
        <w:rPr>
          <w:rFonts w:hint="eastAsia"/>
        </w:rPr>
        <w:t xml:space="preserve">23.23%，距离60日高点-54.11%。</w:t>
      </w:r>
    </w:p>
    <w:p>
      <w:pPr>
        <w:pStyle w:val="Compact"/>
        <w:numPr>
          <w:ilvl w:val="1"/>
          <w:numId w:val="1054"/>
        </w:numPr>
      </w:pPr>
      <w:r>
        <w:rPr>
          <w:rFonts w:hint="eastAsia"/>
        </w:rPr>
        <w:t xml:space="preserve">2026中报营收同比+178.7%、净利润同比+1071.0%，但趋势尚未确认。</w:t>
      </w:r>
    </w:p>
    <w:p>
      <w:pPr>
        <w:pStyle w:val="Compact"/>
        <w:numPr>
          <w:ilvl w:val="1"/>
          <w:numId w:val="1054"/>
        </w:numPr>
      </w:pPr>
      <w:r>
        <w:rPr>
          <w:rFonts w:hint="eastAsia"/>
        </w:rPr>
        <w:t xml:space="preserve">证伪参考389.935元；未重新站回MA20和MA60前不参与。</w:t>
      </w:r>
    </w:p>
    <w:p>
      <w:pPr>
        <w:pStyle w:val="Compact"/>
        <w:numPr>
          <w:ilvl w:val="0"/>
          <w:numId w:val="1050"/>
        </w:numPr>
      </w:pPr>
      <w:r>
        <w:rPr>
          <w:rFonts w:hint="eastAsia"/>
          <w:b/>
          <w:bCs/>
        </w:rPr>
        <w:t xml:space="preserve">兴森科技（002436）</w:t>
      </w:r>
    </w:p>
    <w:p>
      <w:pPr>
        <w:pStyle w:val="Compact"/>
        <w:numPr>
          <w:ilvl w:val="1"/>
          <w:numId w:val="1055"/>
        </w:numPr>
      </w:pPr>
      <w:r>
        <w:rPr>
          <w:rFonts w:hint="eastAsia"/>
        </w:rPr>
        <w:t xml:space="preserve">D级；截至9月7日仍低于MA60</w:t>
      </w:r>
      <w:r>
        <w:t xml:space="preserve"> </w:t>
      </w:r>
      <w:r>
        <w:rPr>
          <w:rFonts w:hint="eastAsia"/>
        </w:rPr>
        <w:t xml:space="preserve">3.58%，距离60日高点-31.35%。</w:t>
      </w:r>
    </w:p>
    <w:p>
      <w:pPr>
        <w:pStyle w:val="Compact"/>
        <w:numPr>
          <w:ilvl w:val="1"/>
          <w:numId w:val="1055"/>
        </w:numPr>
      </w:pPr>
      <w:r>
        <w:rPr>
          <w:rFonts w:hint="eastAsia"/>
        </w:rPr>
        <w:t xml:space="preserve">9月8日上涨9.17%，开盘阶段需重点防范FOMO追涨。</w:t>
      </w:r>
    </w:p>
    <w:p>
      <w:pPr>
        <w:pStyle w:val="Compact"/>
        <w:numPr>
          <w:ilvl w:val="1"/>
          <w:numId w:val="1055"/>
        </w:numPr>
      </w:pPr>
      <w:r>
        <w:rPr>
          <w:rFonts w:hint="eastAsia"/>
        </w:rPr>
        <w:t xml:space="preserve">仅在重新站回MA60并完成右侧确认后复评。</w:t>
      </w:r>
    </w:p>
    <w:p>
      <w:pPr>
        <w:pStyle w:val="Compact"/>
        <w:numPr>
          <w:ilvl w:val="0"/>
          <w:numId w:val="1050"/>
        </w:numPr>
      </w:pPr>
      <w:r>
        <w:rPr>
          <w:rFonts w:hint="eastAsia"/>
          <w:b/>
          <w:bCs/>
        </w:rPr>
        <w:t xml:space="preserve">东山精密（002384）</w:t>
      </w:r>
    </w:p>
    <w:p>
      <w:pPr>
        <w:pStyle w:val="Compact"/>
        <w:numPr>
          <w:ilvl w:val="1"/>
          <w:numId w:val="1056"/>
        </w:numPr>
      </w:pPr>
      <w:r>
        <w:rPr>
          <w:rFonts w:hint="eastAsia"/>
        </w:rPr>
        <w:t xml:space="preserve">D级；低于MA20</w:t>
      </w:r>
      <w:r>
        <w:t xml:space="preserve"> </w:t>
      </w:r>
      <w:r>
        <w:rPr>
          <w:rFonts w:hint="eastAsia"/>
        </w:rPr>
        <w:t xml:space="preserve">2.84%、低于MA60</w:t>
      </w:r>
      <w:r>
        <w:t xml:space="preserve"> 12.27%。</w:t>
      </w:r>
    </w:p>
    <w:p>
      <w:pPr>
        <w:pStyle w:val="Compact"/>
        <w:numPr>
          <w:ilvl w:val="1"/>
          <w:numId w:val="1056"/>
        </w:numPr>
      </w:pPr>
      <w:r>
        <w:rPr>
          <w:rFonts w:hint="eastAsia"/>
        </w:rPr>
        <w:t xml:space="preserve">9月8日成交额110.22亿元但收跌2.17%，趋势和量价均未确认。</w:t>
      </w:r>
    </w:p>
    <w:p>
      <w:pPr>
        <w:pStyle w:val="Compact"/>
        <w:numPr>
          <w:ilvl w:val="1"/>
          <w:numId w:val="1056"/>
        </w:numPr>
      </w:pPr>
      <w:r>
        <w:rPr>
          <w:rFonts w:hint="eastAsia"/>
        </w:rPr>
        <w:t xml:space="preserve">技术证伪参考189.304元，当前回避。</w:t>
      </w:r>
    </w:p>
    <w:p>
      <w:pPr>
        <w:pStyle w:val="Compact"/>
        <w:numPr>
          <w:ilvl w:val="0"/>
          <w:numId w:val="1050"/>
        </w:numPr>
      </w:pPr>
      <w:r>
        <w:rPr>
          <w:rFonts w:hint="eastAsia"/>
          <w:b/>
          <w:bCs/>
        </w:rPr>
        <w:t xml:space="preserve">长鑫科技（688825）</w:t>
      </w:r>
    </w:p>
    <w:p>
      <w:pPr>
        <w:pStyle w:val="Compact"/>
        <w:numPr>
          <w:ilvl w:val="1"/>
          <w:numId w:val="1057"/>
        </w:numPr>
      </w:pPr>
      <w:r>
        <w:rPr>
          <w:rFonts w:hint="eastAsia"/>
        </w:rPr>
        <w:t xml:space="preserve">TickFlow仅取得32个交易日历史数据，缺少MA60，评级因技术数据不足暂不评级。</w:t>
      </w:r>
    </w:p>
    <w:p>
      <w:pPr>
        <w:pStyle w:val="Compact"/>
        <w:numPr>
          <w:ilvl w:val="1"/>
          <w:numId w:val="1057"/>
        </w:numPr>
      </w:pPr>
      <w:r>
        <w:rPr>
          <w:rFonts w:hint="eastAsia"/>
        </w:rPr>
        <w:t xml:space="preserve">虽有2026中报营收同比+873.6%、净利润同比+2731.0%的妙想数据，但技术条件不足。</w:t>
      </w:r>
    </w:p>
    <w:p>
      <w:pPr>
        <w:pStyle w:val="Compact"/>
        <w:numPr>
          <w:ilvl w:val="1"/>
          <w:numId w:val="1057"/>
        </w:numPr>
      </w:pPr>
      <w:r>
        <w:t xml:space="preserve">PE </w:t>
      </w:r>
      <w:r>
        <w:rPr>
          <w:rFonts w:hint="eastAsia"/>
        </w:rPr>
        <w:t xml:space="preserve">48.45倍、PB</w:t>
      </w:r>
      <w:r>
        <w:t xml:space="preserve"> </w:t>
      </w:r>
      <w:r>
        <w:rPr>
          <w:rFonts w:hint="eastAsia"/>
        </w:rPr>
        <w:t xml:space="preserve">29.42倍、换手率4.392%，估值与交易拥挤风险需要持续观察。</w:t>
      </w:r>
    </w:p>
    <w:p>
      <w:pPr>
        <w:pStyle w:val="Compact"/>
        <w:numPr>
          <w:ilvl w:val="1"/>
          <w:numId w:val="1057"/>
        </w:numPr>
      </w:pPr>
      <w:r>
        <w:rPr>
          <w:rFonts w:hint="eastAsia"/>
        </w:rPr>
        <w:t xml:space="preserve">数据不足时不做买入判断。</w:t>
      </w:r>
    </w:p>
    <w:p>
      <w:r>
        <w:pict>
          <v:rect style="width:0;height:1.5pt" o:hralign="center" o:hrstd="t" o:hr="t"/>
        </w:pict>
      </w:r>
    </w:p>
    <w:bookmarkEnd w:id="55"/>
    <w:bookmarkEnd w:id="56"/>
    <w:bookmarkStart w:id="62" w:name="十一仓位模型与量化推导"/>
    <w:p>
      <w:pPr>
        <w:pStyle w:val="Heading2"/>
      </w:pPr>
      <w:r>
        <w:t xml:space="preserve">🧮 </w:t>
      </w:r>
      <w:r>
        <w:rPr>
          <w:rFonts w:hint="eastAsia"/>
        </w:rPr>
        <w:t xml:space="preserve">十一、仓位模型与量化推导</w:t>
      </w:r>
    </w:p>
    <w:bookmarkStart w:id="57" w:name="模型输入"/>
    <w:p>
      <w:pPr>
        <w:pStyle w:val="Heading3"/>
      </w:pPr>
      <w:r>
        <w:t xml:space="preserve">📊 </w:t>
      </w:r>
      <w:r>
        <w:rPr>
          <w:rFonts w:hint="eastAsia"/>
        </w:rPr>
        <w:t xml:space="preserve">模型输入</w:t>
      </w:r>
    </w:p>
    <w:p>
      <w:pPr>
        <w:pStyle w:val="Compact"/>
        <w:numPr>
          <w:ilvl w:val="0"/>
          <w:numId w:val="1058"/>
        </w:numPr>
      </w:pPr>
      <w:r>
        <w:rPr>
          <w:rFonts w:hint="eastAsia"/>
        </w:rPr>
        <w:t xml:space="preserve">涨跌比：1.687，对仓位模型贡献+10个百分点。</w:t>
      </w:r>
    </w:p>
    <w:p>
      <w:pPr>
        <w:pStyle w:val="Compact"/>
        <w:numPr>
          <w:ilvl w:val="0"/>
          <w:numId w:val="1058"/>
        </w:numPr>
      </w:pPr>
      <w:r>
        <w:rPr>
          <w:rFonts w:hint="eastAsia"/>
        </w:rPr>
        <w:t xml:space="preserve">全市场成交额：19782.20亿元。</w:t>
      </w:r>
    </w:p>
    <w:p>
      <w:pPr>
        <w:pStyle w:val="Compact"/>
        <w:numPr>
          <w:ilvl w:val="0"/>
          <w:numId w:val="1058"/>
        </w:numPr>
      </w:pPr>
      <w:r>
        <w:rPr>
          <w:rFonts w:hint="eastAsia"/>
        </w:rPr>
        <w:t xml:space="preserve">成交额较前一交易日增加139.84亿元，增幅0.71%，不构成显著放量加分。</w:t>
      </w:r>
    </w:p>
    <w:p>
      <w:pPr>
        <w:pStyle w:val="Compact"/>
        <w:numPr>
          <w:ilvl w:val="0"/>
          <w:numId w:val="1058"/>
        </w:numPr>
      </w:pPr>
      <w:r>
        <w:rPr>
          <w:rFonts w:hint="eastAsia"/>
        </w:rPr>
        <w:t xml:space="preserve">QVIX较20日峰值回落17.9859%，恐慌指标降温。</w:t>
      </w:r>
    </w:p>
    <w:p>
      <w:pPr>
        <w:pStyle w:val="Compact"/>
        <w:numPr>
          <w:ilvl w:val="0"/>
          <w:numId w:val="1058"/>
        </w:numPr>
      </w:pPr>
      <w:r>
        <w:rPr>
          <w:rFonts w:hint="eastAsia"/>
        </w:rPr>
        <w:t xml:space="preserve">宽基ETF持续流入未确认，联合信号为</w:t>
      </w:r>
      <w:r>
        <w:rPr>
          <w:rStyle w:val="VerbatimChar"/>
        </w:rPr>
        <w:t xml:space="preserve">not_confirmed</w:t>
      </w:r>
      <w:r>
        <w:t xml:space="preserve">。</w:t>
      </w:r>
    </w:p>
    <w:p>
      <w:pPr>
        <w:pStyle w:val="Compact"/>
        <w:numPr>
          <w:ilvl w:val="0"/>
          <w:numId w:val="1058"/>
        </w:numPr>
      </w:pPr>
      <w:r>
        <w:rPr>
          <w:rFonts w:hint="eastAsia"/>
        </w:rPr>
        <w:t xml:space="preserve">重点股样本中A档1只、B档2只、D档6只，另有1只数据不足。</w:t>
      </w:r>
    </w:p>
    <w:p>
      <w:pPr>
        <w:pStyle w:val="Compact"/>
        <w:numPr>
          <w:ilvl w:val="0"/>
          <w:numId w:val="1058"/>
        </w:numPr>
      </w:pPr>
      <w:r>
        <w:rPr>
          <w:rFonts w:hint="eastAsia"/>
        </w:rPr>
        <w:t xml:space="preserve">重点股样本MA20上方比例60.0%、MA60上方比例30.0%；该数据仅代表重点股样本，不能表述为全A股趋势宽度。</w:t>
      </w:r>
    </w:p>
    <w:p>
      <w:pPr>
        <w:pStyle w:val="Compact"/>
        <w:numPr>
          <w:ilvl w:val="0"/>
          <w:numId w:val="1058"/>
        </w:numPr>
      </w:pPr>
      <w:r>
        <w:rPr>
          <w:rFonts w:hint="eastAsia"/>
        </w:rPr>
        <w:t xml:space="preserve">行为金融风险分1，未触发扩大或压缩仓位的额外阈值。</w:t>
      </w:r>
    </w:p>
    <w:bookmarkEnd w:id="57"/>
    <w:bookmarkStart w:id="61" w:name="最终仓位上限50"/>
    <w:p>
      <w:pPr>
        <w:pStyle w:val="Heading3"/>
      </w:pPr>
      <w:r>
        <w:t xml:space="preserve">💡 </w:t>
      </w:r>
      <w:r>
        <w:rPr>
          <w:rFonts w:hint="eastAsia"/>
        </w:rPr>
        <w:t xml:space="preserve">最终仓位上限：50%</w:t>
      </w:r>
    </w:p>
    <w:bookmarkStart w:id="58" w:name="保守档35"/>
    <w:p>
      <w:pPr>
        <w:pStyle w:val="Heading4"/>
      </w:pPr>
      <w:r>
        <w:t xml:space="preserve">🟢 </w:t>
      </w:r>
      <w:r>
        <w:rPr>
          <w:rFonts w:hint="eastAsia"/>
        </w:rPr>
        <w:t xml:space="preserve">保守档：35%</w:t>
      </w:r>
    </w:p>
    <w:p>
      <w:pPr>
        <w:pStyle w:val="FirstParagraph"/>
      </w:pPr>
      <w:r>
        <w:rPr>
          <w:rFonts w:hint="eastAsia"/>
        </w:rPr>
        <w:t xml:space="preserve">适用条件：</w:t>
      </w:r>
    </w:p>
    <w:p>
      <w:pPr>
        <w:pStyle w:val="Compact"/>
        <w:numPr>
          <w:ilvl w:val="0"/>
          <w:numId w:val="1059"/>
        </w:numPr>
      </w:pPr>
      <w:r>
        <w:rPr>
          <w:rFonts w:hint="eastAsia"/>
        </w:rPr>
        <w:t xml:space="preserve">三大指数低开或反弹无量。</w:t>
      </w:r>
    </w:p>
    <w:p>
      <w:pPr>
        <w:pStyle w:val="Compact"/>
        <w:numPr>
          <w:ilvl w:val="0"/>
          <w:numId w:val="1059"/>
        </w:numPr>
      </w:pPr>
      <w:r>
        <w:rPr>
          <w:rFonts w:hint="eastAsia"/>
        </w:rPr>
        <w:t xml:space="preserve">科技继续资金流出。</w:t>
      </w:r>
    </w:p>
    <w:p>
      <w:pPr>
        <w:pStyle w:val="Compact"/>
        <w:numPr>
          <w:ilvl w:val="0"/>
          <w:numId w:val="1059"/>
        </w:numPr>
      </w:pPr>
      <w:r>
        <w:rPr>
          <w:rFonts w:hint="eastAsia"/>
        </w:rPr>
        <w:t xml:space="preserve">上证50ETF、沪深300ETF延续净赎回。</w:t>
      </w:r>
    </w:p>
    <w:p>
      <w:pPr>
        <w:pStyle w:val="Compact"/>
        <w:numPr>
          <w:ilvl w:val="0"/>
          <w:numId w:val="1059"/>
        </w:numPr>
      </w:pPr>
      <w:r>
        <w:rPr>
          <w:rFonts w:hint="eastAsia"/>
        </w:rPr>
        <w:t xml:space="preserve">右侧A/B级标的没有出现有效触发。</w:t>
      </w:r>
    </w:p>
    <w:p>
      <w:pPr>
        <w:pStyle w:val="FirstParagraph"/>
      </w:pPr>
      <w:r>
        <w:rPr>
          <w:rFonts w:hint="eastAsia"/>
        </w:rPr>
        <w:t xml:space="preserve">执行：</w:t>
      </w:r>
    </w:p>
    <w:p>
      <w:pPr>
        <w:pStyle w:val="Compact"/>
        <w:numPr>
          <w:ilvl w:val="0"/>
          <w:numId w:val="1060"/>
        </w:numPr>
      </w:pPr>
      <w:r>
        <w:rPr>
          <w:rFonts w:hint="eastAsia"/>
        </w:rPr>
        <w:t xml:space="preserve">以现金和防守仓为主。</w:t>
      </w:r>
    </w:p>
    <w:p>
      <w:pPr>
        <w:pStyle w:val="Compact"/>
        <w:numPr>
          <w:ilvl w:val="0"/>
          <w:numId w:val="1060"/>
        </w:numPr>
      </w:pPr>
      <w:r>
        <w:rPr>
          <w:rFonts w:hint="eastAsia"/>
        </w:rPr>
        <w:t xml:space="preserve">单一方向不超过总仓位15%。</w:t>
      </w:r>
    </w:p>
    <w:p>
      <w:pPr>
        <w:pStyle w:val="Compact"/>
        <w:numPr>
          <w:ilvl w:val="0"/>
          <w:numId w:val="1060"/>
        </w:numPr>
      </w:pPr>
      <w:r>
        <w:rPr>
          <w:rFonts w:hint="eastAsia"/>
        </w:rPr>
        <w:t xml:space="preserve">不参与D级趋势破位股的反抽。</w:t>
      </w:r>
    </w:p>
    <w:bookmarkEnd w:id="58"/>
    <w:bookmarkStart w:id="59" w:name="均衡档50"/>
    <w:p>
      <w:pPr>
        <w:pStyle w:val="Heading4"/>
      </w:pPr>
      <w:r>
        <w:t xml:space="preserve">🟡 </w:t>
      </w:r>
      <w:r>
        <w:rPr>
          <w:rFonts w:hint="eastAsia"/>
        </w:rPr>
        <w:t xml:space="preserve">均衡档：50%</w:t>
      </w:r>
    </w:p>
    <w:p>
      <w:pPr>
        <w:pStyle w:val="FirstParagraph"/>
      </w:pPr>
      <w:r>
        <w:rPr>
          <w:rFonts w:hint="eastAsia"/>
        </w:rPr>
        <w:t xml:space="preserve">适用条件：</w:t>
      </w:r>
    </w:p>
    <w:p>
      <w:pPr>
        <w:pStyle w:val="Compact"/>
        <w:numPr>
          <w:ilvl w:val="0"/>
          <w:numId w:val="1061"/>
        </w:numPr>
      </w:pPr>
      <w:r>
        <w:rPr>
          <w:rFonts w:hint="eastAsia"/>
        </w:rPr>
        <w:t xml:space="preserve">指数回踩后企稳。</w:t>
      </w:r>
    </w:p>
    <w:p>
      <w:pPr>
        <w:pStyle w:val="Compact"/>
        <w:numPr>
          <w:ilvl w:val="0"/>
          <w:numId w:val="1061"/>
        </w:numPr>
      </w:pPr>
      <w:r>
        <w:rPr>
          <w:rFonts w:hint="eastAsia"/>
        </w:rPr>
        <w:t xml:space="preserve">成交额保持在昨日水平附近。</w:t>
      </w:r>
    </w:p>
    <w:p>
      <w:pPr>
        <w:pStyle w:val="Compact"/>
        <w:numPr>
          <w:ilvl w:val="0"/>
          <w:numId w:val="1061"/>
        </w:numPr>
      </w:pPr>
      <w:r>
        <w:rPr>
          <w:rFonts w:hint="eastAsia"/>
        </w:rPr>
        <w:t xml:space="preserve">资源、医药、城市更新与右侧科技至少两个方向保持资金承接。</w:t>
      </w:r>
    </w:p>
    <w:p>
      <w:pPr>
        <w:pStyle w:val="Compact"/>
        <w:numPr>
          <w:ilvl w:val="0"/>
          <w:numId w:val="1061"/>
        </w:numPr>
      </w:pPr>
      <w:r>
        <w:rPr>
          <w:rFonts w:hint="eastAsia"/>
        </w:rPr>
        <w:t xml:space="preserve">天孚通信、XD剑桥科等核心股不出现放量破位。</w:t>
      </w:r>
    </w:p>
    <w:p>
      <w:pPr>
        <w:pStyle w:val="FirstParagraph"/>
      </w:pPr>
      <w:r>
        <w:rPr>
          <w:rFonts w:hint="eastAsia"/>
        </w:rPr>
        <w:t xml:space="preserve">执行：</w:t>
      </w:r>
    </w:p>
    <w:p>
      <w:pPr>
        <w:pStyle w:val="Compact"/>
        <w:numPr>
          <w:ilvl w:val="0"/>
          <w:numId w:val="1062"/>
        </w:numPr>
      </w:pPr>
      <w:r>
        <w:rPr>
          <w:rFonts w:hint="eastAsia"/>
        </w:rPr>
        <w:t xml:space="preserve">底仓30%。</w:t>
      </w:r>
    </w:p>
    <w:p>
      <w:pPr>
        <w:pStyle w:val="Compact"/>
        <w:numPr>
          <w:ilvl w:val="0"/>
          <w:numId w:val="1062"/>
        </w:numPr>
      </w:pPr>
      <w:r>
        <w:rPr>
          <w:rFonts w:hint="eastAsia"/>
        </w:rPr>
        <w:t xml:space="preserve">确认仓20%。</w:t>
      </w:r>
    </w:p>
    <w:p>
      <w:pPr>
        <w:pStyle w:val="Compact"/>
        <w:numPr>
          <w:ilvl w:val="0"/>
          <w:numId w:val="1062"/>
        </w:numPr>
      </w:pPr>
      <w:r>
        <w:rPr>
          <w:rFonts w:hint="eastAsia"/>
        </w:rPr>
        <w:t xml:space="preserve">保留50%现金等待趋势与ETF连续流入确认。</w:t>
      </w:r>
    </w:p>
    <w:bookmarkEnd w:id="59"/>
    <w:bookmarkStart w:id="60" w:name="积极档50"/>
    <w:p>
      <w:pPr>
        <w:pStyle w:val="Heading4"/>
      </w:pPr>
      <w:r>
        <w:t xml:space="preserve">🔴 </w:t>
      </w:r>
      <w:r>
        <w:rPr>
          <w:rFonts w:hint="eastAsia"/>
        </w:rPr>
        <w:t xml:space="preserve">积极档：50%</w:t>
      </w:r>
    </w:p>
    <w:p>
      <w:pPr>
        <w:pStyle w:val="FirstParagraph"/>
      </w:pPr>
      <w:r>
        <w:rPr>
          <w:rFonts w:hint="eastAsia"/>
        </w:rPr>
        <w:t xml:space="preserve">积极档仍不突破50%上限，原因是联合信号未确认。</w:t>
      </w:r>
    </w:p>
    <w:p>
      <w:pPr>
        <w:pStyle w:val="BodyText"/>
      </w:pPr>
      <w:r>
        <w:rPr>
          <w:rFonts w:hint="eastAsia"/>
        </w:rPr>
        <w:t xml:space="preserve">适用条件：</w:t>
      </w:r>
    </w:p>
    <w:p>
      <w:pPr>
        <w:pStyle w:val="Compact"/>
        <w:numPr>
          <w:ilvl w:val="0"/>
          <w:numId w:val="1063"/>
        </w:numPr>
      </w:pPr>
      <w:r>
        <w:rPr>
          <w:rFonts w:hint="eastAsia"/>
        </w:rPr>
        <w:t xml:space="preserve">指数放量修复。</w:t>
      </w:r>
    </w:p>
    <w:p>
      <w:pPr>
        <w:pStyle w:val="Compact"/>
        <w:numPr>
          <w:ilvl w:val="0"/>
          <w:numId w:val="1063"/>
        </w:numPr>
      </w:pPr>
      <w:r>
        <w:rPr>
          <w:rFonts w:hint="eastAsia"/>
        </w:rPr>
        <w:t xml:space="preserve">科创、创业板ETF继续净申购。</w:t>
      </w:r>
    </w:p>
    <w:p>
      <w:pPr>
        <w:pStyle w:val="Compact"/>
        <w:numPr>
          <w:ilvl w:val="0"/>
          <w:numId w:val="1063"/>
        </w:numPr>
      </w:pPr>
      <w:r>
        <w:rPr>
          <w:rFonts w:hint="eastAsia"/>
        </w:rPr>
        <w:t xml:space="preserve">光通信核心出现回踩不破后的放量转强。</w:t>
      </w:r>
    </w:p>
    <w:p>
      <w:pPr>
        <w:pStyle w:val="Compact"/>
        <w:numPr>
          <w:ilvl w:val="0"/>
          <w:numId w:val="1063"/>
        </w:numPr>
      </w:pPr>
      <w:r>
        <w:rPr>
          <w:rFonts w:hint="eastAsia"/>
        </w:rPr>
        <w:t xml:space="preserve">高开题材没有大面积冲高回落。</w:t>
      </w:r>
    </w:p>
    <w:p>
      <w:pPr>
        <w:pStyle w:val="FirstParagraph"/>
      </w:pPr>
      <w:r>
        <w:rPr>
          <w:rFonts w:hint="eastAsia"/>
        </w:rPr>
        <w:t xml:space="preserve">执行：</w:t>
      </w:r>
    </w:p>
    <w:p>
      <w:pPr>
        <w:pStyle w:val="Compact"/>
        <w:numPr>
          <w:ilvl w:val="0"/>
          <w:numId w:val="1064"/>
        </w:numPr>
      </w:pPr>
      <w:r>
        <w:rPr>
          <w:rFonts w:hint="eastAsia"/>
        </w:rPr>
        <w:t xml:space="preserve">只把仓位向A级和完成触发的B级标的集中。</w:t>
      </w:r>
    </w:p>
    <w:p>
      <w:pPr>
        <w:pStyle w:val="Compact"/>
        <w:numPr>
          <w:ilvl w:val="0"/>
          <w:numId w:val="1064"/>
        </w:numPr>
      </w:pPr>
      <w:r>
        <w:rPr>
          <w:rFonts w:hint="eastAsia"/>
        </w:rPr>
        <w:t xml:space="preserve">不因盘中急涨将仓位提高至50%以上。</w:t>
      </w:r>
    </w:p>
    <w:p>
      <w:pPr>
        <w:pStyle w:val="Compact"/>
        <w:numPr>
          <w:ilvl w:val="0"/>
          <w:numId w:val="1064"/>
        </w:numPr>
      </w:pPr>
      <w:r>
        <w:rPr>
          <w:rFonts w:hint="eastAsia"/>
        </w:rPr>
        <w:t xml:space="preserve">若核心股跌破技术证伪线，立即退回35%档。</w:t>
      </w:r>
    </w:p>
    <w:p>
      <w:r>
        <w:pict>
          <v:rect style="width:0;height:1.5pt" o:hralign="center" o:hrstd="t" o:hr="t"/>
        </w:pict>
      </w:r>
    </w:p>
    <w:bookmarkEnd w:id="60"/>
    <w:bookmarkEnd w:id="61"/>
    <w:bookmarkEnd w:id="62"/>
    <w:bookmarkStart w:id="65" w:name="十二今日操作策略"/>
    <w:p>
      <w:pPr>
        <w:pStyle w:val="Heading2"/>
      </w:pPr>
      <w:r>
        <w:t xml:space="preserve">💡 </w:t>
      </w:r>
      <w:r>
        <w:rPr>
          <w:rFonts w:hint="eastAsia"/>
        </w:rPr>
        <w:t xml:space="preserve">十二、今日操作策略</w:t>
      </w:r>
    </w:p>
    <w:bookmarkStart w:id="63" w:name="盘前结论"/>
    <w:p>
      <w:pPr>
        <w:pStyle w:val="Heading3"/>
      </w:pPr>
      <w:r>
        <w:rPr>
          <w:rFonts w:hint="eastAsia"/>
        </w:rPr>
        <w:t xml:space="preserve">盘前结论</w:t>
      </w:r>
    </w:p>
    <w:p>
      <w:pPr>
        <w:pStyle w:val="Compact"/>
        <w:numPr>
          <w:ilvl w:val="0"/>
          <w:numId w:val="1065"/>
        </w:numPr>
      </w:pPr>
      <w:r>
        <w:rPr>
          <w:rFonts w:hint="eastAsia"/>
          <w:b/>
          <w:bCs/>
        </w:rPr>
        <w:t xml:space="preserve">不追高，不打板，不因海外半导体分化上涨而直接抢科技。</w:t>
      </w:r>
    </w:p>
    <w:p>
      <w:pPr>
        <w:pStyle w:val="Compact"/>
        <w:numPr>
          <w:ilvl w:val="0"/>
          <w:numId w:val="1065"/>
        </w:numPr>
      </w:pPr>
      <w:r>
        <w:rPr>
          <w:rFonts w:hint="eastAsia"/>
          <w:b/>
          <w:bCs/>
        </w:rPr>
        <w:t xml:space="preserve">优先等待右侧趋势股回踩确认，资源与城市更新只看资金持续性。</w:t>
      </w:r>
    </w:p>
    <w:p>
      <w:pPr>
        <w:pStyle w:val="Compact"/>
        <w:numPr>
          <w:ilvl w:val="0"/>
          <w:numId w:val="1065"/>
        </w:numPr>
      </w:pPr>
      <w:r>
        <w:rPr>
          <w:rFonts w:hint="eastAsia"/>
          <w:b/>
          <w:bCs/>
        </w:rPr>
        <w:t xml:space="preserve">基础仓位35%，确认后提高至50%，今日仓位上限50%。</w:t>
      </w:r>
    </w:p>
    <w:bookmarkEnd w:id="63"/>
    <w:bookmarkStart w:id="64" w:name="开盘后观察顺序"/>
    <w:p>
      <w:pPr>
        <w:pStyle w:val="Heading3"/>
      </w:pPr>
      <w:r>
        <w:rPr>
          <w:rFonts w:hint="eastAsia"/>
        </w:rPr>
        <w:t xml:space="preserve">开盘后观察顺序</w:t>
      </w:r>
    </w:p>
    <w:p>
      <w:pPr>
        <w:pStyle w:val="Compact"/>
        <w:numPr>
          <w:ilvl w:val="0"/>
          <w:numId w:val="1066"/>
        </w:numPr>
      </w:pPr>
      <w:r>
        <w:rPr>
          <w:rFonts w:hint="eastAsia"/>
        </w:rPr>
        <w:t xml:space="preserve">观察沪深300、创业板、科创50能否止跌，不能只看上证指数。</w:t>
      </w:r>
    </w:p>
    <w:p>
      <w:pPr>
        <w:pStyle w:val="Compact"/>
        <w:numPr>
          <w:ilvl w:val="0"/>
          <w:numId w:val="1066"/>
        </w:numPr>
      </w:pPr>
      <w:r>
        <w:rPr>
          <w:rFonts w:hint="eastAsia"/>
        </w:rPr>
        <w:t xml:space="preserve">观察两市成交额是否显著高于昨日同期，0.71%的前日增量不足以支持全面进攻。</w:t>
      </w:r>
    </w:p>
    <w:p>
      <w:pPr>
        <w:pStyle w:val="Compact"/>
        <w:numPr>
          <w:ilvl w:val="0"/>
          <w:numId w:val="1066"/>
        </w:numPr>
      </w:pPr>
      <w:r>
        <w:rPr>
          <w:rFonts w:hint="eastAsia"/>
        </w:rPr>
        <w:t xml:space="preserve">观察基础化工、医药、石油石化能否延续净流入。</w:t>
      </w:r>
    </w:p>
    <w:p>
      <w:pPr>
        <w:pStyle w:val="Compact"/>
        <w:numPr>
          <w:ilvl w:val="0"/>
          <w:numId w:val="1066"/>
        </w:numPr>
      </w:pPr>
      <w:r>
        <w:rPr>
          <w:rFonts w:hint="eastAsia"/>
        </w:rPr>
        <w:t xml:space="preserve">观察消费电子、半导体、软件的资金流出是否收敛。</w:t>
      </w:r>
    </w:p>
    <w:p>
      <w:pPr>
        <w:pStyle w:val="Compact"/>
        <w:numPr>
          <w:ilvl w:val="0"/>
          <w:numId w:val="1066"/>
        </w:numPr>
      </w:pPr>
      <w:r>
        <w:rPr>
          <w:rFonts w:hint="eastAsia"/>
        </w:rPr>
        <w:t xml:space="preserve">观察天孚通信、XD剑桥科、生益科技是否出现缩量回踩或放量确认。</w:t>
      </w:r>
    </w:p>
    <w:p>
      <w:pPr>
        <w:pStyle w:val="Compact"/>
        <w:numPr>
          <w:ilvl w:val="0"/>
          <w:numId w:val="1066"/>
        </w:numPr>
      </w:pPr>
      <w:r>
        <w:rPr>
          <w:rFonts w:hint="eastAsia"/>
        </w:rPr>
        <w:t xml:space="preserve">若科技高开但核心股快速回落，按FOMO诱多处理，不追。</w:t>
      </w:r>
    </w:p>
    <w:p>
      <w:r>
        <w:pict>
          <v:rect style="width:0;height:1.5pt" o:hralign="center" o:hrstd="t" o:hr="t"/>
        </w:pict>
      </w:r>
    </w:p>
    <w:bookmarkEnd w:id="64"/>
    <w:bookmarkEnd w:id="65"/>
    <w:bookmarkStart w:id="66" w:name="十三回避清单"/>
    <w:p>
      <w:pPr>
        <w:pStyle w:val="Heading2"/>
      </w:pPr>
      <w:r>
        <w:t xml:space="preserve">🚫 </w:t>
      </w:r>
      <w:r>
        <w:rPr>
          <w:rFonts w:hint="eastAsia"/>
        </w:rPr>
        <w:t xml:space="preserve">十三、回避清单</w:t>
      </w:r>
    </w:p>
    <w:p>
      <w:pPr>
        <w:pStyle w:val="Compact"/>
        <w:numPr>
          <w:ilvl w:val="0"/>
          <w:numId w:val="1067"/>
        </w:numPr>
      </w:pPr>
      <w:r>
        <w:t xml:space="preserve">📉🟢 </w:t>
      </w:r>
      <w:r>
        <w:rPr>
          <w:rFonts w:hint="eastAsia"/>
        </w:rPr>
        <w:t xml:space="preserve">TickFlow评级为D的中际旭创、宁德时代、新易盛、兆易创新、兴森科技、东山精密。</w:t>
      </w:r>
    </w:p>
    <w:p>
      <w:pPr>
        <w:pStyle w:val="Compact"/>
        <w:numPr>
          <w:ilvl w:val="0"/>
          <w:numId w:val="1067"/>
        </w:numPr>
      </w:pPr>
      <w:r>
        <w:t xml:space="preserve">⚠️ </w:t>
      </w:r>
      <w:r>
        <w:rPr>
          <w:rFonts w:hint="eastAsia"/>
        </w:rPr>
        <w:t xml:space="preserve">技术数据不足、缺少MA60的长鑫科技。</w:t>
      </w:r>
    </w:p>
    <w:p>
      <w:pPr>
        <w:pStyle w:val="Compact"/>
        <w:numPr>
          <w:ilvl w:val="0"/>
          <w:numId w:val="1067"/>
        </w:numPr>
      </w:pPr>
      <w:r>
        <w:t xml:space="preserve">⚠️ </w:t>
      </w:r>
      <w:r>
        <w:rPr>
          <w:rFonts w:hint="eastAsia"/>
        </w:rPr>
        <w:t xml:space="preserve">*ST萃华：采集到终止上市事先告知书信息。</w:t>
      </w:r>
    </w:p>
    <w:p>
      <w:pPr>
        <w:pStyle w:val="Compact"/>
        <w:numPr>
          <w:ilvl w:val="0"/>
          <w:numId w:val="1067"/>
        </w:numPr>
      </w:pPr>
      <w:r>
        <w:t xml:space="preserve">⚠️ </w:t>
      </w:r>
      <w:r>
        <w:rPr>
          <w:rFonts w:hint="eastAsia"/>
        </w:rPr>
        <w:t xml:space="preserve">华翔股份：控股股东拟减持不超过3%。</w:t>
      </w:r>
    </w:p>
    <w:p>
      <w:pPr>
        <w:pStyle w:val="Compact"/>
        <w:numPr>
          <w:ilvl w:val="0"/>
          <w:numId w:val="1067"/>
        </w:numPr>
      </w:pPr>
      <w:r>
        <w:t xml:space="preserve">⚠️ </w:t>
      </w:r>
      <w:r>
        <w:rPr>
          <w:rFonts w:hint="eastAsia"/>
        </w:rPr>
        <w:t xml:space="preserve">敦煌种业：公告型新闻提示市场情绪过热及非理性炒作风险。</w:t>
      </w:r>
    </w:p>
    <w:p>
      <w:pPr>
        <w:pStyle w:val="Compact"/>
        <w:numPr>
          <w:ilvl w:val="0"/>
          <w:numId w:val="1067"/>
        </w:numPr>
      </w:pPr>
      <w:r>
        <w:t xml:space="preserve">⚠️ </w:t>
      </w:r>
      <w:r>
        <w:rPr>
          <w:rFonts w:hint="eastAsia"/>
        </w:rPr>
        <w:t xml:space="preserve">油价刺激下大幅高开的油气股，防止事件溢价一次性兑现。</w:t>
      </w:r>
    </w:p>
    <w:p>
      <w:pPr>
        <w:pStyle w:val="Compact"/>
        <w:numPr>
          <w:ilvl w:val="0"/>
          <w:numId w:val="1067"/>
        </w:numPr>
      </w:pPr>
      <w:r>
        <w:t xml:space="preserve">⚠️ </w:t>
      </w:r>
      <w:r>
        <w:rPr>
          <w:rFonts w:hint="eastAsia"/>
        </w:rPr>
        <w:t xml:space="preserve">仅因服贸会、光博会概念高开的题材股，必须等待订单或产品信息验证。</w:t>
      </w:r>
    </w:p>
    <w:p>
      <w:pPr>
        <w:pStyle w:val="Compact"/>
        <w:numPr>
          <w:ilvl w:val="0"/>
          <w:numId w:val="1067"/>
        </w:numPr>
      </w:pPr>
      <w:r>
        <w:t xml:space="preserve">⚠️ </w:t>
      </w:r>
      <w:r>
        <w:rPr>
          <w:rFonts w:hint="eastAsia"/>
        </w:rPr>
        <w:t xml:space="preserve">消费电子、计算机设备、IT服务、半导体、软件开发等昨日资金流出靠前方向，未出现资金回流前不做左侧抄底。</w:t>
      </w:r>
    </w:p>
    <w:p>
      <w:r>
        <w:pict>
          <v:rect style="width:0;height:1.5pt" o:hralign="center" o:hrstd="t" o:hr="t"/>
        </w:pict>
      </w:r>
    </w:p>
    <w:bookmarkEnd w:id="66"/>
    <w:bookmarkStart w:id="69" w:name="十四风险日历"/>
    <w:p>
      <w:pPr>
        <w:pStyle w:val="Heading2"/>
      </w:pPr>
      <w:r>
        <w:t xml:space="preserve">🗓️ </w:t>
      </w:r>
      <w:r>
        <w:rPr>
          <w:rFonts w:hint="eastAsia"/>
        </w:rPr>
        <w:t xml:space="preserve">十四、风险日历</w:t>
      </w:r>
    </w:p>
    <w:bookmarkStart w:id="67" w:name="月9日"/>
    <w:p>
      <w:pPr>
        <w:pStyle w:val="Heading3"/>
      </w:pPr>
      <w:r>
        <w:rPr>
          <w:rFonts w:hint="eastAsia"/>
        </w:rPr>
        <w:t xml:space="preserve">9月9日</w:t>
      </w:r>
    </w:p>
    <w:p>
      <w:pPr>
        <w:pStyle w:val="Compact"/>
        <w:numPr>
          <w:ilvl w:val="0"/>
          <w:numId w:val="1068"/>
        </w:numPr>
      </w:pPr>
      <w:r>
        <w:rPr>
          <w:rFonts w:hint="eastAsia"/>
        </w:rPr>
        <w:t xml:space="preserve">2026年中国国际服务贸易交易会开幕。</w:t>
      </w:r>
    </w:p>
    <w:p>
      <w:pPr>
        <w:pStyle w:val="Compact"/>
        <w:numPr>
          <w:ilvl w:val="0"/>
          <w:numId w:val="1068"/>
        </w:numPr>
      </w:pPr>
      <w:r>
        <w:rPr>
          <w:rFonts w:hint="eastAsia"/>
        </w:rPr>
        <w:t xml:space="preserve">第27届中国国际光电博览会开幕，展期为9月9日至11日。</w:t>
      </w:r>
    </w:p>
    <w:p>
      <w:pPr>
        <w:pStyle w:val="Compact"/>
        <w:numPr>
          <w:ilvl w:val="0"/>
          <w:numId w:val="1068"/>
        </w:numPr>
      </w:pPr>
      <w:r>
        <w:rPr>
          <w:rFonts w:hint="eastAsia"/>
        </w:rPr>
        <w:t xml:space="preserve">关注展会催化引发的高开兑现风险。</w:t>
      </w:r>
    </w:p>
    <w:bookmarkEnd w:id="67"/>
    <w:bookmarkStart w:id="68" w:name="持续跟踪"/>
    <w:p>
      <w:pPr>
        <w:pStyle w:val="Heading3"/>
      </w:pPr>
      <w:r>
        <w:rPr>
          <w:rFonts w:hint="eastAsia"/>
        </w:rPr>
        <w:t xml:space="preserve">持续跟踪</w:t>
      </w:r>
    </w:p>
    <w:p>
      <w:pPr>
        <w:pStyle w:val="Compact"/>
        <w:numPr>
          <w:ilvl w:val="0"/>
          <w:numId w:val="1069"/>
        </w:numPr>
      </w:pPr>
      <w:r>
        <w:rPr>
          <w:rFonts w:hint="eastAsia"/>
        </w:rPr>
        <w:t xml:space="preserve">中东能源设施遇袭及WTI原油波动。</w:t>
      </w:r>
    </w:p>
    <w:p>
      <w:pPr>
        <w:pStyle w:val="Compact"/>
        <w:numPr>
          <w:ilvl w:val="0"/>
          <w:numId w:val="1069"/>
        </w:numPr>
      </w:pPr>
      <w:r>
        <w:rPr>
          <w:rFonts w:hint="eastAsia"/>
        </w:rPr>
        <w:t xml:space="preserve">俄乌冲突升级对欧洲能源和全球风险偏好的影响。</w:t>
      </w:r>
    </w:p>
    <w:p>
      <w:pPr>
        <w:pStyle w:val="Compact"/>
        <w:numPr>
          <w:ilvl w:val="0"/>
          <w:numId w:val="1069"/>
        </w:numPr>
      </w:pPr>
      <w:r>
        <w:rPr>
          <w:rFonts w:hint="eastAsia"/>
        </w:rPr>
        <w:t xml:space="preserve">美加关税冲突对钢铝、家电、农业设备及汽车供应链的影响。</w:t>
      </w:r>
    </w:p>
    <w:p>
      <w:pPr>
        <w:pStyle w:val="Compact"/>
        <w:numPr>
          <w:ilvl w:val="0"/>
          <w:numId w:val="1069"/>
        </w:numPr>
      </w:pPr>
      <w:r>
        <w:rPr>
          <w:rFonts w:hint="eastAsia"/>
        </w:rPr>
        <w:t xml:space="preserve">宽基ETF能否从单区间净申购转为至少连续2个区间流入。</w:t>
      </w:r>
    </w:p>
    <w:p>
      <w:pPr>
        <w:pStyle w:val="Compact"/>
        <w:numPr>
          <w:ilvl w:val="0"/>
          <w:numId w:val="1069"/>
        </w:numPr>
      </w:pPr>
      <w:r>
        <w:t xml:space="preserve">300ETF </w:t>
      </w:r>
      <w:r>
        <w:rPr>
          <w:rFonts w:hint="eastAsia"/>
        </w:rPr>
        <w:t xml:space="preserve">QVIX能否继续下降，同时获得宽基ETF流入验证。</w:t>
      </w:r>
    </w:p>
    <w:p>
      <w:pPr>
        <w:pStyle w:val="Compact"/>
        <w:numPr>
          <w:ilvl w:val="0"/>
          <w:numId w:val="1069"/>
        </w:numPr>
      </w:pPr>
      <w:r>
        <w:rPr>
          <w:rFonts w:hint="eastAsia"/>
        </w:rPr>
        <w:t xml:space="preserve">公告主源恢复后，对回购、减持、股权转让、募资调整及退市风险进行交易所原文复核。</w:t>
      </w:r>
    </w:p>
    <w:p>
      <w:pPr>
        <w:pStyle w:val="Compact"/>
        <w:numPr>
          <w:ilvl w:val="0"/>
          <w:numId w:val="1069"/>
        </w:numPr>
      </w:pPr>
      <w:r>
        <w:rPr>
          <w:rFonts w:hint="eastAsia"/>
        </w:rPr>
        <w:t xml:space="preserve">今日其他重要宏观数据发布时间当前数据源未返回，不补数。</w:t>
      </w:r>
    </w:p>
    <w:p>
      <w:r>
        <w:pict>
          <v:rect style="width:0;height:1.5pt" o:hralign="center" o:hrstd="t" o:hr="t"/>
        </w:pict>
      </w:r>
    </w:p>
    <w:bookmarkEnd w:id="68"/>
    <w:bookmarkEnd w:id="69"/>
    <w:bookmarkStart w:id="70" w:name="十五外资与离岸风险偏好"/>
    <w:p>
      <w:pPr>
        <w:pStyle w:val="Heading2"/>
      </w:pPr>
      <w:r>
        <w:t xml:space="preserve">🌊 </w:t>
      </w:r>
      <w:r>
        <w:rPr>
          <w:rFonts w:hint="eastAsia"/>
        </w:rPr>
        <w:t xml:space="preserve">十五、外资与离岸风险偏好</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r>
      <w:tr>
        <w:tc>
          <w:tcPr/>
          <w:p>
            <w:pPr>
              <w:pStyle w:val="Compact"/>
            </w:pPr>
            <w:r>
              <w:rPr>
                <w:rFonts w:hint="eastAsia"/>
              </w:rPr>
              <w:t xml:space="preserve">恒生指数</w:t>
            </w:r>
          </w:p>
        </w:tc>
        <w:tc>
          <w:tcPr/>
          <w:p>
            <w:pPr>
              <w:pStyle w:val="Compact"/>
              <w:jc w:val="right"/>
            </w:pPr>
            <w:r>
              <w:t xml:space="preserve">25413.119</w:t>
            </w:r>
          </w:p>
        </w:tc>
        <w:tc>
          <w:tcPr/>
          <w:p>
            <w:pPr>
              <w:pStyle w:val="Compact"/>
              <w:jc w:val="right"/>
            </w:pPr>
            <w:r>
              <w:t xml:space="preserve">📉🟢 -0.38%</w:t>
            </w:r>
          </w:p>
        </w:tc>
      </w:tr>
      <w:tr>
        <w:tc>
          <w:tcPr/>
          <w:p>
            <w:pPr>
              <w:pStyle w:val="Compact"/>
            </w:pPr>
            <w:r>
              <w:rPr>
                <w:rFonts w:hint="eastAsia"/>
              </w:rPr>
              <w:t xml:space="preserve">富时中国A50期指</w:t>
            </w:r>
          </w:p>
        </w:tc>
        <w:tc>
          <w:tcPr/>
          <w:p>
            <w:pPr>
              <w:pStyle w:val="Compact"/>
              <w:jc w:val="right"/>
            </w:pPr>
            <w:r>
              <w:t xml:space="preserve">14575.84</w:t>
            </w:r>
          </w:p>
        </w:tc>
        <w:tc>
          <w:tcPr/>
          <w:p>
            <w:pPr>
              <w:pStyle w:val="Compact"/>
              <w:jc w:val="right"/>
            </w:pPr>
            <w:r>
              <w:t xml:space="preserve">📈🔴 +0.08%</w:t>
            </w:r>
          </w:p>
        </w:tc>
      </w:tr>
      <w:tr>
        <w:tc>
          <w:tcPr/>
          <w:p>
            <w:pPr>
              <w:pStyle w:val="Compact"/>
            </w:pPr>
            <w:r>
              <w:rPr>
                <w:rFonts w:hint="eastAsia"/>
              </w:rPr>
              <w:t xml:space="preserve">美元兑离岸人民币</w:t>
            </w:r>
          </w:p>
        </w:tc>
        <w:tc>
          <w:tcPr/>
          <w:p>
            <w:pPr>
              <w:pStyle w:val="Compact"/>
              <w:jc w:val="right"/>
            </w:pPr>
            <w:r>
              <w:t xml:space="preserve">6.7043</w:t>
            </w:r>
          </w:p>
        </w:tc>
        <w:tc>
          <w:tcPr/>
          <w:p>
            <w:pPr>
              <w:pStyle w:val="Compact"/>
              <w:jc w:val="right"/>
            </w:pPr>
            <w:r>
              <w:t xml:space="preserve">📉🟢 -0.02%</w:t>
            </w:r>
          </w:p>
        </w:tc>
      </w:tr>
    </w:tbl>
    <w:p>
      <w:pPr>
        <w:pStyle w:val="Compact"/>
        <w:numPr>
          <w:ilvl w:val="0"/>
          <w:numId w:val="1070"/>
        </w:numPr>
      </w:pPr>
      <w:r>
        <w:rPr>
          <w:rFonts w:hint="eastAsia"/>
        </w:rPr>
        <w:t xml:space="preserve">富时中国A50期指上涨0.08%，对A股权重开盘提供轻微支撑，但幅度不足以定义风险偏好转强。</w:t>
      </w:r>
    </w:p>
    <w:p>
      <w:pPr>
        <w:pStyle w:val="Compact"/>
        <w:numPr>
          <w:ilvl w:val="0"/>
          <w:numId w:val="1070"/>
        </w:numPr>
      </w:pPr>
      <w:r>
        <w:rPr>
          <w:rFonts w:hint="eastAsia"/>
        </w:rPr>
        <w:t xml:space="preserve">美元兑离岸人民币下降0.02%，离岸人民币边际走强，对外资风险偏好构成轻微正面信号。</w:t>
      </w:r>
    </w:p>
    <w:p>
      <w:pPr>
        <w:pStyle w:val="Compact"/>
        <w:numPr>
          <w:ilvl w:val="0"/>
          <w:numId w:val="1070"/>
        </w:numPr>
      </w:pPr>
      <w:r>
        <w:rPr>
          <w:rFonts w:hint="eastAsia"/>
        </w:rPr>
        <w:t xml:space="preserve">恒生指数下跌0.38%，叠加美股三大指数收跌，外部风险环境仍偏谨慎。</w:t>
      </w:r>
    </w:p>
    <w:p>
      <w:pPr>
        <w:pStyle w:val="Compact"/>
        <w:numPr>
          <w:ilvl w:val="0"/>
          <w:numId w:val="1070"/>
        </w:numPr>
      </w:pPr>
      <w:r>
        <w:t xml:space="preserve">💡 </w:t>
      </w:r>
      <w:r>
        <w:rPr>
          <w:rFonts w:hint="eastAsia"/>
        </w:rPr>
        <w:t xml:space="preserve">综合判断：离岸风险偏好</w:t>
      </w:r>
      <w:r>
        <w:rPr>
          <w:rFonts w:hint="eastAsia"/>
          <w:b/>
          <w:bCs/>
        </w:rPr>
        <w:t xml:space="preserve">中性偏稳但未转强</w:t>
      </w:r>
      <w:r>
        <w:rPr>
          <w:rFonts w:hint="eastAsia"/>
        </w:rPr>
        <w:t xml:space="preserve">。若人民币继续走强、A50上行且沪深300ETF停止净赎回，才可提高对权重修复的置信度。</w:t>
      </w:r>
    </w:p>
    <w:p>
      <w:r>
        <w:pict>
          <v:rect style="width:0;height:1.5pt" o:hralign="center" o:hrstd="t" o:hr="t"/>
        </w:pict>
      </w:r>
    </w:p>
    <w:bookmarkEnd w:id="70"/>
    <w:bookmarkStart w:id="71" w:name="十六盘前核心结论"/>
    <w:p>
      <w:pPr>
        <w:pStyle w:val="Heading2"/>
      </w:pPr>
      <w:r>
        <w:t xml:space="preserve">🎯 </w:t>
      </w:r>
      <w:r>
        <w:rPr>
          <w:rFonts w:hint="eastAsia"/>
        </w:rPr>
        <w:t xml:space="preserve">十六、盘前核心结论</w:t>
      </w:r>
    </w:p>
    <w:p>
      <w:pPr>
        <w:pStyle w:val="Compact"/>
        <w:numPr>
          <w:ilvl w:val="0"/>
          <w:numId w:val="1071"/>
        </w:numPr>
      </w:pPr>
      <w:r>
        <w:rPr>
          <w:rFonts w:hint="eastAsia"/>
          <w:b/>
          <w:bCs/>
        </w:rPr>
        <w:t xml:space="preserve">市场主线由高位科技向资源、医药、城市更新和价值方向迁徙，但不是全面风格切换。</w:t>
      </w:r>
    </w:p>
    <w:p>
      <w:pPr>
        <w:pStyle w:val="Compact"/>
        <w:numPr>
          <w:ilvl w:val="0"/>
          <w:numId w:val="1071"/>
        </w:numPr>
      </w:pPr>
      <w:r>
        <w:rPr>
          <w:rFonts w:hint="eastAsia"/>
          <w:b/>
          <w:bCs/>
        </w:rPr>
        <w:t xml:space="preserve">隔夜半导体内部强分化，AMD、台积电、博通上涨，英伟达、美光下跌，A股科技只能择强，不能追整个板块。</w:t>
      </w:r>
    </w:p>
    <w:p>
      <w:pPr>
        <w:pStyle w:val="Compact"/>
        <w:numPr>
          <w:ilvl w:val="0"/>
          <w:numId w:val="1071"/>
        </w:numPr>
      </w:pPr>
      <w:r>
        <w:rPr>
          <w:rFonts w:hint="eastAsia"/>
          <w:b/>
          <w:bCs/>
        </w:rPr>
        <w:t xml:space="preserve">两市成交额19782.20亿元，仅增加0.71%，量能不足以支持无差别进攻。</w:t>
      </w:r>
    </w:p>
    <w:p>
      <w:pPr>
        <w:pStyle w:val="Compact"/>
        <w:numPr>
          <w:ilvl w:val="0"/>
          <w:numId w:val="1071"/>
        </w:numPr>
      </w:pPr>
      <w:r>
        <w:rPr>
          <w:rFonts w:hint="eastAsia"/>
          <w:b/>
          <w:bCs/>
        </w:rPr>
        <w:t xml:space="preserve">QVIX已较20日峰值回落17.9859%，但宽基ETF持续流入未确认，联合信号明确为未确认。</w:t>
      </w:r>
    </w:p>
    <w:p>
      <w:pPr>
        <w:pStyle w:val="Compact"/>
        <w:numPr>
          <w:ilvl w:val="0"/>
          <w:numId w:val="1071"/>
        </w:numPr>
      </w:pPr>
      <w:r>
        <w:rPr>
          <w:rFonts w:hint="eastAsia"/>
          <w:b/>
          <w:bCs/>
        </w:rPr>
        <w:t xml:space="preserve">今日最高仓位50%，基础执行35%；只在指数、资金和右侧技术共同确认后提高仓位。</w:t>
      </w:r>
    </w:p>
    <w:p>
      <w:pPr>
        <w:pStyle w:val="Compact"/>
        <w:numPr>
          <w:ilvl w:val="0"/>
          <w:numId w:val="1071"/>
        </w:numPr>
      </w:pPr>
      <w:r>
        <w:rPr>
          <w:rFonts w:hint="eastAsia"/>
          <w:b/>
          <w:bCs/>
        </w:rPr>
        <w:t xml:space="preserve">优先级：天孚通信A级等待确认</w:t>
      </w:r>
      <w:r>
        <w:rPr>
          <w:b/>
          <w:bCs/>
        </w:rPr>
        <w:t xml:space="preserve"> &gt; </w:t>
      </w:r>
      <w:r>
        <w:rPr>
          <w:rFonts w:hint="eastAsia"/>
          <w:b/>
          <w:bCs/>
        </w:rPr>
        <w:t xml:space="preserve">XD剑桥科、生益科技B级观察</w:t>
      </w:r>
      <w:r>
        <w:rPr>
          <w:b/>
          <w:bCs/>
        </w:rPr>
        <w:t xml:space="preserve"> &gt; </w:t>
      </w:r>
      <w:r>
        <w:rPr>
          <w:rFonts w:hint="eastAsia"/>
          <w:b/>
          <w:bCs/>
        </w:rPr>
        <w:t xml:space="preserve">资源医药板块观察</w:t>
      </w:r>
      <w:r>
        <w:rPr>
          <w:b/>
          <w:bCs/>
        </w:rPr>
        <w:t xml:space="preserve"> &gt; </w:t>
      </w:r>
      <w:r>
        <w:rPr>
          <w:rFonts w:hint="eastAsia"/>
          <w:b/>
          <w:bCs/>
        </w:rPr>
        <w:t xml:space="preserve">D级趋势破位股回避。</w:t>
      </w:r>
    </w:p>
    <w:p>
      <w:pPr>
        <w:pStyle w:val="Compact"/>
        <w:numPr>
          <w:ilvl w:val="0"/>
          <w:numId w:val="1071"/>
        </w:numPr>
      </w:pPr>
      <w:r>
        <w:rPr>
          <w:rFonts w:hint="eastAsia"/>
          <w:b/>
          <w:bCs/>
        </w:rPr>
        <w:t xml:space="preserve">纪律高于题材：不打板、不追高、不抄趋势破位，买在缩量回踩不破之后，卖在放量拥挤和人声鼎沸时。</w:t>
      </w:r>
    </w:p>
    <w:bookmarkEnd w:id="71"/>
    <w:bookmarkStart w:id="72" w:name="两融宽基etf成交额恐慌联合信号"/>
    <w:p>
      <w:pPr>
        <w:pStyle w:val="Heading2"/>
      </w:pPr>
      <w:r>
        <w:t xml:space="preserve">💧 </w:t>
      </w:r>
      <w:r>
        <w:rPr>
          <w:rFonts w:hint="eastAsia"/>
        </w:rPr>
        <w:t xml:space="preserve">两融·宽基ETF·成交额·恐慌联合信号</w:t>
      </w:r>
    </w:p>
    <w:p>
      <w:pPr>
        <w:pStyle w:val="Compact"/>
        <w:numPr>
          <w:ilvl w:val="0"/>
          <w:numId w:val="1072"/>
        </w:numPr>
      </w:pPr>
      <w:r>
        <w:rPr>
          <w:rFonts w:hint="eastAsia"/>
          <w:b/>
          <w:bCs/>
        </w:rPr>
        <w:t xml:space="preserve">结论</w:t>
      </w:r>
      <w:r>
        <w:rPr>
          <w:rFonts w:hint="eastAsia"/>
        </w:rPr>
        <w:t xml:space="preserve">：两融截至2026-09-07已结算26494.79亿元（较前一结算日增加116.39亿元），T+1滞后，2026-09-09当日两融尚未发布｜宽基ETF持续净申购：未确认｜成交19782.2亿元｜300ETF</w:t>
      </w:r>
      <w:r>
        <w:t xml:space="preserve"> QVIX </w:t>
      </w:r>
      <w:r>
        <w:rPr>
          <w:rFonts w:hint="eastAsia"/>
        </w:rPr>
        <w:t xml:space="preserve">17.51、较峰值回落18.0%、高位降温｜联合信号未确认</w:t>
      </w:r>
    </w:p>
    <w:p>
      <w:pPr>
        <w:pStyle w:val="Compact"/>
        <w:numPr>
          <w:ilvl w:val="0"/>
          <w:numId w:val="1072"/>
        </w:numPr>
      </w:pPr>
      <w:r>
        <w:rPr>
          <w:rFonts w:hint="eastAsia"/>
          <w:b/>
          <w:bCs/>
        </w:rPr>
        <w:t xml:space="preserve">盘前两融明细（T+1已结算）</w:t>
      </w:r>
      <w:r>
        <w:rPr>
          <w:rFonts w:hint="eastAsia"/>
        </w:rPr>
        <w:t xml:space="preserve">：</w:t>
      </w:r>
    </w:p>
    <w:p>
      <w:pPr>
        <w:pStyle w:val="Compact"/>
        <w:numPr>
          <w:ilvl w:val="1"/>
          <w:numId w:val="1073"/>
        </w:numPr>
      </w:pPr>
      <w:r>
        <w:rPr>
          <w:rFonts w:hint="eastAsia"/>
        </w:rPr>
        <w:t xml:space="preserve">数据日期：2026-09-07；报告日：2026-09-09。</w:t>
      </w:r>
    </w:p>
    <w:p>
      <w:pPr>
        <w:pStyle w:val="Compact"/>
        <w:numPr>
          <w:ilvl w:val="1"/>
          <w:numId w:val="1073"/>
        </w:numPr>
      </w:pPr>
      <w:r>
        <w:rPr>
          <w:rFonts w:hint="eastAsia"/>
        </w:rPr>
        <w:t xml:space="preserve">两融余额：26494.79亿元。</w:t>
      </w:r>
    </w:p>
    <w:p>
      <w:pPr>
        <w:pStyle w:val="Compact"/>
        <w:numPr>
          <w:ilvl w:val="1"/>
          <w:numId w:val="1073"/>
        </w:numPr>
      </w:pPr>
      <w:r>
        <w:rPr>
          <w:rFonts w:hint="eastAsia"/>
        </w:rPr>
        <w:t xml:space="preserve">融资余额：26207.42亿元。</w:t>
      </w:r>
    </w:p>
    <w:p>
      <w:pPr>
        <w:pStyle w:val="Compact"/>
        <w:numPr>
          <w:ilvl w:val="1"/>
          <w:numId w:val="1073"/>
        </w:numPr>
      </w:pPr>
      <w:r>
        <w:rPr>
          <w:rFonts w:hint="eastAsia"/>
        </w:rPr>
        <w:t xml:space="preserve">融券余额：287.37亿元。</w:t>
      </w:r>
    </w:p>
    <w:p>
      <w:pPr>
        <w:pStyle w:val="Compact"/>
        <w:numPr>
          <w:ilvl w:val="1"/>
          <w:numId w:val="1073"/>
        </w:numPr>
      </w:pPr>
      <w:r>
        <w:rPr>
          <w:rFonts w:hint="eastAsia"/>
        </w:rPr>
        <w:t xml:space="preserve">T+1提示：T+1滞后，2026-09-09当日两融尚未发布。</w:t>
      </w:r>
    </w:p>
    <w:p>
      <w:pPr>
        <w:pStyle w:val="Compact"/>
        <w:numPr>
          <w:ilvl w:val="0"/>
          <w:numId w:val="1072"/>
        </w:numPr>
      </w:pPr>
      <w:r>
        <w:rPr>
          <w:rFonts w:hint="eastAsia"/>
          <w:b/>
          <w:bCs/>
        </w:rPr>
        <w:t xml:space="preserve">较前一结算日（2026-09-04→2026-09-07）</w:t>
      </w:r>
      <w:r>
        <w:rPr>
          <w:rFonts w:hint="eastAsia"/>
        </w:rPr>
        <w:t xml:space="preserve">：两融余额增加116.39亿元；融资余额增加114.85亿元；融券余额增加1.53亿元。</w:t>
      </w:r>
    </w:p>
    <w:p>
      <w:pPr>
        <w:pStyle w:val="Compact"/>
        <w:numPr>
          <w:ilvl w:val="0"/>
          <w:numId w:val="1072"/>
        </w:numPr>
      </w:pPr>
      <w:r>
        <w:rPr>
          <w:rFonts w:hint="eastAsia"/>
          <w:b/>
          <w:bCs/>
        </w:rPr>
        <w:t xml:space="preserve">自动解读</w:t>
      </w:r>
      <w:r>
        <w:rPr>
          <w:rFonts w:hint="eastAsia"/>
        </w:rPr>
        <w:t xml:space="preserve">：本轮两融回升主要由融资余额增加驱动；杠杆风险偏好边际改善，但单日变化不能单独作为加仓依据。</w:t>
      </w:r>
    </w:p>
    <w:p>
      <w:pPr>
        <w:pStyle w:val="Compact"/>
        <w:numPr>
          <w:ilvl w:val="0"/>
          <w:numId w:val="1072"/>
        </w:numPr>
      </w:pPr>
      <w:r>
        <w:rPr>
          <w:rFonts w:hint="eastAsia"/>
          <w:b/>
          <w:bCs/>
        </w:rPr>
        <w:t xml:space="preserve">两融口径</w:t>
      </w:r>
      <w:r>
        <w:rPr>
          <w:rFonts w:hint="eastAsia"/>
        </w:rPr>
        <w:t xml:space="preserve">：截至2026-09-07已结算；T+1滞后，2026-09-09当日两融尚未发布，来源东财全市场融资融券日频；只作杠杆资金背景，不作为报告日盘中实时确认，不把盘中估算冒充结算值。</w:t>
      </w:r>
    </w:p>
    <w:p>
      <w:pPr>
        <w:pStyle w:val="Compact"/>
        <w:numPr>
          <w:ilvl w:val="0"/>
          <w:numId w:val="1072"/>
        </w:numPr>
      </w:pPr>
      <w:r>
        <w:rPr>
          <w:rFonts w:hint="eastAsia"/>
          <w:b/>
          <w:bCs/>
        </w:rPr>
        <w:t xml:space="preserve">宽基ETF口径</w:t>
      </w:r>
      <w:r>
        <w:rPr>
          <w:rFonts w:hint="eastAsia"/>
        </w:rPr>
        <w:t xml:space="preserve">：官方ETF份额日差；净申购估算=份额变化×收盘/最新价；连续=最近至少2个区间均为正。</w:t>
      </w:r>
    </w:p>
    <w:p>
      <w:pPr>
        <w:pStyle w:val="Compact"/>
        <w:numPr>
          <w:ilvl w:val="0"/>
          <w:numId w:val="1072"/>
        </w:numPr>
      </w:pPr>
      <w:r>
        <w:rPr>
          <w:rFonts w:hint="eastAsia"/>
          <w:b/>
          <w:bCs/>
        </w:rPr>
        <w:t xml:space="preserve">恐慌代理口径</w:t>
      </w:r>
      <w:r>
        <w:rPr>
          <w:rFonts w:hint="eastAsia"/>
        </w:rPr>
        <w:t xml:space="preserve">：300ETF期权隐含波动率QVIX；高位降温=较20日峰值回落至少10%且较前收盘下降；不是已停发的中国波指iVIX。</w:t>
      </w:r>
    </w:p>
    <w:p>
      <w:pPr>
        <w:pStyle w:val="BlockText"/>
      </w:pPr>
      <w:r>
        <w:t xml:space="preserve">📊 </w:t>
      </w:r>
      <w:r>
        <w:rPr>
          <w:rFonts w:hint="eastAsia"/>
        </w:rPr>
        <w:t xml:space="preserve">生成时间：2026-09-09</w:t>
      </w:r>
      <w:r>
        <w:t xml:space="preserve"> 08:30:23</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分析+写稿模型：GPT-5.6</w:t>
      </w:r>
      <w:r>
        <w:t xml:space="preserve"> Sol (openai-codex)</w:t>
      </w:r>
      <w:r>
        <w:br/>
      </w:r>
      <w:r>
        <w:t xml:space="preserve">📄 </w:t>
      </w:r>
      <w:r>
        <w:rPr>
          <w:rFonts w:hint="eastAsia"/>
        </w:rPr>
        <w:t xml:space="preserve">文档生成：pandoc</w:t>
      </w:r>
      <w:r>
        <w:t xml:space="preserve"> (markdown → docx)</w:t>
      </w:r>
    </w:p>
    <w:bookmarkEnd w:id="72"/>
    <w:bookmarkEnd w:id="7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1"/>
  </w:num>
  <w:num w:numId="1068">
    <w:abstractNumId w:val="991"/>
  </w:num>
  <w:num w:numId="1069">
    <w:abstractNumId w:val="991"/>
  </w:num>
  <w:num w:numId="1070">
    <w:abstractNumId w:val="991"/>
  </w:num>
  <w:num w:numId="10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1"/>
  </w:num>
  <w:num w:numId="107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2026-09-09T01:11:27Z</dcterms:created>
  <dcterms:modified xsi:type="dcterms:W3CDTF">2026-09-09T01:11:27Z</dcterms:modified>
</cp:coreProperties>
</file>

<file path=docProps/custom.xml><?xml version="1.0" encoding="utf-8"?>
<Properties xmlns="http://schemas.openxmlformats.org/officeDocument/2006/custom-properties" xmlns:vt="http://schemas.openxmlformats.org/officeDocument/2006/docPropsVTypes"/>
</file>