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2" w:name="奇迹早知道2026年9月8日盘前简报"/>
    <w:p>
      <w:pPr>
        <w:pStyle w:val="Heading1"/>
      </w:pPr>
      <w:r>
        <w:t xml:space="preserve">🌅 </w:t>
      </w:r>
      <w:r>
        <w:rPr>
          <w:rFonts w:hint="eastAsia"/>
        </w:rPr>
        <w:t xml:space="preserve">奇迹早知道｜2026年9月8日盘前简报</w:t>
      </w:r>
    </w:p>
    <w:bookmarkStart w:id="12" w:name="隔夜全球市场"/>
    <w:p>
      <w:pPr>
        <w:pStyle w:val="Heading2"/>
      </w:pPr>
      <w:r>
        <w:t xml:space="preserve">🌍 ① </w:t>
      </w:r>
      <w:r>
        <w:rPr>
          <w:rFonts w:hint="eastAsia"/>
        </w:rPr>
        <w:t xml:space="preserve">隔夜全球市场</w:t>
      </w:r>
    </w:p>
    <w:bookmarkStart w:id="9" w:name="海外主要指数"/>
    <w:p>
      <w:pPr>
        <w:pStyle w:val="Heading3"/>
      </w:pPr>
      <w:r>
        <w:t xml:space="preserve">📉 </w:t>
      </w:r>
      <w:r>
        <w:rPr>
          <w:rFonts w:hint="eastAsia"/>
        </w:rPr>
        <w:t xml:space="preserve">海外主要指数</w:t>
      </w:r>
    </w:p>
    <w:p>
      <w:pPr>
        <w:pStyle w:val="BlockText"/>
      </w:pPr>
      <w:r>
        <w:rPr>
          <w:rFonts w:hint="eastAsia"/>
        </w:rPr>
        <w:t xml:space="preserve">美股9月7日因美国劳动节休市，下表为行情源可取得的最近一交易日收盘数据，时间戳为2026年9月5日北京时间；不得视为9月7日新增交易结果。</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市场</w:t>
            </w:r>
          </w:p>
        </w:tc>
        <w:tc>
          <w:tcPr/>
          <w:p>
            <w:pPr>
              <w:pStyle w:val="Compact"/>
              <w:jc w:val="right"/>
            </w:pPr>
            <w:r>
              <w:rPr>
                <w:rFonts w:hint="eastAsia"/>
              </w:rPr>
              <w:t xml:space="preserve">最新点位</w:t>
            </w:r>
          </w:p>
        </w:tc>
        <w:tc>
          <w:tcPr/>
          <w:p>
            <w:pPr>
              <w:pStyle w:val="Compact"/>
              <w:jc w:val="right"/>
            </w:pPr>
            <w:r>
              <w:rPr>
                <w:rFonts w:hint="eastAsia"/>
              </w:rPr>
              <w:t xml:space="preserve">涨跌幅</w:t>
            </w:r>
          </w:p>
        </w:tc>
        <w:tc>
          <w:tcPr/>
          <w:p>
            <w:pPr>
              <w:pStyle w:val="Compact"/>
            </w:pPr>
            <w:r>
              <w:rPr>
                <w:rFonts w:hint="eastAsia"/>
              </w:rPr>
              <w:t xml:space="preserve">盘前含义</w:t>
            </w:r>
          </w:p>
        </w:tc>
      </w:tr>
      <w:tr>
        <w:tc>
          <w:tcPr/>
          <w:p>
            <w:pPr>
              <w:pStyle w:val="Compact"/>
            </w:pPr>
            <w:r>
              <w:rPr>
                <w:rFonts w:hint="eastAsia"/>
              </w:rPr>
              <w:t xml:space="preserve">道琼斯</w:t>
            </w:r>
          </w:p>
        </w:tc>
        <w:tc>
          <w:tcPr/>
          <w:p>
            <w:pPr>
              <w:pStyle w:val="Compact"/>
              <w:jc w:val="right"/>
            </w:pPr>
            <w:r>
              <w:t xml:space="preserve">53414.25</w:t>
            </w:r>
          </w:p>
        </w:tc>
        <w:tc>
          <w:tcPr/>
          <w:p>
            <w:pPr>
              <w:pStyle w:val="Compact"/>
              <w:jc w:val="right"/>
            </w:pPr>
            <w:r>
              <w:t xml:space="preserve">🟢 -0.51%</w:t>
            </w:r>
          </w:p>
        </w:tc>
        <w:tc>
          <w:tcPr/>
          <w:p>
            <w:pPr>
              <w:pStyle w:val="Compact"/>
            </w:pPr>
            <w:r>
              <w:rPr>
                <w:rFonts w:hint="eastAsia"/>
              </w:rPr>
              <w:t xml:space="preserve">周期与价值方向承压</w:t>
            </w:r>
          </w:p>
        </w:tc>
      </w:tr>
      <w:tr>
        <w:tc>
          <w:tcPr/>
          <w:p>
            <w:pPr>
              <w:pStyle w:val="Compact"/>
            </w:pPr>
            <w:r>
              <w:rPr>
                <w:rFonts w:hint="eastAsia"/>
              </w:rPr>
              <w:t xml:space="preserve">纳斯达克</w:t>
            </w:r>
          </w:p>
        </w:tc>
        <w:tc>
          <w:tcPr/>
          <w:p>
            <w:pPr>
              <w:pStyle w:val="Compact"/>
              <w:jc w:val="right"/>
            </w:pPr>
            <w:r>
              <w:t xml:space="preserve">26506.9901</w:t>
            </w:r>
          </w:p>
        </w:tc>
        <w:tc>
          <w:tcPr/>
          <w:p>
            <w:pPr>
              <w:pStyle w:val="Compact"/>
              <w:jc w:val="right"/>
            </w:pPr>
            <w:r>
              <w:t xml:space="preserve">🟢 -0.29%</w:t>
            </w:r>
          </w:p>
        </w:tc>
        <w:tc>
          <w:tcPr/>
          <w:p>
            <w:pPr>
              <w:pStyle w:val="Compact"/>
            </w:pPr>
            <w:r>
              <w:rPr>
                <w:rFonts w:hint="eastAsia"/>
              </w:rPr>
              <w:t xml:space="preserve">科技指数小幅回落</w:t>
            </w:r>
          </w:p>
        </w:tc>
      </w:tr>
      <w:tr>
        <w:tc>
          <w:tcPr/>
          <w:p>
            <w:pPr>
              <w:pStyle w:val="Compact"/>
            </w:pPr>
            <w:r>
              <w:rPr>
                <w:rFonts w:hint="eastAsia"/>
              </w:rPr>
              <w:t xml:space="preserve">标普500</w:t>
            </w:r>
          </w:p>
        </w:tc>
        <w:tc>
          <w:tcPr/>
          <w:p>
            <w:pPr>
              <w:pStyle w:val="Compact"/>
              <w:jc w:val="right"/>
            </w:pPr>
            <w:r>
              <w:t xml:space="preserve">7718.6001</w:t>
            </w:r>
          </w:p>
        </w:tc>
        <w:tc>
          <w:tcPr/>
          <w:p>
            <w:pPr>
              <w:pStyle w:val="Compact"/>
              <w:jc w:val="right"/>
            </w:pPr>
            <w:r>
              <w:t xml:space="preserve">🟢 -0.38%</w:t>
            </w:r>
          </w:p>
        </w:tc>
        <w:tc>
          <w:tcPr/>
          <w:p>
            <w:pPr>
              <w:pStyle w:val="Compact"/>
            </w:pPr>
            <w:r>
              <w:rPr>
                <w:rFonts w:hint="eastAsia"/>
              </w:rPr>
              <w:t xml:space="preserve">整体风险偏好偏谨慎</w:t>
            </w:r>
          </w:p>
        </w:tc>
      </w:tr>
      <w:tr>
        <w:tc>
          <w:tcPr/>
          <w:p>
            <w:pPr>
              <w:pStyle w:val="Compact"/>
            </w:pPr>
            <w:r>
              <w:rPr>
                <w:rFonts w:hint="eastAsia"/>
              </w:rPr>
              <w:t xml:space="preserve">恒生指数</w:t>
            </w:r>
          </w:p>
        </w:tc>
        <w:tc>
          <w:tcPr/>
          <w:p>
            <w:pPr>
              <w:pStyle w:val="Compact"/>
              <w:jc w:val="right"/>
            </w:pPr>
            <w:r>
              <w:t xml:space="preserve">25650.871</w:t>
            </w:r>
          </w:p>
        </w:tc>
        <w:tc>
          <w:tcPr/>
          <w:p>
            <w:pPr>
              <w:pStyle w:val="Compact"/>
              <w:jc w:val="right"/>
            </w:pPr>
            <w:r>
              <w:t xml:space="preserve">🟢 -0.93%</w:t>
            </w:r>
          </w:p>
        </w:tc>
        <w:tc>
          <w:tcPr/>
          <w:p>
            <w:pPr>
              <w:pStyle w:val="Compact"/>
            </w:pPr>
            <w:r>
              <w:rPr>
                <w:rFonts w:hint="eastAsia"/>
              </w:rPr>
              <w:t xml:space="preserve">港股上一交易时段偏弱</w:t>
            </w:r>
          </w:p>
        </w:tc>
      </w:tr>
      <w:tr>
        <w:tc>
          <w:tcPr/>
          <w:p>
            <w:pPr>
              <w:pStyle w:val="Compact"/>
            </w:pPr>
            <w:r>
              <w:rPr>
                <w:rFonts w:hint="eastAsia"/>
              </w:rPr>
              <w:t xml:space="preserve">富时中国A50期指</w:t>
            </w:r>
          </w:p>
        </w:tc>
        <w:tc>
          <w:tcPr/>
          <w:p>
            <w:pPr>
              <w:pStyle w:val="Compact"/>
              <w:jc w:val="right"/>
            </w:pPr>
            <w:r>
              <w:t xml:space="preserve">14652.5</w:t>
            </w:r>
          </w:p>
        </w:tc>
        <w:tc>
          <w:tcPr/>
          <w:p>
            <w:pPr>
              <w:pStyle w:val="Compact"/>
              <w:jc w:val="right"/>
            </w:pPr>
            <w:r>
              <w:t xml:space="preserve">🟢 -0.11%</w:t>
            </w:r>
          </w:p>
        </w:tc>
        <w:tc>
          <w:tcPr/>
          <w:p>
            <w:pPr>
              <w:pStyle w:val="Compact"/>
            </w:pPr>
            <w:r>
              <w:rPr>
                <w:rFonts w:hint="eastAsia"/>
              </w:rPr>
              <w:t xml:space="preserve">A股开盘指引轻微偏空</w:t>
            </w:r>
          </w:p>
        </w:tc>
      </w:tr>
    </w:tbl>
    <w:bookmarkEnd w:id="9"/>
    <w:bookmarkStart w:id="10" w:name="美股五只核心半导体个股"/>
    <w:p>
      <w:pPr>
        <w:pStyle w:val="Heading3"/>
      </w:pPr>
      <w:r>
        <w:t xml:space="preserve">📈 </w:t>
      </w:r>
      <w:r>
        <w:rPr>
          <w:rFonts w:hint="eastAsia"/>
        </w:rPr>
        <w:t xml:space="preserve">美股五只核心半导体个股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个股</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c>
          <w:tcPr/>
          <w:p>
            <w:pPr>
              <w:pStyle w:val="Compact"/>
            </w:pPr>
            <w:r>
              <w:rPr>
                <w:rFonts w:hint="eastAsia"/>
              </w:rPr>
              <w:t xml:space="preserve">映射方向</w:t>
            </w:r>
          </w:p>
        </w:tc>
      </w:tr>
      <w:tr>
        <w:tc>
          <w:tcPr/>
          <w:p>
            <w:pPr>
              <w:pStyle w:val="Compact"/>
            </w:pPr>
            <w:r>
              <w:rPr>
                <w:rFonts w:hint="eastAsia"/>
              </w:rPr>
              <w:t xml:space="preserve">英伟达</w:t>
            </w:r>
          </w:p>
        </w:tc>
        <w:tc>
          <w:tcPr/>
          <w:p>
            <w:pPr>
              <w:pStyle w:val="Compact"/>
              <w:jc w:val="right"/>
            </w:pPr>
            <w:r>
              <w:rPr>
                <w:rFonts w:hint="eastAsia"/>
              </w:rPr>
              <w:t xml:space="preserve">230.36美元</w:t>
            </w:r>
          </w:p>
        </w:tc>
        <w:tc>
          <w:tcPr/>
          <w:p>
            <w:pPr>
              <w:pStyle w:val="Compact"/>
              <w:jc w:val="right"/>
            </w:pPr>
            <w:r>
              <w:t xml:space="preserve">🔴 +0.84%</w:t>
            </w:r>
          </w:p>
        </w:tc>
        <w:tc>
          <w:tcPr/>
          <w:p>
            <w:pPr>
              <w:pStyle w:val="Compact"/>
            </w:pPr>
            <w:r>
              <w:rPr>
                <w:rFonts w:hint="eastAsia"/>
              </w:rPr>
              <w:t xml:space="preserve">AI算力、服务器、光通信</w:t>
            </w:r>
          </w:p>
        </w:tc>
      </w:tr>
      <w:tr>
        <w:tc>
          <w:tcPr/>
          <w:p>
            <w:pPr>
              <w:pStyle w:val="Compact"/>
            </w:pPr>
            <w:r>
              <w:t xml:space="preserve">AMD</w:t>
            </w:r>
          </w:p>
        </w:tc>
        <w:tc>
          <w:tcPr/>
          <w:p>
            <w:pPr>
              <w:pStyle w:val="Compact"/>
              <w:jc w:val="right"/>
            </w:pPr>
            <w:r>
              <w:rPr>
                <w:rFonts w:hint="eastAsia"/>
              </w:rPr>
              <w:t xml:space="preserve">477.57美元</w:t>
            </w:r>
          </w:p>
        </w:tc>
        <w:tc>
          <w:tcPr/>
          <w:p>
            <w:pPr>
              <w:pStyle w:val="Compact"/>
              <w:jc w:val="right"/>
            </w:pPr>
            <w:r>
              <w:t xml:space="preserve">🔴 +4.69%</w:t>
            </w:r>
          </w:p>
        </w:tc>
        <w:tc>
          <w:tcPr/>
          <w:p>
            <w:pPr>
              <w:pStyle w:val="Compact"/>
            </w:pPr>
            <w:r>
              <w:rPr>
                <w:rFonts w:hint="eastAsia"/>
              </w:rPr>
              <w:t xml:space="preserve">GPU、服务器芯片</w:t>
            </w:r>
          </w:p>
        </w:tc>
      </w:tr>
      <w:tr>
        <w:tc>
          <w:tcPr/>
          <w:p>
            <w:pPr>
              <w:pStyle w:val="Compact"/>
            </w:pPr>
            <w:r>
              <w:rPr>
                <w:rFonts w:hint="eastAsia"/>
              </w:rPr>
              <w:t xml:space="preserve">台积电</w:t>
            </w:r>
          </w:p>
        </w:tc>
        <w:tc>
          <w:tcPr/>
          <w:p>
            <w:pPr>
              <w:pStyle w:val="Compact"/>
              <w:jc w:val="right"/>
            </w:pPr>
            <w:r>
              <w:rPr>
                <w:rFonts w:hint="eastAsia"/>
              </w:rPr>
              <w:t xml:space="preserve">428.91美元</w:t>
            </w:r>
          </w:p>
        </w:tc>
        <w:tc>
          <w:tcPr/>
          <w:p>
            <w:pPr>
              <w:pStyle w:val="Compact"/>
              <w:jc w:val="right"/>
            </w:pPr>
            <w:r>
              <w:t xml:space="preserve">🔴 +2.85%</w:t>
            </w:r>
          </w:p>
        </w:tc>
        <w:tc>
          <w:tcPr/>
          <w:p>
            <w:pPr>
              <w:pStyle w:val="Compact"/>
            </w:pPr>
            <w:r>
              <w:rPr>
                <w:rFonts w:hint="eastAsia"/>
              </w:rPr>
              <w:t xml:space="preserve">晶圆制造、先进制程</w:t>
            </w:r>
          </w:p>
        </w:tc>
      </w:tr>
      <w:tr>
        <w:tc>
          <w:tcPr/>
          <w:p>
            <w:pPr>
              <w:pStyle w:val="Compact"/>
            </w:pPr>
            <w:r>
              <w:rPr>
                <w:rFonts w:hint="eastAsia"/>
              </w:rPr>
              <w:t xml:space="preserve">博通</w:t>
            </w:r>
          </w:p>
        </w:tc>
        <w:tc>
          <w:tcPr/>
          <w:p>
            <w:pPr>
              <w:pStyle w:val="Compact"/>
              <w:jc w:val="right"/>
            </w:pPr>
            <w:r>
              <w:rPr>
                <w:rFonts w:hint="eastAsia"/>
              </w:rPr>
              <w:t xml:space="preserve">357.895美元</w:t>
            </w:r>
          </w:p>
        </w:tc>
        <w:tc>
          <w:tcPr/>
          <w:p>
            <w:pPr>
              <w:pStyle w:val="Compact"/>
              <w:jc w:val="right"/>
            </w:pPr>
            <w:r>
              <w:t xml:space="preserve">🔴 +0.21%</w:t>
            </w:r>
          </w:p>
        </w:tc>
        <w:tc>
          <w:tcPr/>
          <w:p>
            <w:pPr>
              <w:pStyle w:val="Compact"/>
            </w:pPr>
            <w:r>
              <w:rPr>
                <w:rFonts w:hint="eastAsia"/>
              </w:rPr>
              <w:t xml:space="preserve">ASIC、网络互联</w:t>
            </w:r>
          </w:p>
        </w:tc>
      </w:tr>
      <w:tr>
        <w:tc>
          <w:tcPr/>
          <w:p>
            <w:pPr>
              <w:pStyle w:val="Compact"/>
            </w:pPr>
            <w:r>
              <w:rPr>
                <w:rFonts w:hint="eastAsia"/>
              </w:rPr>
              <w:t xml:space="preserve">美光</w:t>
            </w:r>
          </w:p>
        </w:tc>
        <w:tc>
          <w:tcPr/>
          <w:p>
            <w:pPr>
              <w:pStyle w:val="Compact"/>
              <w:jc w:val="right"/>
            </w:pPr>
            <w:r>
              <w:rPr>
                <w:rFonts w:hint="eastAsia"/>
              </w:rPr>
              <w:t xml:space="preserve">1016.59美元</w:t>
            </w:r>
          </w:p>
        </w:tc>
        <w:tc>
          <w:tcPr/>
          <w:p>
            <w:pPr>
              <w:pStyle w:val="Compact"/>
              <w:jc w:val="right"/>
            </w:pPr>
            <w:r>
              <w:t xml:space="preserve">🔴 +6.10%</w:t>
            </w:r>
          </w:p>
        </w:tc>
        <w:tc>
          <w:tcPr/>
          <w:p>
            <w:pPr>
              <w:pStyle w:val="Compact"/>
            </w:pPr>
            <w:r>
              <w:rPr>
                <w:rFonts w:hint="eastAsia"/>
              </w:rPr>
              <w:t xml:space="preserve">存储芯片、DRAM</w:t>
            </w:r>
          </w:p>
        </w:tc>
      </w:tr>
    </w:tbl>
    <w:p>
      <w:pPr>
        <w:pStyle w:val="BodyText"/>
      </w:pPr>
      <w:r>
        <w:t xml:space="preserve">📌</w:t>
      </w:r>
      <w:r>
        <w:t xml:space="preserve"> </w:t>
      </w:r>
      <w:r>
        <w:rPr>
          <w:rFonts w:hint="eastAsia"/>
          <w:b/>
          <w:bCs/>
        </w:rPr>
        <w:t xml:space="preserve">盘前判断：</w:t>
      </w:r>
    </w:p>
    <w:p>
      <w:pPr>
        <w:pStyle w:val="Compact"/>
        <w:numPr>
          <w:ilvl w:val="0"/>
          <w:numId w:val="1001"/>
        </w:numPr>
      </w:pPr>
      <w:r>
        <w:rPr>
          <w:rFonts w:hint="eastAsia"/>
        </w:rPr>
        <w:t xml:space="preserve">美股三大指数最近一交易日均收跌，但五只核心半导体股全部上涨，呈现“指数偏弱、半导体显著占优”的结构。</w:t>
      </w:r>
    </w:p>
    <w:p>
      <w:pPr>
        <w:pStyle w:val="Compact"/>
        <w:numPr>
          <w:ilvl w:val="0"/>
          <w:numId w:val="1001"/>
        </w:numPr>
      </w:pPr>
      <w:r>
        <w:rPr>
          <w:rFonts w:hint="eastAsia"/>
        </w:rPr>
        <w:t xml:space="preserve">美光上涨6.10%、AMD上涨4.69%、台积电上涨2.85%，有利于A股存储、半导体制造及算力硬件情绪延续。</w:t>
      </w:r>
    </w:p>
    <w:p>
      <w:pPr>
        <w:pStyle w:val="Compact"/>
        <w:numPr>
          <w:ilvl w:val="0"/>
          <w:numId w:val="1001"/>
        </w:numPr>
      </w:pPr>
      <w:r>
        <w:rPr>
          <w:rFonts w:hint="eastAsia"/>
        </w:rPr>
        <w:t xml:space="preserve">A股科技硬件在9月7日已经大幅上涨，海外映射属于强化而非低位首次催化，今日更应防范高开后的兑现压力。</w:t>
      </w:r>
    </w:p>
    <w:bookmarkEnd w:id="10"/>
    <w:bookmarkStart w:id="11" w:name="大宗商品与汇率"/>
    <w:p>
      <w:pPr>
        <w:pStyle w:val="Heading3"/>
      </w:pPr>
      <w:r>
        <w:t xml:space="preserve">🌐 </w:t>
      </w:r>
      <w:r>
        <w:rPr>
          <w:rFonts w:hint="eastAsia"/>
        </w:rPr>
        <w:t xml:space="preserve">大宗商品与汇率</w:t>
      </w:r>
    </w:p>
    <w:tbl>
      <w:tblPr>
        <w:tblStyle w:val="Table"/>
        <w:tblW w:type="pct" w:w="5000"/>
        <w:tblLayout w:type="fixed"/>
        <w:tblLook w:firstRow="1" w:lastRow="0" w:firstColumn="0" w:lastColumn="0" w:noHBand="0" w:noVBand="0" w:val="0020"/>
      </w:tblPr>
      <w:tblGrid>
        <w:gridCol w:w="1697"/>
        <w:gridCol w:w="2262"/>
        <w:gridCol w:w="2262"/>
        <w:gridCol w:w="1697"/>
      </w:tblGrid>
      <w:tr>
        <w:trPr>
          <w:tblHeader w:val="on"/>
        </w:trPr>
        <w:tc>
          <w:tcPr/>
          <w:p>
            <w:pPr>
              <w:pStyle w:val="Compact"/>
            </w:pPr>
            <w:r>
              <w:rPr>
                <w:rFonts w:hint="eastAsia"/>
              </w:rPr>
              <w:t xml:space="preserve">品种</w:t>
            </w:r>
          </w:p>
        </w:tc>
        <w:tc>
          <w:tcPr/>
          <w:p>
            <w:pPr>
              <w:pStyle w:val="Compact"/>
              <w:jc w:val="right"/>
            </w:pPr>
            <w:r>
              <w:rPr>
                <w:rFonts w:hint="eastAsia"/>
              </w:rPr>
              <w:t xml:space="preserve">最新值</w:t>
            </w:r>
          </w:p>
        </w:tc>
        <w:tc>
          <w:tcPr/>
          <w:p>
            <w:pPr>
              <w:pStyle w:val="Compact"/>
              <w:jc w:val="right"/>
            </w:pPr>
            <w:r>
              <w:rPr>
                <w:rFonts w:hint="eastAsia"/>
              </w:rPr>
              <w:t xml:space="preserve">涨跌幅</w:t>
            </w:r>
          </w:p>
        </w:tc>
        <w:tc>
          <w:tcPr/>
          <w:p>
            <w:pPr>
              <w:pStyle w:val="Compact"/>
            </w:pPr>
            <w:r>
              <w:rPr>
                <w:rFonts w:hint="eastAsia"/>
              </w:rPr>
              <w:t xml:space="preserve">A股映射</w:t>
            </w:r>
          </w:p>
        </w:tc>
      </w:tr>
      <w:tr>
        <w:tc>
          <w:tcPr/>
          <w:p>
            <w:pPr>
              <w:pStyle w:val="Compact"/>
            </w:pPr>
            <w:r>
              <w:rPr>
                <w:rFonts w:hint="eastAsia"/>
              </w:rPr>
              <w:t xml:space="preserve">美元兑离岸人民币</w:t>
            </w:r>
          </w:p>
        </w:tc>
        <w:tc>
          <w:tcPr/>
          <w:p>
            <w:pPr>
              <w:pStyle w:val="Compact"/>
              <w:jc w:val="right"/>
            </w:pPr>
            <w:r>
              <w:t xml:space="preserve">6.7074</w:t>
            </w:r>
          </w:p>
        </w:tc>
        <w:tc>
          <w:tcPr/>
          <w:p>
            <w:pPr>
              <w:pStyle w:val="Compact"/>
              <w:jc w:val="right"/>
            </w:pPr>
            <w:r>
              <w:t xml:space="preserve">-0.03%</w:t>
            </w:r>
          </w:p>
        </w:tc>
        <w:tc>
          <w:tcPr/>
          <w:p>
            <w:pPr>
              <w:pStyle w:val="Compact"/>
            </w:pPr>
            <w:r>
              <w:rPr>
                <w:rFonts w:hint="eastAsia"/>
              </w:rPr>
              <w:t xml:space="preserve">人民币小幅走强，外部汇率压力有限</w:t>
            </w:r>
          </w:p>
        </w:tc>
      </w:tr>
      <w:tr>
        <w:tc>
          <w:tcPr/>
          <w:p>
            <w:pPr>
              <w:pStyle w:val="Compact"/>
            </w:pPr>
            <w:r>
              <w:rPr>
                <w:rFonts w:hint="eastAsia"/>
              </w:rPr>
              <w:t xml:space="preserve">COMEX黄金</w:t>
            </w:r>
          </w:p>
        </w:tc>
        <w:tc>
          <w:tcPr/>
          <w:p>
            <w:pPr>
              <w:pStyle w:val="Compact"/>
              <w:jc w:val="right"/>
            </w:pPr>
            <w:r>
              <w:t xml:space="preserve">4469.616</w:t>
            </w:r>
          </w:p>
        </w:tc>
        <w:tc>
          <w:tcPr/>
          <w:p>
            <w:pPr>
              <w:pStyle w:val="Compact"/>
              <w:jc w:val="right"/>
            </w:pPr>
            <w:r>
              <w:t xml:space="preserve">🟢 -0.16%</w:t>
            </w:r>
          </w:p>
        </w:tc>
        <w:tc>
          <w:tcPr/>
          <w:p>
            <w:pPr>
              <w:pStyle w:val="Compact"/>
            </w:pPr>
            <w:r>
              <w:rPr>
                <w:rFonts w:hint="eastAsia"/>
              </w:rPr>
              <w:t xml:space="preserve">黄金避险交易轻微降温</w:t>
            </w:r>
          </w:p>
        </w:tc>
      </w:tr>
      <w:tr>
        <w:tc>
          <w:tcPr/>
          <w:p>
            <w:pPr>
              <w:pStyle w:val="Compact"/>
            </w:pPr>
            <w:r>
              <w:rPr>
                <w:rFonts w:hint="eastAsia"/>
              </w:rPr>
              <w:t xml:space="preserve">WTI原油</w:t>
            </w:r>
          </w:p>
        </w:tc>
        <w:tc>
          <w:tcPr/>
          <w:p>
            <w:pPr>
              <w:pStyle w:val="Compact"/>
              <w:jc w:val="right"/>
            </w:pPr>
            <w:r>
              <w:t xml:space="preserve">92.347</w:t>
            </w:r>
          </w:p>
        </w:tc>
        <w:tc>
          <w:tcPr/>
          <w:p>
            <w:pPr>
              <w:pStyle w:val="Compact"/>
              <w:jc w:val="right"/>
            </w:pPr>
            <w:r>
              <w:t xml:space="preserve">🔴 +0.95%</w:t>
            </w:r>
          </w:p>
        </w:tc>
        <w:tc>
          <w:tcPr/>
          <w:p>
            <w:pPr>
              <w:pStyle w:val="Compact"/>
            </w:pPr>
            <w:r>
              <w:rPr>
                <w:rFonts w:hint="eastAsia"/>
              </w:rPr>
              <w:t xml:space="preserve">油气产业链受益，航空及部分化工成本承压</w:t>
            </w:r>
          </w:p>
        </w:tc>
      </w:tr>
      <w:tr>
        <w:tc>
          <w:tcPr/>
          <w:p>
            <w:pPr>
              <w:pStyle w:val="Compact"/>
            </w:pPr>
            <w:r>
              <w:rPr>
                <w:rFonts w:hint="eastAsia"/>
              </w:rPr>
              <w:t xml:space="preserve">伦铜</w:t>
            </w:r>
          </w:p>
        </w:tc>
        <w:tc>
          <w:tcPr/>
          <w:p>
            <w:pPr>
              <w:pStyle w:val="Compact"/>
              <w:jc w:val="right"/>
            </w:pPr>
            <w:r>
              <w:t xml:space="preserve">14526.32</w:t>
            </w:r>
          </w:p>
        </w:tc>
        <w:tc>
          <w:tcPr/>
          <w:p>
            <w:pPr>
              <w:pStyle w:val="Compact"/>
              <w:jc w:val="right"/>
            </w:pPr>
            <w:r>
              <w:t xml:space="preserve">🔴 +0.12%</w:t>
            </w:r>
          </w:p>
        </w:tc>
        <w:tc>
          <w:tcPr/>
          <w:p>
            <w:pPr>
              <w:pStyle w:val="Compact"/>
            </w:pPr>
            <w:r>
              <w:rPr>
                <w:rFonts w:hint="eastAsia"/>
              </w:rPr>
              <w:t xml:space="preserve">铜资源与电力设备成本端影响偏中性</w:t>
            </w:r>
          </w:p>
        </w:tc>
      </w:tr>
    </w:tbl>
    <w:p>
      <w:r>
        <w:pict>
          <v:rect style="width:0;height:1.5pt" o:hralign="center" o:hrstd="t" o:hr="t"/>
        </w:pict>
      </w:r>
    </w:p>
    <w:bookmarkEnd w:id="11"/>
    <w:bookmarkEnd w:id="12"/>
    <w:bookmarkStart w:id="14" w:name="新闻联播政策面深度解读"/>
    <w:p>
      <w:pPr>
        <w:pStyle w:val="Heading2"/>
      </w:pPr>
      <w:r>
        <w:t xml:space="preserve">📺 ② </w:t>
      </w:r>
      <w:r>
        <w:rPr>
          <w:rFonts w:hint="eastAsia"/>
        </w:rPr>
        <w:t xml:space="preserve">新闻联播政策面深度解读</w:t>
      </w:r>
    </w:p>
    <w:bookmarkStart w:id="13" w:name="年9月7日晚间联播原文缺失"/>
    <w:p>
      <w:pPr>
        <w:pStyle w:val="Heading3"/>
      </w:pPr>
      <w:r>
        <w:t xml:space="preserve">⚠️ </w:t>
      </w:r>
      <w:r>
        <w:rPr>
          <w:rFonts w:hint="eastAsia"/>
        </w:rPr>
        <w:t xml:space="preserve">2026年9月7日晚间联播原文缺失</w:t>
      </w:r>
    </w:p>
    <w:p>
      <w:pPr>
        <w:pStyle w:val="FirstParagraph"/>
      </w:pPr>
      <w:r>
        <w:rPr>
          <w:rFonts w:hint="eastAsia"/>
        </w:rPr>
        <w:t xml:space="preserve">本轮未找到上一日《新闻联播》完整原文存档，因此无法核验9月7日晚间联播的具体条目、政策措辞及播出顺序。</w:t>
      </w:r>
    </w:p>
    <w:p>
      <w:pPr>
        <w:pStyle w:val="Compact"/>
        <w:numPr>
          <w:ilvl w:val="0"/>
          <w:numId w:val="1002"/>
        </w:numPr>
      </w:pPr>
      <w:r>
        <w:rPr>
          <w:rFonts w:hint="eastAsia"/>
        </w:rPr>
        <w:t xml:space="preserve">不引用其他财经新闻替代联播原文。</w:t>
      </w:r>
    </w:p>
    <w:p>
      <w:pPr>
        <w:pStyle w:val="Compact"/>
        <w:numPr>
          <w:ilvl w:val="0"/>
          <w:numId w:val="1002"/>
        </w:numPr>
      </w:pPr>
      <w:r>
        <w:rPr>
          <w:rFonts w:hint="eastAsia"/>
        </w:rPr>
        <w:t xml:space="preserve">不根据市场题材反推联播内容。</w:t>
      </w:r>
    </w:p>
    <w:p>
      <w:pPr>
        <w:pStyle w:val="Compact"/>
        <w:numPr>
          <w:ilvl w:val="0"/>
          <w:numId w:val="1002"/>
        </w:numPr>
      </w:pPr>
      <w:r>
        <w:rPr>
          <w:rFonts w:hint="eastAsia"/>
        </w:rPr>
        <w:t xml:space="preserve">今日无法形成经原文核验的“联播政策信号—A股板块—核心标的”映射。</w:t>
      </w:r>
    </w:p>
    <w:p>
      <w:pPr>
        <w:pStyle w:val="Compact"/>
        <w:numPr>
          <w:ilvl w:val="0"/>
          <w:numId w:val="1002"/>
        </w:numPr>
      </w:pPr>
      <w:r>
        <w:rPr>
          <w:rFonts w:hint="eastAsia"/>
        </w:rPr>
        <w:t xml:space="preserve">涉及财政、产业、科技、消费、农业及资本市场的联播增量信号因联播完整原文缺失，本轮不作映射。</w:t>
      </w:r>
    </w:p>
    <w:p>
      <w:pPr>
        <w:pStyle w:val="FirstParagraph"/>
      </w:pPr>
      <w:r>
        <w:t xml:space="preserve">📌</w:t>
      </w:r>
      <w:r>
        <w:t xml:space="preserve"> </w:t>
      </w:r>
      <w:r>
        <w:rPr>
          <w:rFonts w:hint="eastAsia"/>
          <w:b/>
          <w:bCs/>
        </w:rPr>
        <w:t xml:space="preserve">交易处理：</w:t>
      </w:r>
      <w:r>
        <w:rPr>
          <w:rFonts w:hint="eastAsia"/>
        </w:rPr>
        <w:t xml:space="preserve">联播政策面不计入今日仓位加分项。科技硬件、机器人及消费方向只能依据已核验的资金、量价和公告型新闻判断，不能冠以“联播政策催化”。</w:t>
      </w:r>
    </w:p>
    <w:p>
      <w:r>
        <w:pict>
          <v:rect style="width:0;height:1.5pt" o:hralign="center" o:hrstd="t" o:hr="t"/>
        </w:pict>
      </w:r>
    </w:p>
    <w:bookmarkEnd w:id="13"/>
    <w:bookmarkEnd w:id="14"/>
    <w:bookmarkStart w:id="15" w:name="今日公告与公司事件公告主源失败采用妙想只读新闻有限增强"/>
    <w:p>
      <w:pPr>
        <w:pStyle w:val="Heading2"/>
      </w:pPr>
      <w:r>
        <w:t xml:space="preserve">📢 </w:t>
      </w:r>
      <w:r>
        <w:rPr>
          <w:rFonts w:hint="eastAsia"/>
        </w:rPr>
        <w:t xml:space="preserve">今日公告与公司事件：公告主源失败，采用妙想只读新闻有限增强</w:t>
      </w:r>
    </w:p>
    <w:p>
      <w:pPr>
        <w:pStyle w:val="BlockText"/>
      </w:pPr>
      <w:r>
        <w:t xml:space="preserve">⚠️ </w:t>
      </w:r>
      <w:r>
        <w:rPr>
          <w:rFonts w:hint="eastAsia"/>
        </w:rPr>
        <w:t xml:space="preserve">公告主源异常；筛选窗口：2026-09-07</w:t>
      </w:r>
      <w:r>
        <w:t xml:space="preserve"> 15:00:00 +0800 → 2026-09-08 08:30:35 </w:t>
      </w:r>
      <w:r>
        <w:rPr>
          <w:rFonts w:hint="eastAsia"/>
        </w:rPr>
        <w:t xml:space="preserve">+0800。以下仅为妙想只读新闻增强，未经交易所公告主源复核。</w:t>
      </w:r>
    </w:p>
    <w:p>
      <w:pPr>
        <w:pStyle w:val="Compact"/>
        <w:numPr>
          <w:ilvl w:val="0"/>
          <w:numId w:val="1003"/>
        </w:numPr>
      </w:pPr>
      <w:r>
        <w:rPr>
          <w:rFonts w:hint="eastAsia"/>
          <w:b/>
          <w:bCs/>
        </w:rPr>
        <w:t xml:space="preserve">9.8盘前：通信网、机器人、电子特气、CPO、金属铜</w:t>
      </w:r>
      <w:r>
        <w:rPr>
          <w:b/>
          <w:bCs/>
        </w:rPr>
        <w:t xml:space="preserve"> </w:t>
      </w:r>
      <w:r>
        <w:rPr>
          <w:rFonts w:hint="eastAsia"/>
          <w:b/>
          <w:bCs/>
        </w:rPr>
        <w:t xml:space="preserve">、AI应用、存储、光模块等相关核心概念梳理-格隆汇</w:t>
      </w:r>
      <w:r>
        <w:rPr>
          <w:rFonts w:hint="eastAsia"/>
        </w:rPr>
        <w:t xml:space="preserve">｜2026-09-08</w:t>
      </w:r>
      <w:r>
        <w:t xml:space="preserve"> 00:00:00 </w:t>
      </w:r>
      <w:r>
        <w:rPr>
          <w:rFonts w:hint="eastAsia"/>
        </w:rPr>
        <w:t xml:space="preserve">+0800｜来源：格隆汇</w:t>
      </w:r>
    </w:p>
    <w:p>
      <w:pPr>
        <w:pStyle w:val="Compact"/>
        <w:numPr>
          <w:ilvl w:val="1"/>
          <w:numId w:val="1004"/>
        </w:numPr>
      </w:pPr>
      <w:r>
        <w:rPr>
          <w:rFonts w:hint="eastAsia"/>
        </w:rPr>
        <w:t xml:space="preserve">事件线索：中际旭创、新易盛、天孚通信、华工科技、光迅科技、太辰光、德科立、联特科技、仕佳光子、源杰科技、铭普光磁、博创科技二、其他消息梳理1、图书IP版权:国家版Q局印发《版权工作“十五五”规划》，提出到2030年版权法L制度更加完善，执法J管水平显著提升。中国科传、中国出版、中信出版、龙版传媒、读者传媒。2、参G财L社:新华C媒公告称，公司拟以发行G份方式购买上海界面财L社科技G份有限公司控G权，预计构成重大资C重组，不构成重组上市。公司G票已于9月7日起停牌，预计停牌时间不超过10个交易日。新华传媒、中油资本、君正集团3、机器人:深圳市印发智能机器人产业高质量发展工作方案，着力推进核心技术攻关。爱仕达、光洋股份、科森科技、莱克电气、浙江荣泰、斯菱智驱。4、无稀土电机:马S克确认Cybercab无人驾驶出租车驱动电机完全不使用稀土，续航与常规稀土永磁电机持平，单台驱动单元预计节省约一千美元。</w:t>
      </w:r>
      <w:r>
        <w:t xml:space="preserve"> </w:t>
      </w:r>
      <w:r>
        <w:rPr>
          <w:rFonts w:hint="eastAsia"/>
        </w:rPr>
        <w:t xml:space="preserve">精达股份、横店东磁、大洋电机、英博尔、信质集团。5、消费：江苏中小学秋假最新安排在10月至11月期间自主安排为期3天的秋假，与周末连休，秋假将再迎来5天小长假。湖南多地秋假时间确认，6个市州排出5天小长假</w:t>
      </w:r>
    </w:p>
    <w:p>
      <w:pPr>
        <w:pStyle w:val="Compact"/>
        <w:numPr>
          <w:ilvl w:val="1"/>
          <w:numId w:val="1004"/>
        </w:numPr>
      </w:pPr>
      <w:r>
        <w:rPr>
          <w:rFonts w:hint="eastAsia"/>
        </w:rPr>
        <w:t xml:space="preserve">核验状态：未经交易所公告主源复核。</w:t>
      </w:r>
    </w:p>
    <w:p>
      <w:pPr>
        <w:pStyle w:val="Compact"/>
        <w:numPr>
          <w:ilvl w:val="0"/>
          <w:numId w:val="1003"/>
        </w:numPr>
      </w:pPr>
      <w:r>
        <w:rPr>
          <w:rFonts w:hint="eastAsia"/>
          <w:b/>
          <w:bCs/>
        </w:rPr>
        <w:t xml:space="preserve">9月8日国内四大证券报纸、重要财经媒体头版头条内容精华摘要</w:t>
      </w:r>
      <w:r>
        <w:rPr>
          <w:rFonts w:hint="eastAsia"/>
        </w:rPr>
        <w:t xml:space="preserve">｜2026-09-08</w:t>
      </w:r>
      <w:r>
        <w:t xml:space="preserve"> 06:03:08 </w:t>
      </w:r>
      <w:r>
        <w:rPr>
          <w:rFonts w:hint="eastAsia"/>
        </w:rPr>
        <w:t xml:space="preserve">+0800｜来源：东方财富研究中心</w:t>
      </w:r>
    </w:p>
    <w:p>
      <w:pPr>
        <w:pStyle w:val="Compact"/>
        <w:numPr>
          <w:ilvl w:val="1"/>
          <w:numId w:val="1005"/>
        </w:numPr>
      </w:pPr>
      <w:r>
        <w:rPr>
          <w:rFonts w:hint="eastAsia"/>
        </w:rPr>
        <w:t xml:space="preserve">事件线索：9月8日(星期二)，今日报刊头条主要内容精华如下：</w:t>
      </w:r>
      <w:r>
        <w:t xml:space="preserve"> </w:t>
      </w:r>
      <w:r>
        <w:rPr>
          <w:rFonts w:hint="eastAsia"/>
        </w:rPr>
        <w:t xml:space="preserve">中国证券报</w:t>
      </w:r>
      <w:r>
        <w:t xml:space="preserve"> </w:t>
      </w:r>
      <w:r>
        <w:rPr>
          <w:rFonts w:hint="eastAsia"/>
        </w:rPr>
        <w:t xml:space="preserve">A股三大券商重大资产重组获批</w:t>
      </w:r>
      <w:r>
        <w:t xml:space="preserve"> </w:t>
      </w:r>
      <w:r>
        <w:rPr>
          <w:rFonts w:hint="eastAsia"/>
        </w:rPr>
        <w:t xml:space="preserve">9月7日晚，中金公司发布公告宣布，公司换股吸收合并东兴证券、信达证券事项获得中国证监会核准批复。根据安排，中金公司A股股票将于9月15日起连续停牌，实施异议股东收购请求权申报。</w:t>
      </w:r>
      <w:r>
        <w:t xml:space="preserve"> </w:t>
      </w:r>
      <w:r>
        <w:rPr>
          <w:rFonts w:hint="eastAsia"/>
        </w:rPr>
        <w:t xml:space="preserve">科技股大反攻</w:t>
      </w:r>
      <w:r>
        <w:t xml:space="preserve"> </w:t>
      </w:r>
      <w:r>
        <w:rPr>
          <w:rFonts w:hint="eastAsia"/>
        </w:rPr>
        <w:t xml:space="preserve">拐点要来了？9月7日，A股科技成长方向大幅反弹，通信相关ETF领涨，通信ETF银华上涨6.36%居首。港股通金融ETF和黄金股ETF跌幅居前，多只相关ETF跌超2%。“大肉签”公告</w:t>
      </w:r>
      <w:r>
        <w:t xml:space="preserve"> </w:t>
      </w:r>
      <w:r>
        <w:rPr>
          <w:rFonts w:hint="eastAsia"/>
        </w:rPr>
        <w:t xml:space="preserve">超1.6万股弃购</w:t>
      </w:r>
      <w:r>
        <w:t xml:space="preserve"> </w:t>
      </w:r>
      <w:r>
        <w:rPr>
          <w:rFonts w:hint="eastAsia"/>
        </w:rPr>
        <w:t xml:space="preserve">燧原科技9月7日晚发布公告称，公司首次公开发行股票并在科创板上市的发行结果已公布。本次发行价格为142.18元/股，发行数量为4303.5173万股。回拨机制启动后，网下最终发行2409.9639万股，网上最终发行1032.85万股，网上发行最终中签率为0.02455315%。</w:t>
      </w:r>
      <w:r>
        <w:t xml:space="preserve"> </w:t>
      </w:r>
      <w:r>
        <w:rPr>
          <w:rFonts w:hint="eastAsia"/>
        </w:rPr>
        <w:t xml:space="preserve">长鑫科技：将适时启动分红论证</w:t>
      </w:r>
      <w:r>
        <w:t xml:space="preserve"> </w:t>
      </w:r>
      <w:r>
        <w:rPr>
          <w:rFonts w:hint="eastAsia"/>
        </w:rPr>
        <w:t xml:space="preserve">9月7日，长鑫科技召开2026年半年度业绩说明会。</w:t>
      </w:r>
    </w:p>
    <w:p>
      <w:pPr>
        <w:pStyle w:val="Compact"/>
        <w:numPr>
          <w:ilvl w:val="1"/>
          <w:numId w:val="1005"/>
        </w:numPr>
      </w:pPr>
      <w:r>
        <w:rPr>
          <w:rFonts w:hint="eastAsia"/>
        </w:rPr>
        <w:t xml:space="preserve">核验状态：未经交易所公告主源复核。</w:t>
      </w:r>
    </w:p>
    <w:p>
      <w:pPr>
        <w:pStyle w:val="Compact"/>
        <w:numPr>
          <w:ilvl w:val="0"/>
          <w:numId w:val="1003"/>
        </w:numPr>
      </w:pPr>
      <w:r>
        <w:rPr>
          <w:rFonts w:hint="eastAsia"/>
          <w:b/>
          <w:bCs/>
        </w:rPr>
        <w:t xml:space="preserve">盘前必读丨中金公司“三合一”重组获批；“高中签率”新股今日申购</w:t>
      </w:r>
      <w:r>
        <w:rPr>
          <w:rFonts w:hint="eastAsia"/>
        </w:rPr>
        <w:t xml:space="preserve">｜2026-09-08</w:t>
      </w:r>
      <w:r>
        <w:t xml:space="preserve"> 08:12:33 </w:t>
      </w:r>
      <w:r>
        <w:rPr>
          <w:rFonts w:hint="eastAsia"/>
        </w:rPr>
        <w:t xml:space="preserve">+0800｜来源：第一财经</w:t>
      </w:r>
    </w:p>
    <w:p>
      <w:pPr>
        <w:pStyle w:val="Compact"/>
        <w:numPr>
          <w:ilvl w:val="1"/>
          <w:numId w:val="1006"/>
        </w:numPr>
      </w:pPr>
      <w:r>
        <w:rPr>
          <w:rFonts w:hint="eastAsia"/>
        </w:rPr>
        <w:t xml:space="preserve">事件线索：新股申购：沈鼓集团</w:t>
      </w:r>
      <w:r>
        <w:t xml:space="preserve"> </w:t>
      </w:r>
      <w:r>
        <w:rPr>
          <w:rFonts w:hint="eastAsia"/>
        </w:rPr>
        <w:t xml:space="preserve">►►长鑫科技9月7日下午举行2026年半年度业绩说明会。此前市场传言苹果已在测试长鑫科技的芯片。长鑫科技总经理赵纶回应称，公司以开放的态度与全球优质客户探讨合作机会，公司产品在性能、质量和供应稳定性方面已具备与国际主流厂商竞争的能力。至于HBM（高带宽内存）领域的进展，赵纶表示，公司将按照既定的技术路线图和商业计划保持产品与制程工艺的持续迭代。此前长鑫科技下游应用偏重消费电子。第一财经记者就服务器市场收入占比向长鑫科技提问。赵纶表示，服务器市场需求旺盛，上半年公司持续在该领域拓展业务，在下游需求提升等因素推动下，公司应用于服务器领域的产品贡献增加。</w:t>
      </w:r>
      <w:r>
        <w:t xml:space="preserve"> </w:t>
      </w:r>
      <w:r>
        <w:rPr>
          <w:rFonts w:hint="eastAsia"/>
        </w:rPr>
        <w:t xml:space="preserve">关于国产光刻机DUV导入验证情况，长鑫科技称，公司围绕供应链建设采取了一系列措施，重点聚焦国产供应链的开发与验证，带动半导体设备等产业链核心环节协同发展。</w:t>
      </w:r>
      <w:r>
        <w:t xml:space="preserve"> </w:t>
      </w:r>
      <w:r>
        <w:rPr>
          <w:rFonts w:hint="eastAsia"/>
        </w:rPr>
        <w:t xml:space="preserve">►►受美国劳动节假期影响，美国股市休市一日</w:t>
      </w:r>
      <w:r>
        <w:t xml:space="preserve"> </w:t>
      </w:r>
      <w:r>
        <w:rPr>
          <w:rFonts w:hint="eastAsia"/>
        </w:rPr>
        <w:t xml:space="preserve">►►日经225指数开盘跌0.84%，韩国KOSPI指数涨0.72%。</w:t>
      </w:r>
      <w:r>
        <w:t xml:space="preserve"> </w:t>
      </w:r>
      <w:r>
        <w:rPr>
          <w:rFonts w:hint="eastAsia"/>
        </w:rPr>
        <w:t xml:space="preserve">3连板百大集团：公司股价短期涨幅较大，可能存在市场情绪过热及非理性炒作风险</w:t>
      </w:r>
    </w:p>
    <w:p>
      <w:pPr>
        <w:pStyle w:val="Compact"/>
        <w:numPr>
          <w:ilvl w:val="1"/>
          <w:numId w:val="1006"/>
        </w:numPr>
      </w:pPr>
      <w:r>
        <w:rPr>
          <w:rFonts w:hint="eastAsia"/>
        </w:rPr>
        <w:t xml:space="preserve">核验状态：未经交易所公告主源复核。</w:t>
      </w:r>
    </w:p>
    <w:bookmarkEnd w:id="15"/>
    <w:bookmarkStart w:id="16" w:name="经济数据与今日事件"/>
    <w:p>
      <w:pPr>
        <w:pStyle w:val="Heading2"/>
      </w:pPr>
      <w:r>
        <w:t xml:space="preserve">🗓️ ④ </w:t>
      </w:r>
      <w:r>
        <w:rPr>
          <w:rFonts w:hint="eastAsia"/>
        </w:rPr>
        <w:t xml:space="preserve">经济数据与今日事件</w:t>
      </w:r>
    </w:p>
    <w:p>
      <w:pPr>
        <w:pStyle w:val="Compact"/>
        <w:numPr>
          <w:ilvl w:val="0"/>
          <w:numId w:val="1007"/>
        </w:numPr>
      </w:pPr>
      <w:r>
        <w:t xml:space="preserve">🆕</w:t>
      </w:r>
      <w:r>
        <w:t xml:space="preserve"> </w:t>
      </w:r>
      <w:r>
        <w:rPr>
          <w:rFonts w:hint="eastAsia"/>
          <w:b/>
          <w:bCs/>
        </w:rPr>
        <w:t xml:space="preserve">新股申购：沈鼓集团。</w:t>
      </w:r>
      <w:r>
        <w:rPr>
          <w:rFonts w:hint="eastAsia"/>
        </w:rPr>
        <w:t xml:space="preserve">采集新闻仅确认申购事项，发行价、中签率及申购上限当前数据源未返回，不补数。</w:t>
      </w:r>
    </w:p>
    <w:p>
      <w:pPr>
        <w:pStyle w:val="Compact"/>
        <w:numPr>
          <w:ilvl w:val="0"/>
          <w:numId w:val="1007"/>
        </w:numPr>
      </w:pPr>
      <w:r>
        <w:t xml:space="preserve">🇺🇸 </w:t>
      </w:r>
      <w:r>
        <w:rPr>
          <w:rFonts w:hint="eastAsia"/>
        </w:rPr>
        <w:t xml:space="preserve">美国股市9月7日因劳动节休市，最新美股行情来自此前交易日；今日A股不能把静态海外涨幅误判为隔夜新增催化。</w:t>
      </w:r>
    </w:p>
    <w:p>
      <w:pPr>
        <w:pStyle w:val="Compact"/>
        <w:numPr>
          <w:ilvl w:val="0"/>
          <w:numId w:val="1007"/>
        </w:numPr>
      </w:pPr>
      <w:r>
        <w:t xml:space="preserve">🏦 </w:t>
      </w:r>
      <w:r>
        <w:rPr>
          <w:rFonts w:hint="eastAsia"/>
        </w:rPr>
        <w:t xml:space="preserve">中金公司重大资产重组获得核准的新闻可能提升券商整合关注度，但交易所公告主源未完成复核。</w:t>
      </w:r>
    </w:p>
    <w:p>
      <w:pPr>
        <w:pStyle w:val="Compact"/>
        <w:numPr>
          <w:ilvl w:val="0"/>
          <w:numId w:val="1007"/>
        </w:numPr>
      </w:pPr>
      <w:r>
        <w:t xml:space="preserve">💾 </w:t>
      </w:r>
      <w:r>
        <w:rPr>
          <w:rFonts w:hint="eastAsia"/>
        </w:rPr>
        <w:t xml:space="preserve">长鑫科技半年度业绩说明会信息聚焦服务器市场、HBM路线和国产供应链验证，关注存储产业链的分化反馈。</w:t>
      </w:r>
    </w:p>
    <w:p>
      <w:pPr>
        <w:pStyle w:val="Compact"/>
        <w:numPr>
          <w:ilvl w:val="0"/>
          <w:numId w:val="1007"/>
        </w:numPr>
      </w:pPr>
      <w:r>
        <w:t xml:space="preserve">⚠️ </w:t>
      </w:r>
      <w:r>
        <w:rPr>
          <w:rFonts w:hint="eastAsia"/>
        </w:rPr>
        <w:t xml:space="preserve">本轮采集未提供完整的国内外宏观数据发布时间表，具体经济指标、央行操作及海外官员讲话安排均为</w:t>
      </w:r>
      <w:r>
        <w:rPr>
          <w:rFonts w:hint="eastAsia"/>
          <w:b/>
          <w:bCs/>
        </w:rPr>
        <w:t xml:space="preserve">当前数据源未返回</w:t>
      </w:r>
      <w:r>
        <w:t xml:space="preserve">。</w:t>
      </w:r>
    </w:p>
    <w:p>
      <w:r>
        <w:pict>
          <v:rect style="width:0;height:1.5pt" o:hralign="center" o:hrstd="t" o:hr="t"/>
        </w:pict>
      </w:r>
    </w:p>
    <w:bookmarkEnd w:id="16"/>
    <w:bookmarkStart w:id="19" w:name="全球事件与跨市场影响"/>
    <w:p>
      <w:pPr>
        <w:pStyle w:val="Heading2"/>
      </w:pPr>
      <w:r>
        <w:t xml:space="preserve">🌐 ⑤ </w:t>
      </w:r>
      <w:r>
        <w:rPr>
          <w:rFonts w:hint="eastAsia"/>
        </w:rPr>
        <w:t xml:space="preserve">全球事件与跨市场影响</w:t>
      </w:r>
    </w:p>
    <w:bookmarkStart w:id="17" w:name="正向线索"/>
    <w:p>
      <w:pPr>
        <w:pStyle w:val="Heading3"/>
      </w:pPr>
      <w:r>
        <w:t xml:space="preserve">🔴 </w:t>
      </w:r>
      <w:r>
        <w:rPr>
          <w:rFonts w:hint="eastAsia"/>
        </w:rPr>
        <w:t xml:space="preserve">正向线索</w:t>
      </w:r>
    </w:p>
    <w:p>
      <w:pPr>
        <w:pStyle w:val="Compact"/>
        <w:numPr>
          <w:ilvl w:val="0"/>
          <w:numId w:val="1008"/>
        </w:numPr>
      </w:pPr>
      <w:r>
        <w:rPr>
          <w:rFonts w:hint="eastAsia"/>
        </w:rPr>
        <w:t xml:space="preserve">美光上涨6.10%，强化DRAM及存储景气映射。</w:t>
      </w:r>
    </w:p>
    <w:p>
      <w:pPr>
        <w:pStyle w:val="Compact"/>
        <w:numPr>
          <w:ilvl w:val="0"/>
          <w:numId w:val="1008"/>
        </w:numPr>
      </w:pPr>
      <w:r>
        <w:rPr>
          <w:rFonts w:hint="eastAsia"/>
        </w:rPr>
        <w:t xml:space="preserve">AMD上涨4.69%、台积电上涨2.85%，对GPU、先进制程及半导体设备材料方向形成情绪支撑。</w:t>
      </w:r>
    </w:p>
    <w:p>
      <w:pPr>
        <w:pStyle w:val="Compact"/>
        <w:numPr>
          <w:ilvl w:val="0"/>
          <w:numId w:val="1008"/>
        </w:numPr>
      </w:pPr>
      <w:r>
        <w:rPr>
          <w:rFonts w:hint="eastAsia"/>
        </w:rPr>
        <w:t xml:space="preserve">WTI原油上涨0.95%，油气开采与油服方向可能获得价格支撑。</w:t>
      </w:r>
    </w:p>
    <w:p>
      <w:pPr>
        <w:pStyle w:val="Compact"/>
        <w:numPr>
          <w:ilvl w:val="0"/>
          <w:numId w:val="1008"/>
        </w:numPr>
      </w:pPr>
      <w:r>
        <w:rPr>
          <w:rFonts w:hint="eastAsia"/>
        </w:rPr>
        <w:t xml:space="preserve">离岸人民币报6.7074，升值0.03%，汇率端未显示明显风险外溢。</w:t>
      </w:r>
    </w:p>
    <w:bookmarkEnd w:id="17"/>
    <w:bookmarkStart w:id="18" w:name="约束线索"/>
    <w:p>
      <w:pPr>
        <w:pStyle w:val="Heading3"/>
      </w:pPr>
      <w:r>
        <w:t xml:space="preserve">🟢 </w:t>
      </w:r>
      <w:r>
        <w:rPr>
          <w:rFonts w:hint="eastAsia"/>
        </w:rPr>
        <w:t xml:space="preserve">约束线索</w:t>
      </w:r>
    </w:p>
    <w:p>
      <w:pPr>
        <w:pStyle w:val="Compact"/>
        <w:numPr>
          <w:ilvl w:val="0"/>
          <w:numId w:val="1009"/>
        </w:numPr>
      </w:pPr>
      <w:r>
        <w:rPr>
          <w:rFonts w:hint="eastAsia"/>
        </w:rPr>
        <w:t xml:space="preserve">美股三大指数最近一交易日同步下跌，说明风险偏好并非全面扩张。</w:t>
      </w:r>
    </w:p>
    <w:p>
      <w:pPr>
        <w:pStyle w:val="Compact"/>
        <w:numPr>
          <w:ilvl w:val="0"/>
          <w:numId w:val="1009"/>
        </w:numPr>
      </w:pPr>
      <w:r>
        <w:rPr>
          <w:rFonts w:hint="eastAsia"/>
        </w:rPr>
        <w:t xml:space="preserve">恒生指数上一交易时段下跌0.93%，港股风险偏好偏弱。</w:t>
      </w:r>
    </w:p>
    <w:p>
      <w:pPr>
        <w:pStyle w:val="Compact"/>
        <w:numPr>
          <w:ilvl w:val="0"/>
          <w:numId w:val="1009"/>
        </w:numPr>
      </w:pPr>
      <w:r>
        <w:rPr>
          <w:rFonts w:hint="eastAsia"/>
        </w:rPr>
        <w:t xml:space="preserve">富时中国A50期指下跌0.11%，对A股开盘的方向指引轻微偏空。</w:t>
      </w:r>
    </w:p>
    <w:p>
      <w:pPr>
        <w:pStyle w:val="Compact"/>
        <w:numPr>
          <w:ilvl w:val="0"/>
          <w:numId w:val="1009"/>
        </w:numPr>
      </w:pPr>
      <w:r>
        <w:rPr>
          <w:rFonts w:hint="eastAsia"/>
        </w:rPr>
        <w:t xml:space="preserve">A股科技硬件已在9月7日集中上涨，海外半导体走强可能诱发高开，增加FOMO追涨风险。</w:t>
      </w:r>
    </w:p>
    <w:p>
      <w:r>
        <w:pict>
          <v:rect style="width:0;height:1.5pt" o:hralign="center" o:hrstd="t" o:hr="t"/>
        </w:pict>
      </w:r>
    </w:p>
    <w:bookmarkEnd w:id="18"/>
    <w:bookmarkEnd w:id="19"/>
    <w:bookmarkStart w:id="21" w:name="月7日市场复盘"/>
    <w:p>
      <w:pPr>
        <w:pStyle w:val="Heading2"/>
      </w:pPr>
      <w:r>
        <w:t xml:space="preserve">📊 ⑥ </w:t>
      </w:r>
      <w:r>
        <w:rPr>
          <w:rFonts w:hint="eastAsia"/>
        </w:rPr>
        <w:t xml:space="preserve">9月7日市场复盘</w:t>
      </w:r>
    </w:p>
    <w:bookmarkStart w:id="20" w:name="指数表现"/>
    <w:p>
      <w:pPr>
        <w:pStyle w:val="Heading3"/>
      </w:pPr>
      <w:r>
        <w:t xml:space="preserve">📈 </w:t>
      </w:r>
      <w:r>
        <w:rPr>
          <w:rFonts w:hint="eastAsia"/>
        </w:rPr>
        <w:t xml:space="preserve">指数表现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3932.6992</w:t>
            </w:r>
          </w:p>
        </w:tc>
        <w:tc>
          <w:tcPr/>
          <w:p>
            <w:pPr>
              <w:pStyle w:val="Compact"/>
              <w:jc w:val="right"/>
            </w:pPr>
            <w:r>
              <w:t xml:space="preserve">🔴 +0.0657%</w:t>
            </w:r>
          </w:p>
        </w:tc>
        <w:tc>
          <w:tcPr/>
          <w:p>
            <w:pPr>
              <w:pStyle w:val="Compact"/>
              <w:jc w:val="right"/>
            </w:pPr>
            <w:r>
              <w:rPr>
                <w:rFonts w:hint="eastAsia"/>
              </w:rPr>
              <w:t xml:space="preserve">8979.04亿元</w:t>
            </w:r>
          </w:p>
        </w:tc>
      </w:tr>
      <w:tr>
        <w:tc>
          <w:tcPr/>
          <w:p>
            <w:pPr>
              <w:pStyle w:val="Compact"/>
            </w:pPr>
            <w:r>
              <w:rPr>
                <w:rFonts w:hint="eastAsia"/>
              </w:rPr>
              <w:t xml:space="preserve">深证成指</w:t>
            </w:r>
          </w:p>
        </w:tc>
        <w:tc>
          <w:tcPr/>
          <w:p>
            <w:pPr>
              <w:pStyle w:val="Compact"/>
              <w:jc w:val="right"/>
            </w:pPr>
            <w:r>
              <w:t xml:space="preserve">13774.915</w:t>
            </w:r>
          </w:p>
        </w:tc>
        <w:tc>
          <w:tcPr/>
          <w:p>
            <w:pPr>
              <w:pStyle w:val="Compact"/>
              <w:jc w:val="right"/>
            </w:pPr>
            <w:r>
              <w:t xml:space="preserve">🔴 +1.9083%</w:t>
            </w:r>
          </w:p>
        </w:tc>
        <w:tc>
          <w:tcPr/>
          <w:p>
            <w:pPr>
              <w:pStyle w:val="Compact"/>
              <w:jc w:val="right"/>
            </w:pPr>
            <w:r>
              <w:rPr>
                <w:rFonts w:hint="eastAsia"/>
              </w:rPr>
              <w:t xml:space="preserve">10481.15亿元</w:t>
            </w:r>
          </w:p>
        </w:tc>
      </w:tr>
      <w:tr>
        <w:tc>
          <w:tcPr/>
          <w:p>
            <w:pPr>
              <w:pStyle w:val="Compact"/>
            </w:pPr>
            <w:r>
              <w:rPr>
                <w:rFonts w:hint="eastAsia"/>
              </w:rPr>
              <w:t xml:space="preserve">创业板指</w:t>
            </w:r>
          </w:p>
        </w:tc>
        <w:tc>
          <w:tcPr/>
          <w:p>
            <w:pPr>
              <w:pStyle w:val="Compact"/>
              <w:jc w:val="right"/>
            </w:pPr>
            <w:r>
              <w:t xml:space="preserve">3398.681</w:t>
            </w:r>
          </w:p>
        </w:tc>
        <w:tc>
          <w:tcPr/>
          <w:p>
            <w:pPr>
              <w:pStyle w:val="Compact"/>
              <w:jc w:val="right"/>
            </w:pPr>
            <w:r>
              <w:t xml:space="preserve">🔴 +3.4119%</w:t>
            </w:r>
          </w:p>
        </w:tc>
        <w:tc>
          <w:tcPr/>
          <w:p>
            <w:pPr>
              <w:pStyle w:val="Compact"/>
              <w:jc w:val="right"/>
            </w:pPr>
            <w:r>
              <w:rPr>
                <w:rFonts w:hint="eastAsia"/>
              </w:rPr>
              <w:t xml:space="preserve">5085.13亿元</w:t>
            </w:r>
          </w:p>
        </w:tc>
      </w:tr>
      <w:tr>
        <w:tc>
          <w:tcPr/>
          <w:p>
            <w:pPr>
              <w:pStyle w:val="Compact"/>
            </w:pPr>
            <w:r>
              <w:rPr>
                <w:rFonts w:hint="eastAsia"/>
              </w:rPr>
              <w:t xml:space="preserve">科创50</w:t>
            </w:r>
          </w:p>
        </w:tc>
        <w:tc>
          <w:tcPr/>
          <w:p>
            <w:pPr>
              <w:pStyle w:val="Compact"/>
              <w:jc w:val="right"/>
            </w:pPr>
            <w:r>
              <w:t xml:space="preserve">1615.5305</w:t>
            </w:r>
          </w:p>
        </w:tc>
        <w:tc>
          <w:tcPr/>
          <w:p>
            <w:pPr>
              <w:pStyle w:val="Compact"/>
              <w:jc w:val="right"/>
            </w:pPr>
            <w:r>
              <w:t xml:space="preserve">🔴 +2.4199%</w:t>
            </w:r>
          </w:p>
        </w:tc>
        <w:tc>
          <w:tcPr/>
          <w:p>
            <w:pPr>
              <w:pStyle w:val="Compact"/>
              <w:jc w:val="right"/>
            </w:pPr>
            <w:r>
              <w:rPr>
                <w:rFonts w:hint="eastAsia"/>
              </w:rPr>
              <w:t xml:space="preserve">883.32亿元</w:t>
            </w:r>
          </w:p>
        </w:tc>
      </w:tr>
      <w:tr>
        <w:tc>
          <w:tcPr/>
          <w:p>
            <w:pPr>
              <w:pStyle w:val="Compact"/>
            </w:pPr>
            <w:r>
              <w:rPr>
                <w:rFonts w:hint="eastAsia"/>
              </w:rPr>
              <w:t xml:space="preserve">沪深300</w:t>
            </w:r>
          </w:p>
        </w:tc>
        <w:tc>
          <w:tcPr/>
          <w:p>
            <w:pPr>
              <w:pStyle w:val="Compact"/>
              <w:jc w:val="right"/>
            </w:pPr>
            <w:r>
              <w:t xml:space="preserve">4575.0245</w:t>
            </w:r>
          </w:p>
        </w:tc>
        <w:tc>
          <w:tcPr/>
          <w:p>
            <w:pPr>
              <w:pStyle w:val="Compact"/>
              <w:jc w:val="right"/>
            </w:pPr>
            <w:r>
              <w:t xml:space="preserve">🔴 +0.5931%</w:t>
            </w:r>
          </w:p>
        </w:tc>
        <w:tc>
          <w:tcPr/>
          <w:p>
            <w:pPr>
              <w:pStyle w:val="Compact"/>
              <w:jc w:val="right"/>
            </w:pPr>
            <w:r>
              <w:rPr>
                <w:rFonts w:hint="eastAsia"/>
              </w:rPr>
              <w:t xml:space="preserve">5358.12亿元</w:t>
            </w:r>
          </w:p>
        </w:tc>
      </w:tr>
    </w:tbl>
    <w:p>
      <w:pPr>
        <w:pStyle w:val="BodyText"/>
      </w:pPr>
      <w:r>
        <w:t xml:space="preserve">📌</w:t>
      </w:r>
      <w:r>
        <w:t xml:space="preserve"> </w:t>
      </w:r>
      <w:r>
        <w:rPr>
          <w:rFonts w:hint="eastAsia"/>
          <w:b/>
          <w:bCs/>
        </w:rPr>
        <w:t xml:space="preserve">结构结论：</w:t>
      </w:r>
    </w:p>
    <w:p>
      <w:pPr>
        <w:pStyle w:val="Compact"/>
        <w:numPr>
          <w:ilvl w:val="0"/>
          <w:numId w:val="1010"/>
        </w:numPr>
      </w:pPr>
      <w:r>
        <w:rPr>
          <w:rFonts w:hint="eastAsia"/>
        </w:rPr>
        <w:t xml:space="preserve">市场呈现明显的沪弱深强、成长强于价值结构。</w:t>
      </w:r>
    </w:p>
    <w:p>
      <w:pPr>
        <w:pStyle w:val="Compact"/>
        <w:numPr>
          <w:ilvl w:val="0"/>
          <w:numId w:val="1010"/>
        </w:numPr>
      </w:pPr>
      <w:r>
        <w:rPr>
          <w:rFonts w:hint="eastAsia"/>
        </w:rPr>
        <w:t xml:space="preserve">创业板指上涨3.4119%、科创50上涨2.4199%，显著强于上证指数的0.0657%。</w:t>
      </w:r>
    </w:p>
    <w:p>
      <w:pPr>
        <w:pStyle w:val="Compact"/>
        <w:numPr>
          <w:ilvl w:val="0"/>
          <w:numId w:val="1010"/>
        </w:numPr>
      </w:pPr>
      <w:r>
        <w:rPr>
          <w:rFonts w:hint="eastAsia"/>
        </w:rPr>
        <w:t xml:space="preserve">全市场成交额19642.35亿元，较前一交易日20510.48亿元减少868.13亿元，降幅4.23%。</w:t>
      </w:r>
    </w:p>
    <w:p>
      <w:pPr>
        <w:pStyle w:val="Compact"/>
        <w:numPr>
          <w:ilvl w:val="0"/>
          <w:numId w:val="1010"/>
        </w:numPr>
      </w:pPr>
      <w:r>
        <w:rPr>
          <w:rFonts w:hint="eastAsia"/>
        </w:rPr>
        <w:t xml:space="preserve">科技成长上涨但总成交额缩减，说明行情主要依赖存量资金集中，而不是全面增量资金推动。</w:t>
      </w:r>
    </w:p>
    <w:bookmarkEnd w:id="20"/>
    <w:bookmarkEnd w:id="21"/>
    <w:bookmarkStart w:id="26" w:name="资金流向四张榜"/>
    <w:p>
      <w:pPr>
        <w:pStyle w:val="Heading2"/>
      </w:pPr>
      <w:r>
        <w:t xml:space="preserve">💰 </w:t>
      </w:r>
      <w:r>
        <w:rPr>
          <w:rFonts w:hint="eastAsia"/>
        </w:rPr>
        <w:t xml:space="preserve">资金流向四张榜</w:t>
      </w:r>
    </w:p>
    <w:p>
      <w:pPr>
        <w:pStyle w:val="FirstParagraph"/>
      </w:pPr>
      <w:r>
        <w:rPr>
          <w:rFonts w:hint="eastAsia"/>
        </w:rPr>
        <w:t xml:space="preserve">口径说明：交易日2026-09-07，2026-09-07</w:t>
      </w:r>
      <w:r>
        <w:t xml:space="preserve"> </w:t>
      </w:r>
      <w:r>
        <w:rPr>
          <w:rFonts w:hint="eastAsia"/>
        </w:rPr>
        <w:t xml:space="preserve">15:00，scope=previous_close，申万二级行业；来源：huatai。</w:t>
      </w:r>
    </w:p>
    <w:bookmarkStart w:id="22" w:name="流出top10板块"/>
    <w:p>
      <w:pPr>
        <w:pStyle w:val="Heading3"/>
      </w:pPr>
      <w:r>
        <w:t xml:space="preserve">💰 </w:t>
      </w:r>
      <w:r>
        <w:rPr>
          <w:rFonts w:hint="eastAsia"/>
        </w:rPr>
        <w:t xml:space="preserve">流出TOP10板块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证券Ⅱ</w:t>
            </w:r>
          </w:p>
        </w:tc>
        <w:tc>
          <w:tcPr/>
          <w:p>
            <w:pPr>
              <w:pStyle w:val="Compact"/>
              <w:jc w:val="right"/>
            </w:pPr>
            <w:r>
              <w:rPr>
                <w:rFonts w:hint="eastAsia"/>
              </w:rPr>
              <w:t xml:space="preserve">-22.17亿元</w:t>
            </w:r>
          </w:p>
        </w:tc>
      </w:tr>
      <w:tr>
        <w:tc>
          <w:tcPr/>
          <w:p>
            <w:pPr>
              <w:pStyle w:val="Compact"/>
              <w:jc w:val="right"/>
            </w:pPr>
            <w:r>
              <w:t xml:space="preserve">2</w:t>
            </w:r>
          </w:p>
        </w:tc>
        <w:tc>
          <w:tcPr/>
          <w:p>
            <w:pPr>
              <w:pStyle w:val="Compact"/>
            </w:pPr>
            <w:r>
              <w:rPr>
                <w:rFonts w:hint="eastAsia"/>
              </w:rPr>
              <w:t xml:space="preserve">银行Ⅱ</w:t>
            </w:r>
          </w:p>
        </w:tc>
        <w:tc>
          <w:tcPr/>
          <w:p>
            <w:pPr>
              <w:pStyle w:val="Compact"/>
              <w:jc w:val="right"/>
            </w:pPr>
            <w:r>
              <w:rPr>
                <w:rFonts w:hint="eastAsia"/>
              </w:rPr>
              <w:t xml:space="preserve">-16.95亿元</w:t>
            </w:r>
          </w:p>
        </w:tc>
      </w:tr>
      <w:tr>
        <w:tc>
          <w:tcPr/>
          <w:p>
            <w:pPr>
              <w:pStyle w:val="Compact"/>
              <w:jc w:val="right"/>
            </w:pPr>
            <w:r>
              <w:t xml:space="preserve">3</w:t>
            </w:r>
          </w:p>
        </w:tc>
        <w:tc>
          <w:tcPr/>
          <w:p>
            <w:pPr>
              <w:pStyle w:val="Compact"/>
            </w:pPr>
            <w:r>
              <w:rPr>
                <w:rFonts w:hint="eastAsia"/>
              </w:rPr>
              <w:t xml:space="preserve">软件开发</w:t>
            </w:r>
          </w:p>
        </w:tc>
        <w:tc>
          <w:tcPr/>
          <w:p>
            <w:pPr>
              <w:pStyle w:val="Compact"/>
              <w:jc w:val="right"/>
            </w:pPr>
            <w:r>
              <w:rPr>
                <w:rFonts w:hint="eastAsia"/>
              </w:rPr>
              <w:t xml:space="preserve">-16.03亿元</w:t>
            </w:r>
          </w:p>
        </w:tc>
      </w:tr>
      <w:tr>
        <w:tc>
          <w:tcPr/>
          <w:p>
            <w:pPr>
              <w:pStyle w:val="Compact"/>
              <w:jc w:val="right"/>
            </w:pPr>
            <w:r>
              <w:t xml:space="preserve">4</w:t>
            </w:r>
          </w:p>
        </w:tc>
        <w:tc>
          <w:tcPr/>
          <w:p>
            <w:pPr>
              <w:pStyle w:val="Compact"/>
            </w:pPr>
            <w:r>
              <w:rPr>
                <w:rFonts w:hint="eastAsia"/>
              </w:rPr>
              <w:t xml:space="preserve">贵金属</w:t>
            </w:r>
          </w:p>
        </w:tc>
        <w:tc>
          <w:tcPr/>
          <w:p>
            <w:pPr>
              <w:pStyle w:val="Compact"/>
              <w:jc w:val="right"/>
            </w:pPr>
            <w:r>
              <w:rPr>
                <w:rFonts w:hint="eastAsia"/>
              </w:rPr>
              <w:t xml:space="preserve">-14.96亿元</w:t>
            </w:r>
          </w:p>
        </w:tc>
      </w:tr>
      <w:tr>
        <w:tc>
          <w:tcPr/>
          <w:p>
            <w:pPr>
              <w:pStyle w:val="Compact"/>
              <w:jc w:val="right"/>
            </w:pPr>
            <w:r>
              <w:t xml:space="preserve">5</w:t>
            </w:r>
          </w:p>
        </w:tc>
        <w:tc>
          <w:tcPr/>
          <w:p>
            <w:pPr>
              <w:pStyle w:val="Compact"/>
            </w:pPr>
            <w:r>
              <w:rPr>
                <w:rFonts w:hint="eastAsia"/>
              </w:rPr>
              <w:t xml:space="preserve">保险Ⅱ</w:t>
            </w:r>
          </w:p>
        </w:tc>
        <w:tc>
          <w:tcPr/>
          <w:p>
            <w:pPr>
              <w:pStyle w:val="Compact"/>
              <w:jc w:val="right"/>
            </w:pPr>
            <w:r>
              <w:rPr>
                <w:rFonts w:hint="eastAsia"/>
              </w:rPr>
              <w:t xml:space="preserve">-13.27亿元</w:t>
            </w:r>
          </w:p>
        </w:tc>
      </w:tr>
      <w:tr>
        <w:tc>
          <w:tcPr/>
          <w:p>
            <w:pPr>
              <w:pStyle w:val="Compact"/>
              <w:jc w:val="right"/>
            </w:pPr>
            <w:r>
              <w:t xml:space="preserve">6</w:t>
            </w:r>
          </w:p>
        </w:tc>
        <w:tc>
          <w:tcPr/>
          <w:p>
            <w:pPr>
              <w:pStyle w:val="Compact"/>
            </w:pPr>
            <w:r>
              <w:rPr>
                <w:rFonts w:hint="eastAsia"/>
              </w:rPr>
              <w:t xml:space="preserve">广告营销</w:t>
            </w:r>
          </w:p>
        </w:tc>
        <w:tc>
          <w:tcPr/>
          <w:p>
            <w:pPr>
              <w:pStyle w:val="Compact"/>
              <w:jc w:val="right"/>
            </w:pPr>
            <w:r>
              <w:rPr>
                <w:rFonts w:hint="eastAsia"/>
              </w:rPr>
              <w:t xml:space="preserve">-13.17亿元</w:t>
            </w:r>
          </w:p>
        </w:tc>
      </w:tr>
      <w:tr>
        <w:tc>
          <w:tcPr/>
          <w:p>
            <w:pPr>
              <w:pStyle w:val="Compact"/>
              <w:jc w:val="right"/>
            </w:pPr>
            <w:r>
              <w:t xml:space="preserve">7</w:t>
            </w:r>
          </w:p>
        </w:tc>
        <w:tc>
          <w:tcPr/>
          <w:p>
            <w:pPr>
              <w:pStyle w:val="Compact"/>
            </w:pPr>
            <w:r>
              <w:rPr>
                <w:rFonts w:hint="eastAsia"/>
              </w:rPr>
              <w:t xml:space="preserve">电力</w:t>
            </w:r>
          </w:p>
        </w:tc>
        <w:tc>
          <w:tcPr/>
          <w:p>
            <w:pPr>
              <w:pStyle w:val="Compact"/>
              <w:jc w:val="right"/>
            </w:pPr>
            <w:r>
              <w:rPr>
                <w:rFonts w:hint="eastAsia"/>
              </w:rPr>
              <w:t xml:space="preserve">-12.61亿元</w:t>
            </w:r>
          </w:p>
        </w:tc>
      </w:tr>
      <w:tr>
        <w:tc>
          <w:tcPr/>
          <w:p>
            <w:pPr>
              <w:pStyle w:val="Compact"/>
              <w:jc w:val="right"/>
            </w:pPr>
            <w:r>
              <w:t xml:space="preserve">8</w:t>
            </w:r>
          </w:p>
        </w:tc>
        <w:tc>
          <w:tcPr/>
          <w:p>
            <w:pPr>
              <w:pStyle w:val="Compact"/>
            </w:pPr>
            <w:r>
              <w:rPr>
                <w:rFonts w:hint="eastAsia"/>
              </w:rPr>
              <w:t xml:space="preserve">航海装备Ⅱ</w:t>
            </w:r>
          </w:p>
        </w:tc>
        <w:tc>
          <w:tcPr/>
          <w:p>
            <w:pPr>
              <w:pStyle w:val="Compact"/>
              <w:jc w:val="right"/>
            </w:pPr>
            <w:r>
              <w:rPr>
                <w:rFonts w:hint="eastAsia"/>
              </w:rPr>
              <w:t xml:space="preserve">-11.05亿元</w:t>
            </w:r>
          </w:p>
        </w:tc>
      </w:tr>
      <w:tr>
        <w:tc>
          <w:tcPr/>
          <w:p>
            <w:pPr>
              <w:pStyle w:val="Compact"/>
              <w:jc w:val="right"/>
            </w:pPr>
            <w:r>
              <w:t xml:space="preserve">9</w:t>
            </w:r>
          </w:p>
        </w:tc>
        <w:tc>
          <w:tcPr/>
          <w:p>
            <w:pPr>
              <w:pStyle w:val="Compact"/>
            </w:pPr>
            <w:r>
              <w:rPr>
                <w:rFonts w:hint="eastAsia"/>
              </w:rPr>
              <w:t xml:space="preserve">IT服务Ⅱ</w:t>
            </w:r>
          </w:p>
        </w:tc>
        <w:tc>
          <w:tcPr/>
          <w:p>
            <w:pPr>
              <w:pStyle w:val="Compact"/>
              <w:jc w:val="right"/>
            </w:pPr>
            <w:r>
              <w:rPr>
                <w:rFonts w:hint="eastAsia"/>
              </w:rPr>
              <w:t xml:space="preserve">-10.75亿元</w:t>
            </w:r>
          </w:p>
        </w:tc>
      </w:tr>
      <w:tr>
        <w:tc>
          <w:tcPr/>
          <w:p>
            <w:pPr>
              <w:pStyle w:val="Compact"/>
              <w:jc w:val="right"/>
            </w:pPr>
            <w:r>
              <w:t xml:space="preserve">10</w:t>
            </w:r>
          </w:p>
        </w:tc>
        <w:tc>
          <w:tcPr/>
          <w:p>
            <w:pPr>
              <w:pStyle w:val="Compact"/>
            </w:pPr>
            <w:r>
              <w:rPr>
                <w:rFonts w:hint="eastAsia"/>
              </w:rPr>
              <w:t xml:space="preserve">电网设备</w:t>
            </w:r>
          </w:p>
        </w:tc>
        <w:tc>
          <w:tcPr/>
          <w:p>
            <w:pPr>
              <w:pStyle w:val="Compact"/>
              <w:jc w:val="right"/>
            </w:pPr>
            <w:r>
              <w:rPr>
                <w:rFonts w:hint="eastAsia"/>
              </w:rPr>
              <w:t xml:space="preserve">-10.30亿元</w:t>
            </w:r>
          </w:p>
        </w:tc>
      </w:tr>
    </w:tbl>
    <w:bookmarkEnd w:id="22"/>
    <w:bookmarkStart w:id="23" w:name="流出top10个股"/>
    <w:p>
      <w:pPr>
        <w:pStyle w:val="Heading3"/>
      </w:pPr>
      <w:r>
        <w:t xml:space="preserve">💰 </w:t>
      </w:r>
      <w:r>
        <w:rPr>
          <w:rFonts w:hint="eastAsia"/>
        </w:rPr>
        <w:t xml:space="preserve">流出TOP10个股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中际旭创(300308)</w:t>
            </w:r>
          </w:p>
        </w:tc>
        <w:tc>
          <w:tcPr/>
          <w:p>
            <w:pPr>
              <w:pStyle w:val="Compact"/>
              <w:jc w:val="right"/>
            </w:pPr>
            <w:r>
              <w:rPr>
                <w:rFonts w:hint="eastAsia"/>
              </w:rPr>
              <w:t xml:space="preserve">-208.02亿</w:t>
            </w:r>
          </w:p>
        </w:tc>
      </w:tr>
      <w:tr>
        <w:tc>
          <w:tcPr/>
          <w:p>
            <w:pPr>
              <w:pStyle w:val="Compact"/>
              <w:jc w:val="right"/>
            </w:pPr>
            <w:r>
              <w:t xml:space="preserve">2</w:t>
            </w:r>
          </w:p>
        </w:tc>
        <w:tc>
          <w:tcPr/>
          <w:p>
            <w:pPr>
              <w:pStyle w:val="Compact"/>
            </w:pPr>
            <w:r>
              <w:rPr>
                <w:rFonts w:hint="eastAsia"/>
              </w:rPr>
              <w:t xml:space="preserve">长鑫科技(688825)</w:t>
            </w:r>
          </w:p>
        </w:tc>
        <w:tc>
          <w:tcPr/>
          <w:p>
            <w:pPr>
              <w:pStyle w:val="Compact"/>
              <w:jc w:val="right"/>
            </w:pPr>
            <w:r>
              <w:rPr>
                <w:rFonts w:hint="eastAsia"/>
              </w:rPr>
              <w:t xml:space="preserve">-112.61亿</w:t>
            </w:r>
          </w:p>
        </w:tc>
      </w:tr>
      <w:tr>
        <w:tc>
          <w:tcPr/>
          <w:p>
            <w:pPr>
              <w:pStyle w:val="Compact"/>
              <w:jc w:val="right"/>
            </w:pPr>
            <w:r>
              <w:t xml:space="preserve">3</w:t>
            </w:r>
          </w:p>
        </w:tc>
        <w:tc>
          <w:tcPr/>
          <w:p>
            <w:pPr>
              <w:pStyle w:val="Compact"/>
            </w:pPr>
            <w:r>
              <w:rPr>
                <w:rFonts w:hint="eastAsia"/>
              </w:rPr>
              <w:t xml:space="preserve">寒武纪(688256)</w:t>
            </w:r>
          </w:p>
        </w:tc>
        <w:tc>
          <w:tcPr/>
          <w:p>
            <w:pPr>
              <w:pStyle w:val="Compact"/>
              <w:jc w:val="right"/>
            </w:pPr>
            <w:r>
              <w:rPr>
                <w:rFonts w:hint="eastAsia"/>
              </w:rPr>
              <w:t xml:space="preserve">-105.47亿</w:t>
            </w:r>
          </w:p>
        </w:tc>
      </w:tr>
      <w:tr>
        <w:tc>
          <w:tcPr/>
          <w:p>
            <w:pPr>
              <w:pStyle w:val="Compact"/>
              <w:jc w:val="right"/>
            </w:pPr>
            <w:r>
              <w:t xml:space="preserve">4</w:t>
            </w:r>
          </w:p>
        </w:tc>
        <w:tc>
          <w:tcPr/>
          <w:p>
            <w:pPr>
              <w:pStyle w:val="Compact"/>
            </w:pPr>
            <w:r>
              <w:rPr>
                <w:rFonts w:hint="eastAsia"/>
              </w:rPr>
              <w:t xml:space="preserve">新易盛(300502)</w:t>
            </w:r>
          </w:p>
        </w:tc>
        <w:tc>
          <w:tcPr/>
          <w:p>
            <w:pPr>
              <w:pStyle w:val="Compact"/>
              <w:jc w:val="right"/>
            </w:pPr>
            <w:r>
              <w:rPr>
                <w:rFonts w:hint="eastAsia"/>
              </w:rPr>
              <w:t xml:space="preserve">-102.83亿</w:t>
            </w:r>
          </w:p>
        </w:tc>
      </w:tr>
      <w:tr>
        <w:tc>
          <w:tcPr/>
          <w:p>
            <w:pPr>
              <w:pStyle w:val="Compact"/>
              <w:jc w:val="right"/>
            </w:pPr>
            <w:r>
              <w:t xml:space="preserve">5</w:t>
            </w:r>
          </w:p>
        </w:tc>
        <w:tc>
          <w:tcPr/>
          <w:p>
            <w:pPr>
              <w:pStyle w:val="Compact"/>
            </w:pPr>
            <w:r>
              <w:rPr>
                <w:rFonts w:hint="eastAsia"/>
              </w:rPr>
              <w:t xml:space="preserve">源杰科技(688498)</w:t>
            </w:r>
          </w:p>
        </w:tc>
        <w:tc>
          <w:tcPr/>
          <w:p>
            <w:pPr>
              <w:pStyle w:val="Compact"/>
              <w:jc w:val="right"/>
            </w:pPr>
            <w:r>
              <w:rPr>
                <w:rFonts w:hint="eastAsia"/>
              </w:rPr>
              <w:t xml:space="preserve">-86.95亿</w:t>
            </w:r>
          </w:p>
        </w:tc>
      </w:tr>
      <w:tr>
        <w:tc>
          <w:tcPr/>
          <w:p>
            <w:pPr>
              <w:pStyle w:val="Compact"/>
              <w:jc w:val="right"/>
            </w:pPr>
            <w:r>
              <w:t xml:space="preserve">6</w:t>
            </w:r>
          </w:p>
        </w:tc>
        <w:tc>
          <w:tcPr/>
          <w:p>
            <w:pPr>
              <w:pStyle w:val="Compact"/>
            </w:pPr>
            <w:r>
              <w:rPr>
                <w:rFonts w:hint="eastAsia"/>
              </w:rPr>
              <w:t xml:space="preserve">天孚通信(300394)</w:t>
            </w:r>
          </w:p>
        </w:tc>
        <w:tc>
          <w:tcPr/>
          <w:p>
            <w:pPr>
              <w:pStyle w:val="Compact"/>
              <w:jc w:val="right"/>
            </w:pPr>
            <w:r>
              <w:rPr>
                <w:rFonts w:hint="eastAsia"/>
              </w:rPr>
              <w:t xml:space="preserve">-58.66亿</w:t>
            </w:r>
          </w:p>
        </w:tc>
      </w:tr>
      <w:tr>
        <w:tc>
          <w:tcPr/>
          <w:p>
            <w:pPr>
              <w:pStyle w:val="Compact"/>
              <w:jc w:val="right"/>
            </w:pPr>
            <w:r>
              <w:t xml:space="preserve">7</w:t>
            </w:r>
          </w:p>
        </w:tc>
        <w:tc>
          <w:tcPr/>
          <w:p>
            <w:pPr>
              <w:pStyle w:val="Compact"/>
            </w:pPr>
            <w:r>
              <w:rPr>
                <w:rFonts w:hint="eastAsia"/>
              </w:rPr>
              <w:t xml:space="preserve">兆易创新(603986)</w:t>
            </w:r>
          </w:p>
        </w:tc>
        <w:tc>
          <w:tcPr/>
          <w:p>
            <w:pPr>
              <w:pStyle w:val="Compact"/>
              <w:jc w:val="right"/>
            </w:pPr>
            <w:r>
              <w:rPr>
                <w:rFonts w:hint="eastAsia"/>
              </w:rPr>
              <w:t xml:space="preserve">-56.17亿</w:t>
            </w:r>
          </w:p>
        </w:tc>
      </w:tr>
      <w:tr>
        <w:tc>
          <w:tcPr/>
          <w:p>
            <w:pPr>
              <w:pStyle w:val="Compact"/>
              <w:jc w:val="right"/>
            </w:pPr>
            <w:r>
              <w:t xml:space="preserve">8</w:t>
            </w:r>
          </w:p>
        </w:tc>
        <w:tc>
          <w:tcPr/>
          <w:p>
            <w:pPr>
              <w:pStyle w:val="Compact"/>
            </w:pPr>
            <w:r>
              <w:rPr>
                <w:rFonts w:hint="eastAsia"/>
              </w:rPr>
              <w:t xml:space="preserve">宁德时代(300750)</w:t>
            </w:r>
          </w:p>
        </w:tc>
        <w:tc>
          <w:tcPr/>
          <w:p>
            <w:pPr>
              <w:pStyle w:val="Compact"/>
              <w:jc w:val="right"/>
            </w:pPr>
            <w:r>
              <w:rPr>
                <w:rFonts w:hint="eastAsia"/>
              </w:rPr>
              <w:t xml:space="preserve">-48.43亿</w:t>
            </w:r>
          </w:p>
        </w:tc>
      </w:tr>
      <w:tr>
        <w:tc>
          <w:tcPr/>
          <w:p>
            <w:pPr>
              <w:pStyle w:val="Compact"/>
              <w:jc w:val="right"/>
            </w:pPr>
            <w:r>
              <w:t xml:space="preserve">9</w:t>
            </w:r>
          </w:p>
        </w:tc>
        <w:tc>
          <w:tcPr/>
          <w:p>
            <w:pPr>
              <w:pStyle w:val="Compact"/>
            </w:pPr>
            <w:r>
              <w:rPr>
                <w:rFonts w:hint="eastAsia"/>
              </w:rPr>
              <w:t xml:space="preserve">东山精密(002384)</w:t>
            </w:r>
          </w:p>
        </w:tc>
        <w:tc>
          <w:tcPr/>
          <w:p>
            <w:pPr>
              <w:pStyle w:val="Compact"/>
              <w:jc w:val="right"/>
            </w:pPr>
            <w:r>
              <w:rPr>
                <w:rFonts w:hint="eastAsia"/>
              </w:rPr>
              <w:t xml:space="preserve">-47.80亿</w:t>
            </w:r>
          </w:p>
        </w:tc>
      </w:tr>
      <w:tr>
        <w:tc>
          <w:tcPr/>
          <w:p>
            <w:pPr>
              <w:pStyle w:val="Compact"/>
              <w:jc w:val="right"/>
            </w:pPr>
            <w:r>
              <w:t xml:space="preserve">10</w:t>
            </w:r>
          </w:p>
        </w:tc>
        <w:tc>
          <w:tcPr/>
          <w:p>
            <w:pPr>
              <w:pStyle w:val="Compact"/>
            </w:pPr>
            <w:r>
              <w:rPr>
                <w:rFonts w:hint="eastAsia"/>
              </w:rPr>
              <w:t xml:space="preserve">协创数据(300857)</w:t>
            </w:r>
          </w:p>
        </w:tc>
        <w:tc>
          <w:tcPr/>
          <w:p>
            <w:pPr>
              <w:pStyle w:val="Compact"/>
              <w:jc w:val="right"/>
            </w:pPr>
            <w:r>
              <w:rPr>
                <w:rFonts w:hint="eastAsia"/>
              </w:rPr>
              <w:t xml:space="preserve">-47.61亿</w:t>
            </w:r>
          </w:p>
        </w:tc>
      </w:tr>
    </w:tbl>
    <w:bookmarkEnd w:id="23"/>
    <w:bookmarkStart w:id="24" w:name="流入top10板块"/>
    <w:p>
      <w:pPr>
        <w:pStyle w:val="Heading3"/>
      </w:pPr>
      <w:r>
        <w:t xml:space="preserve">💰 </w:t>
      </w:r>
      <w:r>
        <w:rPr>
          <w:rFonts w:hint="eastAsia"/>
        </w:rPr>
        <w:t xml:space="preserve">流入TOP10板块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通信设备</w:t>
            </w:r>
          </w:p>
        </w:tc>
        <w:tc>
          <w:tcPr/>
          <w:p>
            <w:pPr>
              <w:pStyle w:val="Compact"/>
              <w:jc w:val="right"/>
            </w:pPr>
            <w:r>
              <w:rPr>
                <w:rFonts w:hint="eastAsia"/>
              </w:rPr>
              <w:t xml:space="preserve">+201.35亿元</w:t>
            </w:r>
          </w:p>
        </w:tc>
      </w:tr>
      <w:tr>
        <w:tc>
          <w:tcPr/>
          <w:p>
            <w:pPr>
              <w:pStyle w:val="Compact"/>
              <w:jc w:val="right"/>
            </w:pPr>
            <w:r>
              <w:t xml:space="preserve">2</w:t>
            </w:r>
          </w:p>
        </w:tc>
        <w:tc>
          <w:tcPr/>
          <w:p>
            <w:pPr>
              <w:pStyle w:val="Compact"/>
            </w:pPr>
            <w:r>
              <w:rPr>
                <w:rFonts w:hint="eastAsia"/>
              </w:rPr>
              <w:t xml:space="preserve">元件</w:t>
            </w:r>
          </w:p>
        </w:tc>
        <w:tc>
          <w:tcPr/>
          <w:p>
            <w:pPr>
              <w:pStyle w:val="Compact"/>
              <w:jc w:val="right"/>
            </w:pPr>
            <w:r>
              <w:rPr>
                <w:rFonts w:hint="eastAsia"/>
              </w:rPr>
              <w:t xml:space="preserve">+156.90亿元</w:t>
            </w:r>
          </w:p>
        </w:tc>
      </w:tr>
      <w:tr>
        <w:tc>
          <w:tcPr/>
          <w:p>
            <w:pPr>
              <w:pStyle w:val="Compact"/>
              <w:jc w:val="right"/>
            </w:pPr>
            <w:r>
              <w:t xml:space="preserve">3</w:t>
            </w:r>
          </w:p>
        </w:tc>
        <w:tc>
          <w:tcPr/>
          <w:p>
            <w:pPr>
              <w:pStyle w:val="Compact"/>
            </w:pPr>
            <w:r>
              <w:rPr>
                <w:rFonts w:hint="eastAsia"/>
              </w:rPr>
              <w:t xml:space="preserve">半导体</w:t>
            </w:r>
          </w:p>
        </w:tc>
        <w:tc>
          <w:tcPr/>
          <w:p>
            <w:pPr>
              <w:pStyle w:val="Compact"/>
              <w:jc w:val="right"/>
            </w:pPr>
            <w:r>
              <w:rPr>
                <w:rFonts w:hint="eastAsia"/>
              </w:rPr>
              <w:t xml:space="preserve">+97.98亿元</w:t>
            </w:r>
          </w:p>
        </w:tc>
      </w:tr>
      <w:tr>
        <w:tc>
          <w:tcPr/>
          <w:p>
            <w:pPr>
              <w:pStyle w:val="Compact"/>
              <w:jc w:val="right"/>
            </w:pPr>
            <w:r>
              <w:t xml:space="preserve">4</w:t>
            </w:r>
          </w:p>
        </w:tc>
        <w:tc>
          <w:tcPr/>
          <w:p>
            <w:pPr>
              <w:pStyle w:val="Compact"/>
            </w:pPr>
            <w:r>
              <w:rPr>
                <w:rFonts w:hint="eastAsia"/>
              </w:rPr>
              <w:t xml:space="preserve">消费电子</w:t>
            </w:r>
          </w:p>
        </w:tc>
        <w:tc>
          <w:tcPr/>
          <w:p>
            <w:pPr>
              <w:pStyle w:val="Compact"/>
              <w:jc w:val="right"/>
            </w:pPr>
            <w:r>
              <w:rPr>
                <w:rFonts w:hint="eastAsia"/>
              </w:rPr>
              <w:t xml:space="preserve">+27.74亿元</w:t>
            </w:r>
          </w:p>
        </w:tc>
      </w:tr>
      <w:tr>
        <w:tc>
          <w:tcPr/>
          <w:p>
            <w:pPr>
              <w:pStyle w:val="Compact"/>
              <w:jc w:val="right"/>
            </w:pPr>
            <w:r>
              <w:t xml:space="preserve">5</w:t>
            </w:r>
          </w:p>
        </w:tc>
        <w:tc>
          <w:tcPr/>
          <w:p>
            <w:pPr>
              <w:pStyle w:val="Compact"/>
            </w:pPr>
            <w:r>
              <w:rPr>
                <w:rFonts w:hint="eastAsia"/>
              </w:rPr>
              <w:t xml:space="preserve">自动化设备</w:t>
            </w:r>
          </w:p>
        </w:tc>
        <w:tc>
          <w:tcPr/>
          <w:p>
            <w:pPr>
              <w:pStyle w:val="Compact"/>
              <w:jc w:val="right"/>
            </w:pPr>
            <w:r>
              <w:rPr>
                <w:rFonts w:hint="eastAsia"/>
              </w:rPr>
              <w:t xml:space="preserve">+21.61亿元</w:t>
            </w:r>
          </w:p>
        </w:tc>
      </w:tr>
      <w:tr>
        <w:tc>
          <w:tcPr/>
          <w:p>
            <w:pPr>
              <w:pStyle w:val="Compact"/>
              <w:jc w:val="right"/>
            </w:pPr>
            <w:r>
              <w:t xml:space="preserve">6</w:t>
            </w:r>
          </w:p>
        </w:tc>
        <w:tc>
          <w:tcPr/>
          <w:p>
            <w:pPr>
              <w:pStyle w:val="Compact"/>
            </w:pPr>
            <w:r>
              <w:rPr>
                <w:rFonts w:hint="eastAsia"/>
              </w:rPr>
              <w:t xml:space="preserve">汽车零部件</w:t>
            </w:r>
          </w:p>
        </w:tc>
        <w:tc>
          <w:tcPr/>
          <w:p>
            <w:pPr>
              <w:pStyle w:val="Compact"/>
              <w:jc w:val="right"/>
            </w:pPr>
            <w:r>
              <w:rPr>
                <w:rFonts w:hint="eastAsia"/>
              </w:rPr>
              <w:t xml:space="preserve">+14.85亿元</w:t>
            </w:r>
          </w:p>
        </w:tc>
      </w:tr>
      <w:tr>
        <w:tc>
          <w:tcPr/>
          <w:p>
            <w:pPr>
              <w:pStyle w:val="Compact"/>
              <w:jc w:val="right"/>
            </w:pPr>
            <w:r>
              <w:t xml:space="preserve">7</w:t>
            </w:r>
          </w:p>
        </w:tc>
        <w:tc>
          <w:tcPr/>
          <w:p>
            <w:pPr>
              <w:pStyle w:val="Compact"/>
            </w:pPr>
            <w:r>
              <w:rPr>
                <w:rFonts w:hint="eastAsia"/>
              </w:rPr>
              <w:t xml:space="preserve">其他电源设备Ⅱ</w:t>
            </w:r>
          </w:p>
        </w:tc>
        <w:tc>
          <w:tcPr/>
          <w:p>
            <w:pPr>
              <w:pStyle w:val="Compact"/>
              <w:jc w:val="right"/>
            </w:pPr>
            <w:r>
              <w:rPr>
                <w:rFonts w:hint="eastAsia"/>
              </w:rPr>
              <w:t xml:space="preserve">+12.59亿元</w:t>
            </w:r>
          </w:p>
        </w:tc>
      </w:tr>
      <w:tr>
        <w:tc>
          <w:tcPr/>
          <w:p>
            <w:pPr>
              <w:pStyle w:val="Compact"/>
              <w:jc w:val="right"/>
            </w:pPr>
            <w:r>
              <w:t xml:space="preserve">8</w:t>
            </w:r>
          </w:p>
        </w:tc>
        <w:tc>
          <w:tcPr/>
          <w:p>
            <w:pPr>
              <w:pStyle w:val="Compact"/>
            </w:pPr>
            <w:r>
              <w:rPr>
                <w:rFonts w:hint="eastAsia"/>
              </w:rPr>
              <w:t xml:space="preserve">电子化学品Ⅱ</w:t>
            </w:r>
          </w:p>
        </w:tc>
        <w:tc>
          <w:tcPr/>
          <w:p>
            <w:pPr>
              <w:pStyle w:val="Compact"/>
              <w:jc w:val="right"/>
            </w:pPr>
            <w:r>
              <w:rPr>
                <w:rFonts w:hint="eastAsia"/>
              </w:rPr>
              <w:t xml:space="preserve">+12.44亿元</w:t>
            </w:r>
          </w:p>
        </w:tc>
      </w:tr>
      <w:tr>
        <w:tc>
          <w:tcPr/>
          <w:p>
            <w:pPr>
              <w:pStyle w:val="Compact"/>
              <w:jc w:val="right"/>
            </w:pPr>
            <w:r>
              <w:t xml:space="preserve">9</w:t>
            </w:r>
          </w:p>
        </w:tc>
        <w:tc>
          <w:tcPr/>
          <w:p>
            <w:pPr>
              <w:pStyle w:val="Compact"/>
            </w:pPr>
            <w:r>
              <w:rPr>
                <w:rFonts w:hint="eastAsia"/>
              </w:rPr>
              <w:t xml:space="preserve">一般零售</w:t>
            </w:r>
          </w:p>
        </w:tc>
        <w:tc>
          <w:tcPr/>
          <w:p>
            <w:pPr>
              <w:pStyle w:val="Compact"/>
              <w:jc w:val="right"/>
            </w:pPr>
            <w:r>
              <w:rPr>
                <w:rFonts w:hint="eastAsia"/>
              </w:rPr>
              <w:t xml:space="preserve">+10.69亿元</w:t>
            </w:r>
          </w:p>
        </w:tc>
      </w:tr>
      <w:tr>
        <w:tc>
          <w:tcPr/>
          <w:p>
            <w:pPr>
              <w:pStyle w:val="Compact"/>
              <w:jc w:val="right"/>
            </w:pPr>
            <w:r>
              <w:t xml:space="preserve">10</w:t>
            </w:r>
          </w:p>
        </w:tc>
        <w:tc>
          <w:tcPr/>
          <w:p>
            <w:pPr>
              <w:pStyle w:val="Compact"/>
            </w:pPr>
            <w:r>
              <w:rPr>
                <w:rFonts w:hint="eastAsia"/>
              </w:rPr>
              <w:t xml:space="preserve">小金属</w:t>
            </w:r>
          </w:p>
        </w:tc>
        <w:tc>
          <w:tcPr/>
          <w:p>
            <w:pPr>
              <w:pStyle w:val="Compact"/>
              <w:jc w:val="right"/>
            </w:pPr>
            <w:r>
              <w:rPr>
                <w:rFonts w:hint="eastAsia"/>
              </w:rPr>
              <w:t xml:space="preserve">+7.39亿元</w:t>
            </w:r>
          </w:p>
        </w:tc>
      </w:tr>
    </w:tbl>
    <w:bookmarkEnd w:id="24"/>
    <w:bookmarkStart w:id="25" w:name="流入top10个股"/>
    <w:p>
      <w:pPr>
        <w:pStyle w:val="Heading3"/>
      </w:pPr>
      <w:r>
        <w:t xml:space="preserve">💰 </w:t>
      </w:r>
      <w:r>
        <w:rPr>
          <w:rFonts w:hint="eastAsia"/>
        </w:rPr>
        <w:t xml:space="preserve">流入TOP10个股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中际旭创(300308)</w:t>
            </w:r>
          </w:p>
        </w:tc>
        <w:tc>
          <w:tcPr/>
          <w:p>
            <w:pPr>
              <w:pStyle w:val="Compact"/>
              <w:jc w:val="right"/>
            </w:pPr>
            <w:r>
              <w:rPr>
                <w:rFonts w:hint="eastAsia"/>
              </w:rPr>
              <w:t xml:space="preserve">+68.01亿</w:t>
            </w:r>
          </w:p>
        </w:tc>
      </w:tr>
      <w:tr>
        <w:tc>
          <w:tcPr/>
          <w:p>
            <w:pPr>
              <w:pStyle w:val="Compact"/>
              <w:jc w:val="right"/>
            </w:pPr>
            <w:r>
              <w:t xml:space="preserve">2</w:t>
            </w:r>
          </w:p>
        </w:tc>
        <w:tc>
          <w:tcPr/>
          <w:p>
            <w:pPr>
              <w:pStyle w:val="Compact"/>
            </w:pPr>
            <w:r>
              <w:rPr>
                <w:rFonts w:hint="eastAsia"/>
              </w:rPr>
              <w:t xml:space="preserve">新易盛(300502)</w:t>
            </w:r>
          </w:p>
        </w:tc>
        <w:tc>
          <w:tcPr/>
          <w:p>
            <w:pPr>
              <w:pStyle w:val="Compact"/>
              <w:jc w:val="right"/>
            </w:pPr>
            <w:r>
              <w:rPr>
                <w:rFonts w:hint="eastAsia"/>
              </w:rPr>
              <w:t xml:space="preserve">+37.38亿</w:t>
            </w:r>
          </w:p>
        </w:tc>
      </w:tr>
      <w:tr>
        <w:tc>
          <w:tcPr/>
          <w:p>
            <w:pPr>
              <w:pStyle w:val="Compact"/>
              <w:jc w:val="right"/>
            </w:pPr>
            <w:r>
              <w:t xml:space="preserve">3</w:t>
            </w:r>
          </w:p>
        </w:tc>
        <w:tc>
          <w:tcPr/>
          <w:p>
            <w:pPr>
              <w:pStyle w:val="Compact"/>
            </w:pPr>
            <w:r>
              <w:rPr>
                <w:rFonts w:hint="eastAsia"/>
              </w:rPr>
              <w:t xml:space="preserve">长鑫科技(688825)</w:t>
            </w:r>
          </w:p>
        </w:tc>
        <w:tc>
          <w:tcPr/>
          <w:p>
            <w:pPr>
              <w:pStyle w:val="Compact"/>
              <w:jc w:val="right"/>
            </w:pPr>
            <w:r>
              <w:rPr>
                <w:rFonts w:hint="eastAsia"/>
              </w:rPr>
              <w:t xml:space="preserve">+31.60亿</w:t>
            </w:r>
          </w:p>
        </w:tc>
      </w:tr>
      <w:tr>
        <w:tc>
          <w:tcPr/>
          <w:p>
            <w:pPr>
              <w:pStyle w:val="Compact"/>
              <w:jc w:val="right"/>
            </w:pPr>
            <w:r>
              <w:t xml:space="preserve">4</w:t>
            </w:r>
          </w:p>
        </w:tc>
        <w:tc>
          <w:tcPr/>
          <w:p>
            <w:pPr>
              <w:pStyle w:val="Compact"/>
            </w:pPr>
            <w:r>
              <w:rPr>
                <w:rFonts w:hint="eastAsia"/>
              </w:rPr>
              <w:t xml:space="preserve">天孚通信(300394)</w:t>
            </w:r>
          </w:p>
        </w:tc>
        <w:tc>
          <w:tcPr/>
          <w:p>
            <w:pPr>
              <w:pStyle w:val="Compact"/>
              <w:jc w:val="right"/>
            </w:pPr>
            <w:r>
              <w:rPr>
                <w:rFonts w:hint="eastAsia"/>
              </w:rPr>
              <w:t xml:space="preserve">+23.12亿</w:t>
            </w:r>
          </w:p>
        </w:tc>
      </w:tr>
      <w:tr>
        <w:tc>
          <w:tcPr/>
          <w:p>
            <w:pPr>
              <w:pStyle w:val="Compact"/>
              <w:jc w:val="right"/>
            </w:pPr>
            <w:r>
              <w:t xml:space="preserve">5</w:t>
            </w:r>
          </w:p>
        </w:tc>
        <w:tc>
          <w:tcPr/>
          <w:p>
            <w:pPr>
              <w:pStyle w:val="Compact"/>
            </w:pPr>
            <w:r>
              <w:rPr>
                <w:rFonts w:hint="eastAsia"/>
              </w:rPr>
              <w:t xml:space="preserve">东山精密(002384)</w:t>
            </w:r>
          </w:p>
        </w:tc>
        <w:tc>
          <w:tcPr/>
          <w:p>
            <w:pPr>
              <w:pStyle w:val="Compact"/>
              <w:jc w:val="right"/>
            </w:pPr>
            <w:r>
              <w:rPr>
                <w:rFonts w:hint="eastAsia"/>
              </w:rPr>
              <w:t xml:space="preserve">+22.52亿</w:t>
            </w:r>
          </w:p>
        </w:tc>
      </w:tr>
      <w:tr>
        <w:tc>
          <w:tcPr/>
          <w:p>
            <w:pPr>
              <w:pStyle w:val="Compact"/>
              <w:jc w:val="right"/>
            </w:pPr>
            <w:r>
              <w:t xml:space="preserve">6</w:t>
            </w:r>
          </w:p>
        </w:tc>
        <w:tc>
          <w:tcPr/>
          <w:p>
            <w:pPr>
              <w:pStyle w:val="Compact"/>
            </w:pPr>
            <w:r>
              <w:rPr>
                <w:rFonts w:hint="eastAsia"/>
              </w:rPr>
              <w:t xml:space="preserve">工业富联(601138)</w:t>
            </w:r>
          </w:p>
        </w:tc>
        <w:tc>
          <w:tcPr/>
          <w:p>
            <w:pPr>
              <w:pStyle w:val="Compact"/>
              <w:jc w:val="right"/>
            </w:pPr>
            <w:r>
              <w:rPr>
                <w:rFonts w:hint="eastAsia"/>
              </w:rPr>
              <w:t xml:space="preserve">+17.70亿</w:t>
            </w:r>
          </w:p>
        </w:tc>
      </w:tr>
      <w:tr>
        <w:tc>
          <w:tcPr/>
          <w:p>
            <w:pPr>
              <w:pStyle w:val="Compact"/>
              <w:jc w:val="right"/>
            </w:pPr>
            <w:r>
              <w:t xml:space="preserve">7</w:t>
            </w:r>
          </w:p>
        </w:tc>
        <w:tc>
          <w:tcPr/>
          <w:p>
            <w:pPr>
              <w:pStyle w:val="Compact"/>
            </w:pPr>
            <w:r>
              <w:rPr>
                <w:rFonts w:hint="eastAsia"/>
              </w:rPr>
              <w:t xml:space="preserve">光迅科技(002281)</w:t>
            </w:r>
          </w:p>
        </w:tc>
        <w:tc>
          <w:tcPr/>
          <w:p>
            <w:pPr>
              <w:pStyle w:val="Compact"/>
              <w:jc w:val="right"/>
            </w:pPr>
            <w:r>
              <w:rPr>
                <w:rFonts w:hint="eastAsia"/>
              </w:rPr>
              <w:t xml:space="preserve">+17.21亿</w:t>
            </w:r>
          </w:p>
        </w:tc>
      </w:tr>
      <w:tr>
        <w:tc>
          <w:tcPr/>
          <w:p>
            <w:pPr>
              <w:pStyle w:val="Compact"/>
              <w:jc w:val="right"/>
            </w:pPr>
            <w:r>
              <w:t xml:space="preserve">8</w:t>
            </w:r>
          </w:p>
        </w:tc>
        <w:tc>
          <w:tcPr/>
          <w:p>
            <w:pPr>
              <w:pStyle w:val="Compact"/>
            </w:pPr>
            <w:r>
              <w:rPr>
                <w:rFonts w:hint="eastAsia"/>
              </w:rPr>
              <w:t xml:space="preserve">沪电股份(002463)</w:t>
            </w:r>
          </w:p>
        </w:tc>
        <w:tc>
          <w:tcPr/>
          <w:p>
            <w:pPr>
              <w:pStyle w:val="Compact"/>
              <w:jc w:val="right"/>
            </w:pPr>
            <w:r>
              <w:rPr>
                <w:rFonts w:hint="eastAsia"/>
              </w:rPr>
              <w:t xml:space="preserve">+16.65亿</w:t>
            </w:r>
          </w:p>
        </w:tc>
      </w:tr>
      <w:tr>
        <w:tc>
          <w:tcPr/>
          <w:p>
            <w:pPr>
              <w:pStyle w:val="Compact"/>
              <w:jc w:val="right"/>
            </w:pPr>
            <w:r>
              <w:t xml:space="preserve">9</w:t>
            </w:r>
          </w:p>
        </w:tc>
        <w:tc>
          <w:tcPr/>
          <w:p>
            <w:pPr>
              <w:pStyle w:val="Compact"/>
            </w:pPr>
            <w:r>
              <w:rPr>
                <w:rFonts w:hint="eastAsia"/>
              </w:rPr>
              <w:t xml:space="preserve">生益科技(600183)</w:t>
            </w:r>
          </w:p>
        </w:tc>
        <w:tc>
          <w:tcPr/>
          <w:p>
            <w:pPr>
              <w:pStyle w:val="Compact"/>
              <w:jc w:val="right"/>
            </w:pPr>
            <w:r>
              <w:rPr>
                <w:rFonts w:hint="eastAsia"/>
              </w:rPr>
              <w:t xml:space="preserve">+14.50亿</w:t>
            </w:r>
          </w:p>
        </w:tc>
      </w:tr>
      <w:tr>
        <w:tc>
          <w:tcPr/>
          <w:p>
            <w:pPr>
              <w:pStyle w:val="Compact"/>
              <w:jc w:val="right"/>
            </w:pPr>
            <w:r>
              <w:t xml:space="preserve">10</w:t>
            </w:r>
          </w:p>
        </w:tc>
        <w:tc>
          <w:tcPr/>
          <w:p>
            <w:pPr>
              <w:pStyle w:val="Compact"/>
            </w:pPr>
            <w:r>
              <w:rPr>
                <w:rFonts w:hint="eastAsia"/>
              </w:rPr>
              <w:t xml:space="preserve">剑桥科技(603083)</w:t>
            </w:r>
          </w:p>
        </w:tc>
        <w:tc>
          <w:tcPr/>
          <w:p>
            <w:pPr>
              <w:pStyle w:val="Compact"/>
              <w:jc w:val="right"/>
            </w:pPr>
            <w:r>
              <w:rPr>
                <w:rFonts w:hint="eastAsia"/>
              </w:rPr>
              <w:t xml:space="preserve">+12.93亿</w:t>
            </w:r>
          </w:p>
        </w:tc>
      </w:tr>
    </w:tbl>
    <w:bookmarkEnd w:id="25"/>
    <w:bookmarkEnd w:id="26"/>
    <w:bookmarkStart w:id="31" w:name="两融宽基etf成交额恐慌联合信号"/>
    <w:p>
      <w:pPr>
        <w:pStyle w:val="Heading2"/>
      </w:pPr>
      <w:r>
        <w:t xml:space="preserve">💧 ⑦ </w:t>
      </w:r>
      <w:r>
        <w:rPr>
          <w:rFonts w:hint="eastAsia"/>
        </w:rPr>
        <w:t xml:space="preserve">两融·宽基ETF·成交额·恐慌联合信号</w:t>
      </w:r>
    </w:p>
    <w:bookmarkStart w:id="27" w:name="两融余额"/>
    <w:p>
      <w:pPr>
        <w:pStyle w:val="Heading3"/>
      </w:pPr>
      <w:r>
        <w:t xml:space="preserve">💳 </w:t>
      </w:r>
      <w:r>
        <w:rPr>
          <w:rFonts w:hint="eastAsia"/>
        </w:rPr>
        <w:t xml:space="preserve">两融余额</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项目</w:t>
            </w:r>
          </w:p>
        </w:tc>
        <w:tc>
          <w:tcPr/>
          <w:p>
            <w:pPr>
              <w:pStyle w:val="Compact"/>
              <w:jc w:val="right"/>
            </w:pPr>
            <w:r>
              <w:t xml:space="preserve">2026-09-04</w:t>
            </w:r>
          </w:p>
        </w:tc>
        <w:tc>
          <w:tcPr/>
          <w:p>
            <w:pPr>
              <w:pStyle w:val="Compact"/>
              <w:jc w:val="right"/>
            </w:pPr>
            <w:r>
              <w:t xml:space="preserve">2026-09-03</w:t>
            </w:r>
          </w:p>
        </w:tc>
        <w:tc>
          <w:tcPr/>
          <w:p>
            <w:pPr>
              <w:pStyle w:val="Compact"/>
            </w:pPr>
            <w:r>
              <w:rPr>
                <w:rFonts w:hint="eastAsia"/>
              </w:rPr>
              <w:t xml:space="preserve">方向</w:t>
            </w:r>
          </w:p>
        </w:tc>
      </w:tr>
      <w:tr>
        <w:tc>
          <w:tcPr/>
          <w:p>
            <w:pPr>
              <w:pStyle w:val="Compact"/>
            </w:pPr>
            <w:r>
              <w:rPr>
                <w:rFonts w:hint="eastAsia"/>
              </w:rPr>
              <w:t xml:space="preserve">两融余额</w:t>
            </w:r>
          </w:p>
        </w:tc>
        <w:tc>
          <w:tcPr/>
          <w:p>
            <w:pPr>
              <w:pStyle w:val="Compact"/>
              <w:jc w:val="right"/>
            </w:pPr>
            <w:r>
              <w:rPr>
                <w:rFonts w:hint="eastAsia"/>
              </w:rPr>
              <w:t xml:space="preserve">26378.4024亿元</w:t>
            </w:r>
          </w:p>
        </w:tc>
        <w:tc>
          <w:tcPr/>
          <w:p>
            <w:pPr>
              <w:pStyle w:val="Compact"/>
              <w:jc w:val="right"/>
            </w:pPr>
            <w:r>
              <w:rPr>
                <w:rFonts w:hint="eastAsia"/>
              </w:rPr>
              <w:t xml:space="preserve">26567.0182亿元</w:t>
            </w:r>
          </w:p>
        </w:tc>
        <w:tc>
          <w:tcPr/>
          <w:p>
            <w:pPr>
              <w:pStyle w:val="Compact"/>
            </w:pPr>
            <w:r>
              <w:t xml:space="preserve">🟢 </w:t>
            </w:r>
            <w:r>
              <w:rPr>
                <w:rFonts w:hint="eastAsia"/>
              </w:rPr>
              <w:t xml:space="preserve">减少</w:t>
            </w:r>
          </w:p>
        </w:tc>
      </w:tr>
      <w:tr>
        <w:tc>
          <w:tcPr/>
          <w:p>
            <w:pPr>
              <w:pStyle w:val="Compact"/>
            </w:pPr>
            <w:r>
              <w:rPr>
                <w:rFonts w:hint="eastAsia"/>
              </w:rPr>
              <w:t xml:space="preserve">融资余额</w:t>
            </w:r>
          </w:p>
        </w:tc>
        <w:tc>
          <w:tcPr/>
          <w:p>
            <w:pPr>
              <w:pStyle w:val="Compact"/>
              <w:jc w:val="right"/>
            </w:pPr>
            <w:r>
              <w:rPr>
                <w:rFonts w:hint="eastAsia"/>
              </w:rPr>
              <w:t xml:space="preserve">26092.5688亿元</w:t>
            </w:r>
          </w:p>
        </w:tc>
        <w:tc>
          <w:tcPr/>
          <w:p>
            <w:pPr>
              <w:pStyle w:val="Compact"/>
              <w:jc w:val="right"/>
            </w:pPr>
            <w:r>
              <w:rPr>
                <w:rFonts w:hint="eastAsia"/>
              </w:rPr>
              <w:t xml:space="preserve">26275.2373亿元</w:t>
            </w:r>
          </w:p>
        </w:tc>
        <w:tc>
          <w:tcPr/>
          <w:p>
            <w:pPr>
              <w:pStyle w:val="Compact"/>
            </w:pPr>
            <w:r>
              <w:t xml:space="preserve">🟢 </w:t>
            </w:r>
            <w:r>
              <w:rPr>
                <w:rFonts w:hint="eastAsia"/>
              </w:rPr>
              <w:t xml:space="preserve">减少</w:t>
            </w:r>
          </w:p>
        </w:tc>
      </w:tr>
      <w:tr>
        <w:tc>
          <w:tcPr/>
          <w:p>
            <w:pPr>
              <w:pStyle w:val="Compact"/>
            </w:pPr>
            <w:r>
              <w:rPr>
                <w:rFonts w:hint="eastAsia"/>
              </w:rPr>
              <w:t xml:space="preserve">融券余额</w:t>
            </w:r>
          </w:p>
        </w:tc>
        <w:tc>
          <w:tcPr/>
          <w:p>
            <w:pPr>
              <w:pStyle w:val="Compact"/>
              <w:jc w:val="right"/>
            </w:pPr>
            <w:r>
              <w:rPr>
                <w:rFonts w:hint="eastAsia"/>
              </w:rPr>
              <w:t xml:space="preserve">285.8337亿元</w:t>
            </w:r>
          </w:p>
        </w:tc>
        <w:tc>
          <w:tcPr/>
          <w:p>
            <w:pPr>
              <w:pStyle w:val="Compact"/>
              <w:jc w:val="right"/>
            </w:pPr>
            <w:r>
              <w:rPr>
                <w:rFonts w:hint="eastAsia"/>
              </w:rPr>
              <w:t xml:space="preserve">291.7809亿元</w:t>
            </w:r>
          </w:p>
        </w:tc>
        <w:tc>
          <w:tcPr/>
          <w:p>
            <w:pPr>
              <w:pStyle w:val="Compact"/>
            </w:pPr>
            <w:r>
              <w:t xml:space="preserve">🟢 </w:t>
            </w:r>
            <w:r>
              <w:rPr>
                <w:rFonts w:hint="eastAsia"/>
              </w:rPr>
              <w:t xml:space="preserve">减少</w:t>
            </w:r>
          </w:p>
        </w:tc>
      </w:tr>
    </w:tbl>
    <w:p>
      <w:pPr>
        <w:pStyle w:val="Compact"/>
        <w:numPr>
          <w:ilvl w:val="0"/>
          <w:numId w:val="1011"/>
        </w:numPr>
      </w:pPr>
      <w:r>
        <w:rPr>
          <w:rFonts w:hint="eastAsia"/>
        </w:rPr>
        <w:t xml:space="preserve">两融余额较前一结算日减少188.6158亿元，降幅0.7100%。</w:t>
      </w:r>
    </w:p>
    <w:p>
      <w:pPr>
        <w:pStyle w:val="Compact"/>
        <w:numPr>
          <w:ilvl w:val="0"/>
          <w:numId w:val="1011"/>
        </w:numPr>
      </w:pPr>
      <w:r>
        <w:rPr>
          <w:rFonts w:hint="eastAsia"/>
        </w:rPr>
        <w:t xml:space="preserve">融资余额与融券余额同步下降，其中融资余额的绝对下降规模明显更大，本轮两融回落主要由融资端驱动。</w:t>
      </w:r>
    </w:p>
    <w:p>
      <w:pPr>
        <w:pStyle w:val="Compact"/>
        <w:numPr>
          <w:ilvl w:val="0"/>
          <w:numId w:val="1011"/>
        </w:numPr>
      </w:pPr>
      <w:r>
        <w:rPr>
          <w:rFonts w:hint="eastAsia"/>
        </w:rPr>
        <w:t xml:space="preserve">杠杆资金风险偏好下降，与9月7日科技成长大涨并不同步，说明上涨更像现货资金的集中回流，而不是杠杆资金确认。</w:t>
      </w:r>
    </w:p>
    <w:p>
      <w:pPr>
        <w:pStyle w:val="Compact"/>
        <w:numPr>
          <w:ilvl w:val="0"/>
          <w:numId w:val="1011"/>
        </w:numPr>
      </w:pPr>
      <w:r>
        <w:rPr>
          <w:rFonts w:hint="eastAsia"/>
        </w:rPr>
        <w:t xml:space="preserve">实际结算日期为2026年9月4日，</w:t>
      </w:r>
      <w:r>
        <w:rPr>
          <w:rFonts w:hint="eastAsia"/>
          <w:b/>
          <w:bCs/>
        </w:rPr>
        <w:t xml:space="preserve">T+1滞后，报告日当日两融尚未发布</w:t>
      </w:r>
      <w:r>
        <w:t xml:space="preserve">。</w:t>
      </w:r>
    </w:p>
    <w:bookmarkEnd w:id="27"/>
    <w:bookmarkStart w:id="28" w:name="宽基etf份额变化"/>
    <w:p>
      <w:pPr>
        <w:pStyle w:val="Heading3"/>
      </w:pPr>
      <w:r>
        <w:t xml:space="preserve">💰 </w:t>
      </w:r>
      <w:r>
        <w:rPr>
          <w:rFonts w:hint="eastAsia"/>
        </w:rPr>
        <w:t xml:space="preserve">宽基ETF份额变化</w:t>
      </w:r>
    </w:p>
    <w:tbl>
      <w:tblPr>
        <w:tblStyle w:val="Table"/>
        <w:tblW w:type="pct" w:w="5000"/>
        <w:tblLayout w:type="fixed"/>
        <w:tblLook w:firstRow="1" w:lastRow="0" w:firstColumn="0" w:lastColumn="0" w:noHBand="0" w:noVBand="0" w:val="0020"/>
      </w:tblPr>
      <w:tblGrid>
        <w:gridCol w:w="1697"/>
        <w:gridCol w:w="2262"/>
        <w:gridCol w:w="2262"/>
        <w:gridCol w:w="1697"/>
      </w:tblGrid>
      <w:tr>
        <w:trPr>
          <w:tblHeader w:val="on"/>
        </w:trPr>
        <w:tc>
          <w:tcPr/>
          <w:p>
            <w:pPr>
              <w:pStyle w:val="Compact"/>
            </w:pPr>
            <w:r>
              <w:t xml:space="preserve">ETF</w:t>
            </w:r>
          </w:p>
        </w:tc>
        <w:tc>
          <w:tcPr/>
          <w:p>
            <w:pPr>
              <w:pStyle w:val="Compact"/>
              <w:jc w:val="right"/>
            </w:pPr>
            <w:r>
              <w:rPr>
                <w:rFonts w:hint="eastAsia"/>
              </w:rPr>
              <w:t xml:space="preserve">最新份额变化</w:t>
            </w:r>
          </w:p>
        </w:tc>
        <w:tc>
          <w:tcPr/>
          <w:p>
            <w:pPr>
              <w:pStyle w:val="Compact"/>
              <w:jc w:val="right"/>
            </w:pPr>
            <w:r>
              <w:rPr>
                <w:rFonts w:hint="eastAsia"/>
              </w:rPr>
              <w:t xml:space="preserve">估算净申购</w:t>
            </w:r>
          </w:p>
        </w:tc>
        <w:tc>
          <w:tcPr/>
          <w:p>
            <w:pPr>
              <w:pStyle w:val="Compact"/>
            </w:pPr>
            <w:r>
              <w:rPr>
                <w:rFonts w:hint="eastAsia"/>
              </w:rPr>
              <w:t xml:space="preserve">连续性</w:t>
            </w:r>
          </w:p>
        </w:tc>
      </w:tr>
      <w:tr>
        <w:tc>
          <w:tcPr/>
          <w:p>
            <w:pPr>
              <w:pStyle w:val="Compact"/>
            </w:pPr>
            <w:r>
              <w:rPr>
                <w:rFonts w:hint="eastAsia"/>
              </w:rPr>
              <w:t xml:space="preserve">上证50ETF（510050）</w:t>
            </w:r>
          </w:p>
        </w:tc>
        <w:tc>
          <w:tcPr/>
          <w:p>
            <w:pPr>
              <w:pStyle w:val="Compact"/>
              <w:jc w:val="right"/>
            </w:pPr>
            <w:r>
              <w:rPr>
                <w:rFonts w:hint="eastAsia"/>
              </w:rPr>
              <w:t xml:space="preserve">+2.079亿份</w:t>
            </w:r>
          </w:p>
        </w:tc>
        <w:tc>
          <w:tcPr/>
          <w:p>
            <w:pPr>
              <w:pStyle w:val="Compact"/>
              <w:jc w:val="right"/>
            </w:pPr>
            <w:r>
              <w:t xml:space="preserve">🔴 </w:t>
            </w:r>
            <w:r>
              <w:rPr>
                <w:rFonts w:hint="eastAsia"/>
              </w:rPr>
              <w:t xml:space="preserve">+6.274422亿元</w:t>
            </w:r>
          </w:p>
        </w:tc>
        <w:tc>
          <w:tcPr/>
          <w:p>
            <w:pPr>
              <w:pStyle w:val="Compact"/>
            </w:pPr>
            <w:r>
              <w:rPr>
                <w:rFonts w:hint="eastAsia"/>
              </w:rPr>
              <w:t xml:space="preserve">连续3个区间流入</w:t>
            </w:r>
          </w:p>
        </w:tc>
      </w:tr>
      <w:tr>
        <w:tc>
          <w:tcPr/>
          <w:p>
            <w:pPr>
              <w:pStyle w:val="Compact"/>
            </w:pPr>
            <w:r>
              <w:rPr>
                <w:rFonts w:hint="eastAsia"/>
              </w:rPr>
              <w:t xml:space="preserve">沪深300ETF（510300）</w:t>
            </w:r>
          </w:p>
        </w:tc>
        <w:tc>
          <w:tcPr/>
          <w:p>
            <w:pPr>
              <w:pStyle w:val="Compact"/>
              <w:jc w:val="right"/>
            </w:pPr>
            <w:r>
              <w:rPr>
                <w:rFonts w:hint="eastAsia"/>
              </w:rPr>
              <w:t xml:space="preserve">+2.718亿份</w:t>
            </w:r>
          </w:p>
        </w:tc>
        <w:tc>
          <w:tcPr/>
          <w:p>
            <w:pPr>
              <w:pStyle w:val="Compact"/>
              <w:jc w:val="right"/>
            </w:pPr>
            <w:r>
              <w:t xml:space="preserve">🔴 </w:t>
            </w:r>
            <w:r>
              <w:rPr>
                <w:rFonts w:hint="eastAsia"/>
              </w:rPr>
              <w:t xml:space="preserve">+12.595212亿元</w:t>
            </w:r>
          </w:p>
        </w:tc>
        <w:tc>
          <w:tcPr/>
          <w:p>
            <w:pPr>
              <w:pStyle w:val="Compact"/>
            </w:pPr>
            <w:r>
              <w:rPr>
                <w:rFonts w:hint="eastAsia"/>
              </w:rPr>
              <w:t xml:space="preserve">连续3个区间流入</w:t>
            </w:r>
          </w:p>
        </w:tc>
      </w:tr>
      <w:tr>
        <w:tc>
          <w:tcPr/>
          <w:p>
            <w:pPr>
              <w:pStyle w:val="Compact"/>
            </w:pPr>
            <w:r>
              <w:rPr>
                <w:rFonts w:hint="eastAsia"/>
              </w:rPr>
              <w:t xml:space="preserve">中证500ETF（510500）</w:t>
            </w:r>
          </w:p>
        </w:tc>
        <w:tc>
          <w:tcPr/>
          <w:p>
            <w:pPr>
              <w:pStyle w:val="Compact"/>
              <w:jc w:val="right"/>
            </w:pPr>
            <w:r>
              <w:rPr>
                <w:rFonts w:hint="eastAsia"/>
              </w:rPr>
              <w:t xml:space="preserve">+3.120亿份</w:t>
            </w:r>
          </w:p>
        </w:tc>
        <w:tc>
          <w:tcPr/>
          <w:p>
            <w:pPr>
              <w:pStyle w:val="Compact"/>
              <w:jc w:val="right"/>
            </w:pPr>
            <w:r>
              <w:t xml:space="preserve">🔴 </w:t>
            </w:r>
            <w:r>
              <w:rPr>
                <w:rFonts w:hint="eastAsia"/>
              </w:rPr>
              <w:t xml:space="preserve">+24.245520亿元</w:t>
            </w:r>
          </w:p>
        </w:tc>
        <w:tc>
          <w:tcPr/>
          <w:p>
            <w:pPr>
              <w:pStyle w:val="Compact"/>
            </w:pPr>
            <w:r>
              <w:rPr>
                <w:rFonts w:hint="eastAsia"/>
              </w:rPr>
              <w:t xml:space="preserve">连续2个区间流入</w:t>
            </w:r>
          </w:p>
        </w:tc>
      </w:tr>
      <w:tr>
        <w:tc>
          <w:tcPr/>
          <w:p>
            <w:pPr>
              <w:pStyle w:val="Compact"/>
            </w:pPr>
            <w:r>
              <w:rPr>
                <w:rFonts w:hint="eastAsia"/>
              </w:rPr>
              <w:t xml:space="preserve">科创50ETF（588000）</w:t>
            </w:r>
          </w:p>
        </w:tc>
        <w:tc>
          <w:tcPr/>
          <w:p>
            <w:pPr>
              <w:pStyle w:val="Compact"/>
              <w:jc w:val="right"/>
            </w:pPr>
            <w:r>
              <w:rPr>
                <w:rFonts w:hint="eastAsia"/>
              </w:rPr>
              <w:t xml:space="preserve">-5.610亿份</w:t>
            </w:r>
          </w:p>
        </w:tc>
        <w:tc>
          <w:tcPr/>
          <w:p>
            <w:pPr>
              <w:pStyle w:val="Compact"/>
              <w:jc w:val="right"/>
            </w:pPr>
            <w:r>
              <w:t xml:space="preserve">🟢 </w:t>
            </w:r>
            <w:r>
              <w:rPr>
                <w:rFonts w:hint="eastAsia"/>
              </w:rPr>
              <w:t xml:space="preserve">-9.565050亿元</w:t>
            </w:r>
          </w:p>
        </w:tc>
        <w:tc>
          <w:tcPr/>
          <w:p>
            <w:pPr>
              <w:pStyle w:val="Compact"/>
            </w:pPr>
            <w:r>
              <w:rPr>
                <w:rFonts w:hint="eastAsia"/>
              </w:rPr>
              <w:t xml:space="preserve">未连续流入</w:t>
            </w:r>
          </w:p>
        </w:tc>
      </w:tr>
      <w:tr>
        <w:tc>
          <w:tcPr/>
          <w:p>
            <w:pPr>
              <w:pStyle w:val="Compact"/>
            </w:pPr>
            <w:r>
              <w:rPr>
                <w:rFonts w:hint="eastAsia"/>
              </w:rPr>
              <w:t xml:space="preserve">科创板50ETF（588080）</w:t>
            </w:r>
          </w:p>
        </w:tc>
        <w:tc>
          <w:tcPr/>
          <w:p>
            <w:pPr>
              <w:pStyle w:val="Compact"/>
              <w:jc w:val="right"/>
            </w:pPr>
            <w:r>
              <w:rPr>
                <w:rFonts w:hint="eastAsia"/>
              </w:rPr>
              <w:t xml:space="preserve">-2.280亿份</w:t>
            </w:r>
          </w:p>
        </w:tc>
        <w:tc>
          <w:tcPr/>
          <w:p>
            <w:pPr>
              <w:pStyle w:val="Compact"/>
              <w:jc w:val="right"/>
            </w:pPr>
            <w:r>
              <w:t xml:space="preserve">🟢 </w:t>
            </w:r>
            <w:r>
              <w:rPr>
                <w:rFonts w:hint="eastAsia"/>
              </w:rPr>
              <w:t xml:space="preserve">-3.766560亿元</w:t>
            </w:r>
          </w:p>
        </w:tc>
        <w:tc>
          <w:tcPr/>
          <w:p>
            <w:pPr>
              <w:pStyle w:val="Compact"/>
            </w:pPr>
            <w:r>
              <w:rPr>
                <w:rFonts w:hint="eastAsia"/>
              </w:rPr>
              <w:t xml:space="preserve">未连续流入</w:t>
            </w:r>
          </w:p>
        </w:tc>
      </w:tr>
    </w:tbl>
    <w:p>
      <w:pPr>
        <w:pStyle w:val="Compact"/>
        <w:numPr>
          <w:ilvl w:val="0"/>
          <w:numId w:val="1012"/>
        </w:numPr>
      </w:pPr>
      <w:r>
        <w:rPr>
          <w:rFonts w:hint="eastAsia"/>
        </w:rPr>
        <w:t xml:space="preserve">创业板ETF（159915）最新份额减少7.980亿份，估算净赎回27.243720亿元。</w:t>
      </w:r>
    </w:p>
    <w:p>
      <w:pPr>
        <w:pStyle w:val="Compact"/>
        <w:numPr>
          <w:ilvl w:val="0"/>
          <w:numId w:val="1012"/>
        </w:numPr>
      </w:pPr>
      <w:r>
        <w:rPr>
          <w:rFonts w:hint="eastAsia"/>
        </w:rPr>
        <w:t xml:space="preserve">创业板50ETF（159949）最新份额减少1.260亿份，估算净赎回2.016000亿元。</w:t>
      </w:r>
    </w:p>
    <w:p>
      <w:pPr>
        <w:pStyle w:val="Compact"/>
        <w:numPr>
          <w:ilvl w:val="0"/>
          <w:numId w:val="1012"/>
        </w:numPr>
      </w:pPr>
      <w:r>
        <w:rPr>
          <w:rFonts w:hint="eastAsia"/>
        </w:rPr>
        <w:t xml:space="preserve">深证100ETF（159901）最新份额减少0.056亿份，估算净赎回0.199192亿元。</w:t>
      </w:r>
    </w:p>
    <w:p>
      <w:pPr>
        <w:pStyle w:val="Compact"/>
        <w:numPr>
          <w:ilvl w:val="0"/>
          <w:numId w:val="1012"/>
        </w:numPr>
      </w:pPr>
      <w:r>
        <w:rPr>
          <w:rFonts w:hint="eastAsia"/>
        </w:rPr>
        <w:t xml:space="preserve">宽基资金呈现“上证50、沪深300、中证500连续流入，科创与创业板成长ETF净赎回”的分化。</w:t>
      </w:r>
    </w:p>
    <w:bookmarkEnd w:id="28"/>
    <w:bookmarkStart w:id="29" w:name="成交额与恐慌指标"/>
    <w:p>
      <w:pPr>
        <w:pStyle w:val="Heading3"/>
      </w:pPr>
      <w:r>
        <w:t xml:space="preserve">📊 </w:t>
      </w:r>
      <w:r>
        <w:rPr>
          <w:rFonts w:hint="eastAsia"/>
        </w:rPr>
        <w:t xml:space="preserve">成交额与恐慌指标</w:t>
      </w:r>
    </w:p>
    <w:p>
      <w:pPr>
        <w:pStyle w:val="Compact"/>
        <w:numPr>
          <w:ilvl w:val="0"/>
          <w:numId w:val="1013"/>
        </w:numPr>
      </w:pPr>
      <w:r>
        <w:rPr>
          <w:rFonts w:hint="eastAsia"/>
        </w:rPr>
        <w:t xml:space="preserve">9月7日全市场成交额：19642.35亿元。</w:t>
      </w:r>
    </w:p>
    <w:p>
      <w:pPr>
        <w:pStyle w:val="Compact"/>
        <w:numPr>
          <w:ilvl w:val="0"/>
          <w:numId w:val="1013"/>
        </w:numPr>
      </w:pPr>
      <w:r>
        <w:rPr>
          <w:rFonts w:hint="eastAsia"/>
        </w:rPr>
        <w:t xml:space="preserve">前一交易日成交额：20510.48亿元。</w:t>
      </w:r>
    </w:p>
    <w:p>
      <w:pPr>
        <w:pStyle w:val="Compact"/>
        <w:numPr>
          <w:ilvl w:val="0"/>
          <w:numId w:val="1013"/>
        </w:numPr>
      </w:pPr>
      <w:r>
        <w:rPr>
          <w:rFonts w:hint="eastAsia"/>
        </w:rPr>
        <w:t xml:space="preserve">成交额减少：868.13亿元，降幅4.23%。</w:t>
      </w:r>
    </w:p>
    <w:p>
      <w:pPr>
        <w:pStyle w:val="Compact"/>
        <w:numPr>
          <w:ilvl w:val="0"/>
          <w:numId w:val="1013"/>
        </w:numPr>
      </w:pPr>
      <w:r>
        <w:t xml:space="preserve">300ETF </w:t>
      </w:r>
      <w:r>
        <w:rPr>
          <w:rFonts w:hint="eastAsia"/>
        </w:rPr>
        <w:t xml:space="preserve">QVIX最新结算值：17.85，前收盘18.34，下降2.6718%。</w:t>
      </w:r>
    </w:p>
    <w:p>
      <w:pPr>
        <w:pStyle w:val="Compact"/>
        <w:numPr>
          <w:ilvl w:val="0"/>
          <w:numId w:val="1013"/>
        </w:numPr>
      </w:pPr>
      <w:r>
        <w:rPr>
          <w:rFonts w:hint="eastAsia"/>
        </w:rPr>
        <w:t xml:space="preserve">20日峰值：21.35，峰值日期为2026年8月25日。</w:t>
      </w:r>
    </w:p>
    <w:p>
      <w:pPr>
        <w:pStyle w:val="Compact"/>
        <w:numPr>
          <w:ilvl w:val="0"/>
          <w:numId w:val="1013"/>
        </w:numPr>
      </w:pPr>
      <w:r>
        <w:rPr>
          <w:rFonts w:hint="eastAsia"/>
        </w:rPr>
        <w:t xml:space="preserve">QVIX较20日峰值回落16.3934%，且连续两个区间降温。</w:t>
      </w:r>
    </w:p>
    <w:bookmarkEnd w:id="29"/>
    <w:bookmarkStart w:id="30" w:name="联合信号结论"/>
    <w:p>
      <w:pPr>
        <w:pStyle w:val="Heading3"/>
      </w:pPr>
      <w:r>
        <w:t xml:space="preserve">✅ </w:t>
      </w:r>
      <w:r>
        <w:rPr>
          <w:rFonts w:hint="eastAsia"/>
        </w:rPr>
        <w:t xml:space="preserve">联合信号结论</w:t>
      </w:r>
    </w:p>
    <w:p>
      <w:pPr>
        <w:pStyle w:val="FirstParagraph"/>
      </w:pPr>
      <w:r>
        <w:rPr>
          <w:rStyle w:val="VerbatimChar"/>
        </w:rPr>
        <w:t xml:space="preserve">derived.liquidity_panic_signal.status = confirmed</w:t>
      </w:r>
      <w:r>
        <w:t xml:space="preserve">。</w:t>
      </w:r>
    </w:p>
    <w:p>
      <w:pPr>
        <w:pStyle w:val="BodyText"/>
      </w:pPr>
      <w:r>
        <w:rPr>
          <w:rFonts w:hint="eastAsia"/>
          <w:b/>
          <w:bCs/>
        </w:rPr>
        <w:t xml:space="preserve">恐慌高位降温且宽基ETF持续流入已确认。</w:t>
      </w:r>
    </w:p>
    <w:p>
      <w:pPr>
        <w:pStyle w:val="BodyText"/>
      </w:pPr>
      <w:r>
        <w:rPr>
          <w:rFonts w:hint="eastAsia"/>
        </w:rPr>
        <w:t xml:space="preserve">但该确认主要来自上证50ETF、沪深300ETF和中证500ETF；科创50及创业板相关ETF在9月7日出现净赎回。联合信号支持指数风险下限改善，不等于科技成长可以无条件追高。</w:t>
      </w:r>
    </w:p>
    <w:p>
      <w:r>
        <w:pict>
          <v:rect style="width:0;height:1.5pt" o:hralign="center" o:hrstd="t" o:hr="t"/>
        </w:pict>
      </w:r>
    </w:p>
    <w:bookmarkEnd w:id="30"/>
    <w:bookmarkEnd w:id="31"/>
    <w:bookmarkStart w:id="35" w:name="今日操作策略三档仓位"/>
    <w:p>
      <w:pPr>
        <w:pStyle w:val="Heading2"/>
      </w:pPr>
      <w:r>
        <w:t xml:space="preserve">💡 ⑧ </w:t>
      </w:r>
      <w:r>
        <w:rPr>
          <w:rFonts w:hint="eastAsia"/>
        </w:rPr>
        <w:t xml:space="preserve">今日操作策略：三档仓位</w:t>
      </w:r>
    </w:p>
    <w:bookmarkStart w:id="32" w:name="保守档35"/>
    <w:p>
      <w:pPr>
        <w:pStyle w:val="Heading3"/>
      </w:pPr>
      <w:r>
        <w:t xml:space="preserve">🛡️ </w:t>
      </w:r>
      <w:r>
        <w:rPr>
          <w:rFonts w:hint="eastAsia"/>
        </w:rPr>
        <w:t xml:space="preserve">保守档：35%</w:t>
      </w:r>
    </w:p>
    <w:p>
      <w:pPr>
        <w:pStyle w:val="FirstParagraph"/>
      </w:pPr>
      <w:r>
        <w:rPr>
          <w:rFonts w:hint="eastAsia"/>
        </w:rPr>
        <w:t xml:space="preserve">适用条件：</w:t>
      </w:r>
    </w:p>
    <w:p>
      <w:pPr>
        <w:pStyle w:val="Compact"/>
        <w:numPr>
          <w:ilvl w:val="0"/>
          <w:numId w:val="1014"/>
        </w:numPr>
      </w:pPr>
      <w:r>
        <w:rPr>
          <w:rFonts w:hint="eastAsia"/>
        </w:rPr>
        <w:t xml:space="preserve">指数开盘走弱，科技硬件高开低走；</w:t>
      </w:r>
    </w:p>
    <w:p>
      <w:pPr>
        <w:pStyle w:val="Compact"/>
        <w:numPr>
          <w:ilvl w:val="0"/>
          <w:numId w:val="1014"/>
        </w:numPr>
      </w:pPr>
      <w:r>
        <w:rPr>
          <w:rFonts w:hint="eastAsia"/>
        </w:rPr>
        <w:t xml:space="preserve">上证50、沪深300相对抗跌，但通信、元件和半导体资金承接不足；</w:t>
      </w:r>
    </w:p>
    <w:p>
      <w:pPr>
        <w:pStyle w:val="Compact"/>
        <w:numPr>
          <w:ilvl w:val="0"/>
          <w:numId w:val="1014"/>
        </w:numPr>
      </w:pPr>
      <w:r>
        <w:rPr>
          <w:rFonts w:hint="eastAsia"/>
        </w:rPr>
        <w:t xml:space="preserve">昨日成交额核心股不能在分歧后重新转强。</w:t>
      </w:r>
    </w:p>
    <w:p>
      <w:pPr>
        <w:pStyle w:val="FirstParagraph"/>
      </w:pPr>
      <w:r>
        <w:rPr>
          <w:rFonts w:hint="eastAsia"/>
        </w:rPr>
        <w:t xml:space="preserve">执行方式：</w:t>
      </w:r>
    </w:p>
    <w:p>
      <w:pPr>
        <w:pStyle w:val="Compact"/>
        <w:numPr>
          <w:ilvl w:val="0"/>
          <w:numId w:val="1015"/>
        </w:numPr>
      </w:pPr>
      <w:r>
        <w:rPr>
          <w:rFonts w:hint="eastAsia"/>
        </w:rPr>
        <w:t xml:space="preserve">以现金和低波动底仓为主。</w:t>
      </w:r>
    </w:p>
    <w:p>
      <w:pPr>
        <w:pStyle w:val="Compact"/>
        <w:numPr>
          <w:ilvl w:val="0"/>
          <w:numId w:val="1015"/>
        </w:numPr>
      </w:pPr>
      <w:r>
        <w:rPr>
          <w:rFonts w:hint="eastAsia"/>
        </w:rPr>
        <w:t xml:space="preserve">不参与昨日大涨科技股的竞价追高。</w:t>
      </w:r>
    </w:p>
    <w:p>
      <w:pPr>
        <w:pStyle w:val="Compact"/>
        <w:numPr>
          <w:ilvl w:val="0"/>
          <w:numId w:val="1015"/>
        </w:numPr>
      </w:pPr>
      <w:r>
        <w:rPr>
          <w:rFonts w:hint="eastAsia"/>
        </w:rPr>
        <w:t xml:space="preserve">已有高位科技仓位遇放量冲高回落，优先逢高兑现。</w:t>
      </w:r>
    </w:p>
    <w:bookmarkEnd w:id="32"/>
    <w:bookmarkStart w:id="33" w:name="均衡档50"/>
    <w:p>
      <w:pPr>
        <w:pStyle w:val="Heading3"/>
      </w:pPr>
      <w:r>
        <w:t xml:space="preserve">⚖️ </w:t>
      </w:r>
      <w:r>
        <w:rPr>
          <w:rFonts w:hint="eastAsia"/>
        </w:rPr>
        <w:t xml:space="preserve">均衡档：50%</w:t>
      </w:r>
    </w:p>
    <w:p>
      <w:pPr>
        <w:pStyle w:val="FirstParagraph"/>
      </w:pPr>
      <w:r>
        <w:rPr>
          <w:rFonts w:hint="eastAsia"/>
        </w:rPr>
        <w:t xml:space="preserve">适用条件：</w:t>
      </w:r>
    </w:p>
    <w:p>
      <w:pPr>
        <w:pStyle w:val="Compact"/>
        <w:numPr>
          <w:ilvl w:val="0"/>
          <w:numId w:val="1016"/>
        </w:numPr>
      </w:pPr>
      <w:r>
        <w:rPr>
          <w:rFonts w:hint="eastAsia"/>
        </w:rPr>
        <w:t xml:space="preserve">指数平稳，科技主线出现良性分歧；</w:t>
      </w:r>
    </w:p>
    <w:p>
      <w:pPr>
        <w:pStyle w:val="Compact"/>
        <w:numPr>
          <w:ilvl w:val="0"/>
          <w:numId w:val="1016"/>
        </w:numPr>
      </w:pPr>
      <w:r>
        <w:rPr>
          <w:rFonts w:hint="eastAsia"/>
        </w:rPr>
        <w:t xml:space="preserve">通信设备、元件或半导体至少一个方向保持资金承接；</w:t>
      </w:r>
    </w:p>
    <w:p>
      <w:pPr>
        <w:pStyle w:val="Compact"/>
        <w:numPr>
          <w:ilvl w:val="0"/>
          <w:numId w:val="1016"/>
        </w:numPr>
      </w:pPr>
      <w:r>
        <w:rPr>
          <w:rFonts w:hint="eastAsia"/>
        </w:rPr>
        <w:t xml:space="preserve">核心股回踩后不破关键分时支撑，但因盘前无实时技术确认，仅允许小仓试错。</w:t>
      </w:r>
    </w:p>
    <w:p>
      <w:pPr>
        <w:pStyle w:val="FirstParagraph"/>
      </w:pPr>
      <w:r>
        <w:rPr>
          <w:rFonts w:hint="eastAsia"/>
        </w:rPr>
        <w:t xml:space="preserve">执行方式：</w:t>
      </w:r>
    </w:p>
    <w:p>
      <w:pPr>
        <w:pStyle w:val="Compact"/>
        <w:numPr>
          <w:ilvl w:val="0"/>
          <w:numId w:val="1017"/>
        </w:numPr>
      </w:pPr>
      <w:r>
        <w:rPr>
          <w:rFonts w:hint="eastAsia"/>
        </w:rPr>
        <w:t xml:space="preserve">底仓控制在30%。</w:t>
      </w:r>
    </w:p>
    <w:p>
      <w:pPr>
        <w:pStyle w:val="Compact"/>
        <w:numPr>
          <w:ilvl w:val="0"/>
          <w:numId w:val="1017"/>
        </w:numPr>
      </w:pPr>
      <w:r>
        <w:rPr>
          <w:rFonts w:hint="eastAsia"/>
        </w:rPr>
        <w:t xml:space="preserve">盘中确认后增加至50%，不在一致性高开阶段加仓。</w:t>
      </w:r>
    </w:p>
    <w:p>
      <w:pPr>
        <w:pStyle w:val="Compact"/>
        <w:numPr>
          <w:ilvl w:val="0"/>
          <w:numId w:val="1017"/>
        </w:numPr>
      </w:pPr>
      <w:r>
        <w:rPr>
          <w:rFonts w:hint="eastAsia"/>
        </w:rPr>
        <w:t xml:space="preserve">单一高估值科技方向避免过度集中。</w:t>
      </w:r>
    </w:p>
    <w:bookmarkEnd w:id="33"/>
    <w:bookmarkStart w:id="34" w:name="进取档最高50"/>
    <w:p>
      <w:pPr>
        <w:pStyle w:val="Heading3"/>
      </w:pPr>
      <w:r>
        <w:t xml:space="preserve">🚀 </w:t>
      </w:r>
      <w:r>
        <w:rPr>
          <w:rFonts w:hint="eastAsia"/>
        </w:rPr>
        <w:t xml:space="preserve">进取档：最高50%</w:t>
      </w:r>
    </w:p>
    <w:p>
      <w:pPr>
        <w:pStyle w:val="FirstParagraph"/>
      </w:pPr>
      <w:r>
        <w:rPr>
          <w:rFonts w:hint="eastAsia"/>
        </w:rPr>
        <w:t xml:space="preserve">自动仓位模型给出的进取档上限仍为50%，今日不提高至60%—70%。</w:t>
      </w:r>
    </w:p>
    <w:p>
      <w:pPr>
        <w:pStyle w:val="BodyText"/>
      </w:pPr>
      <w:r>
        <w:rPr>
          <w:rFonts w:hint="eastAsia"/>
        </w:rPr>
        <w:t xml:space="preserve">启用条件必须同时满足：</w:t>
      </w:r>
    </w:p>
    <w:p>
      <w:pPr>
        <w:pStyle w:val="Compact"/>
        <w:numPr>
          <w:ilvl w:val="0"/>
          <w:numId w:val="1018"/>
        </w:numPr>
      </w:pPr>
      <w:r>
        <w:rPr>
          <w:rFonts w:hint="eastAsia"/>
        </w:rPr>
        <w:t xml:space="preserve">全市场成交活跃度明显改善；</w:t>
      </w:r>
    </w:p>
    <w:p>
      <w:pPr>
        <w:pStyle w:val="Compact"/>
        <w:numPr>
          <w:ilvl w:val="0"/>
          <w:numId w:val="1018"/>
        </w:numPr>
      </w:pPr>
      <w:r>
        <w:rPr>
          <w:rFonts w:hint="eastAsia"/>
        </w:rPr>
        <w:t xml:space="preserve">沪弱深强结构没有迅速逆转为成长单边杀跌；</w:t>
      </w:r>
    </w:p>
    <w:p>
      <w:pPr>
        <w:pStyle w:val="Compact"/>
        <w:numPr>
          <w:ilvl w:val="0"/>
          <w:numId w:val="1018"/>
        </w:numPr>
      </w:pPr>
      <w:r>
        <w:rPr>
          <w:rFonts w:hint="eastAsia"/>
        </w:rPr>
        <w:t xml:space="preserve">通信设备、元件、半导体由分歧转强，而不是高开后单边兑现；</w:t>
      </w:r>
    </w:p>
    <w:p>
      <w:pPr>
        <w:pStyle w:val="Compact"/>
        <w:numPr>
          <w:ilvl w:val="0"/>
          <w:numId w:val="1018"/>
        </w:numPr>
      </w:pPr>
      <w:r>
        <w:rPr>
          <w:rFonts w:hint="eastAsia"/>
        </w:rPr>
        <w:t xml:space="preserve">重点股出现重新站稳关键均线的可验证信号。</w:t>
      </w:r>
    </w:p>
    <w:p>
      <w:pPr>
        <w:pStyle w:val="FirstParagraph"/>
      </w:pPr>
      <w:r>
        <w:t xml:space="preserve">📌</w:t>
      </w:r>
      <w:r>
        <w:t xml:space="preserve"> </w:t>
      </w:r>
      <w:r>
        <w:rPr>
          <w:rFonts w:hint="eastAsia"/>
          <w:b/>
          <w:bCs/>
        </w:rPr>
        <w:t xml:space="preserve">鲜明结论：今日基准仓位50%，不开盘即加仓。若科技高开兑现，立即回落至35%；只有分歧转强才维持50%。</w:t>
      </w:r>
    </w:p>
    <w:p>
      <w:r>
        <w:pict>
          <v:rect style="width:0;height:1.5pt" o:hralign="center" o:hrstd="t" o:hr="t"/>
        </w:pict>
      </w:r>
    </w:p>
    <w:bookmarkEnd w:id="34"/>
    <w:bookmarkEnd w:id="35"/>
    <w:bookmarkStart w:id="36" w:name="市场风格预判"/>
    <w:p>
      <w:pPr>
        <w:pStyle w:val="Heading2"/>
      </w:pPr>
      <w:r>
        <w:t xml:space="preserve">🎯 ⑨ </w:t>
      </w:r>
      <w:r>
        <w:rPr>
          <w:rFonts w:hint="eastAsia"/>
        </w:rPr>
        <w:t xml:space="preserve">市场风格预判</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维度</w:t>
            </w:r>
          </w:p>
        </w:tc>
        <w:tc>
          <w:tcPr/>
          <w:p>
            <w:pPr>
              <w:pStyle w:val="Compact"/>
            </w:pPr>
            <w:r>
              <w:rPr>
                <w:rFonts w:hint="eastAsia"/>
              </w:rPr>
              <w:t xml:space="preserve">预判</w:t>
            </w:r>
          </w:p>
        </w:tc>
        <w:tc>
          <w:tcPr/>
          <w:p>
            <w:pPr>
              <w:pStyle w:val="Compact"/>
            </w:pPr>
            <w:r>
              <w:rPr>
                <w:rFonts w:hint="eastAsia"/>
              </w:rPr>
              <w:t xml:space="preserve">核心证据</w:t>
            </w:r>
          </w:p>
        </w:tc>
      </w:tr>
      <w:tr>
        <w:tc>
          <w:tcPr/>
          <w:p>
            <w:pPr>
              <w:pStyle w:val="Compact"/>
            </w:pPr>
            <w:r>
              <w:rPr>
                <w:rFonts w:hint="eastAsia"/>
              </w:rPr>
              <w:t xml:space="preserve">大盘与小盘</w:t>
            </w:r>
          </w:p>
        </w:tc>
        <w:tc>
          <w:tcPr/>
          <w:p>
            <w:pPr>
              <w:pStyle w:val="Compact"/>
            </w:pPr>
            <w:r>
              <w:rPr>
                <w:rFonts w:hint="eastAsia"/>
              </w:rPr>
              <w:t xml:space="preserve">偏成长、小盘</w:t>
            </w:r>
          </w:p>
        </w:tc>
        <w:tc>
          <w:tcPr/>
          <w:p>
            <w:pPr>
              <w:pStyle w:val="Compact"/>
            </w:pPr>
            <w:r>
              <w:rPr>
                <w:rFonts w:hint="eastAsia"/>
              </w:rPr>
              <w:t xml:space="preserve">创业板指+3.4119%，显著强于沪指</w:t>
            </w:r>
          </w:p>
        </w:tc>
      </w:tr>
      <w:tr>
        <w:tc>
          <w:tcPr/>
          <w:p>
            <w:pPr>
              <w:pStyle w:val="Compact"/>
            </w:pPr>
            <w:r>
              <w:rPr>
                <w:rFonts w:hint="eastAsia"/>
              </w:rPr>
              <w:t xml:space="preserve">成长与价值</w:t>
            </w:r>
          </w:p>
        </w:tc>
        <w:tc>
          <w:tcPr/>
          <w:p>
            <w:pPr>
              <w:pStyle w:val="Compact"/>
            </w:pPr>
            <w:r>
              <w:rPr>
                <w:rFonts w:hint="eastAsia"/>
              </w:rPr>
              <w:t xml:space="preserve">偏成长</w:t>
            </w:r>
          </w:p>
        </w:tc>
        <w:tc>
          <w:tcPr/>
          <w:p>
            <w:pPr>
              <w:pStyle w:val="Compact"/>
            </w:pPr>
            <w:r>
              <w:rPr>
                <w:rFonts w:hint="eastAsia"/>
              </w:rPr>
              <w:t xml:space="preserve">通信设备、元件、半导体居资金流入前三</w:t>
            </w:r>
          </w:p>
        </w:tc>
      </w:tr>
      <w:tr>
        <w:tc>
          <w:tcPr/>
          <w:p>
            <w:pPr>
              <w:pStyle w:val="Compact"/>
            </w:pPr>
            <w:r>
              <w:rPr>
                <w:rFonts w:hint="eastAsia"/>
              </w:rPr>
              <w:t xml:space="preserve">进攻与防御</w:t>
            </w:r>
          </w:p>
        </w:tc>
        <w:tc>
          <w:tcPr/>
          <w:p>
            <w:pPr>
              <w:pStyle w:val="Compact"/>
            </w:pPr>
            <w:r>
              <w:rPr>
                <w:rFonts w:hint="eastAsia"/>
              </w:rPr>
              <w:t xml:space="preserve">偏进攻但将分化</w:t>
            </w:r>
          </w:p>
        </w:tc>
        <w:tc>
          <w:tcPr/>
          <w:p>
            <w:pPr>
              <w:pStyle w:val="Compact"/>
            </w:pPr>
            <w:r>
              <w:rPr>
                <w:rFonts w:hint="eastAsia"/>
              </w:rPr>
              <w:t xml:space="preserve">科技集中上涨，红利ETF下跌1.3962%</w:t>
            </w:r>
          </w:p>
        </w:tc>
      </w:tr>
      <w:tr>
        <w:tc>
          <w:tcPr/>
          <w:p>
            <w:pPr>
              <w:pStyle w:val="Compact"/>
            </w:pPr>
            <w:r>
              <w:rPr>
                <w:rFonts w:hint="eastAsia"/>
              </w:rPr>
              <w:t xml:space="preserve">机构与题材</w:t>
            </w:r>
          </w:p>
        </w:tc>
        <w:tc>
          <w:tcPr/>
          <w:p>
            <w:pPr>
              <w:pStyle w:val="Compact"/>
            </w:pPr>
            <w:r>
              <w:rPr>
                <w:rFonts w:hint="eastAsia"/>
              </w:rPr>
              <w:t xml:space="preserve">成交额核心主导</w:t>
            </w:r>
          </w:p>
        </w:tc>
        <w:tc>
          <w:tcPr/>
          <w:p>
            <w:pPr>
              <w:pStyle w:val="Compact"/>
            </w:pPr>
            <w:r>
              <w:rPr>
                <w:rFonts w:hint="eastAsia"/>
              </w:rPr>
              <w:t xml:space="preserve">成交额前十几乎集中于科技核心股</w:t>
            </w:r>
          </w:p>
        </w:tc>
      </w:tr>
      <w:tr>
        <w:tc>
          <w:tcPr/>
          <w:p>
            <w:pPr>
              <w:pStyle w:val="Compact"/>
            </w:pPr>
            <w:r>
              <w:rPr>
                <w:rFonts w:hint="eastAsia"/>
              </w:rPr>
              <w:t xml:space="preserve">今日节奏</w:t>
            </w:r>
          </w:p>
        </w:tc>
        <w:tc>
          <w:tcPr/>
          <w:p>
            <w:pPr>
              <w:pStyle w:val="Compact"/>
            </w:pPr>
            <w:r>
              <w:rPr>
                <w:rFonts w:hint="eastAsia"/>
              </w:rPr>
              <w:t xml:space="preserve">先分歧、再验证</w:t>
            </w:r>
          </w:p>
        </w:tc>
        <w:tc>
          <w:tcPr/>
          <w:p>
            <w:pPr>
              <w:pStyle w:val="Compact"/>
            </w:pPr>
            <w:r>
              <w:rPr>
                <w:rFonts w:hint="eastAsia"/>
              </w:rPr>
              <w:t xml:space="preserve">总成交额缩减4.23%，成长ETF出现净赎回</w:t>
            </w:r>
          </w:p>
        </w:tc>
      </w:tr>
    </w:tbl>
    <w:p>
      <w:pPr>
        <w:pStyle w:val="BodyText"/>
      </w:pPr>
      <w:r>
        <w:t xml:space="preserve">📌</w:t>
      </w:r>
      <w:r>
        <w:t xml:space="preserve"> </w:t>
      </w:r>
      <w:r>
        <w:rPr>
          <w:rFonts w:hint="eastAsia"/>
          <w:b/>
          <w:bCs/>
        </w:rPr>
        <w:t xml:space="preserve">预判重点：</w:t>
      </w:r>
    </w:p>
    <w:p>
      <w:pPr>
        <w:pStyle w:val="Compact"/>
        <w:numPr>
          <w:ilvl w:val="0"/>
          <w:numId w:val="1019"/>
        </w:numPr>
      </w:pPr>
      <w:r>
        <w:rPr>
          <w:rFonts w:hint="eastAsia"/>
        </w:rPr>
        <w:t xml:space="preserve">昨日不是无差别普涨，而是资金集中向AI算力硬件、光通信、PCB和存储迁移。</w:t>
      </w:r>
    </w:p>
    <w:p>
      <w:pPr>
        <w:pStyle w:val="Compact"/>
        <w:numPr>
          <w:ilvl w:val="0"/>
          <w:numId w:val="1019"/>
        </w:numPr>
      </w:pPr>
      <w:r>
        <w:rPr>
          <w:rFonts w:hint="eastAsia"/>
        </w:rPr>
        <w:t xml:space="preserve">今日最可能发生的是科技内部强弱分化，而非所有科技股继续同步上涨。</w:t>
      </w:r>
    </w:p>
    <w:p>
      <w:pPr>
        <w:pStyle w:val="Compact"/>
        <w:numPr>
          <w:ilvl w:val="0"/>
          <w:numId w:val="1019"/>
        </w:numPr>
      </w:pPr>
      <w:r>
        <w:rPr>
          <w:rFonts w:hint="eastAsia"/>
        </w:rPr>
        <w:t xml:space="preserve">金融板块虽有重组事件催化，但证券Ⅱ、银行Ⅱ、保险Ⅱ均在资金流出前列，反转需要新增资金验证。</w:t>
      </w:r>
    </w:p>
    <w:p>
      <w:pPr>
        <w:pStyle w:val="Compact"/>
        <w:numPr>
          <w:ilvl w:val="0"/>
          <w:numId w:val="1019"/>
        </w:numPr>
      </w:pPr>
      <w:r>
        <w:rPr>
          <w:rFonts w:hint="eastAsia"/>
        </w:rPr>
        <w:t xml:space="preserve">红利与金融若盘中企稳，可缓解指数波动；若继续走弱，科技方向将承担更高的指数稳定压力。</w:t>
      </w:r>
    </w:p>
    <w:p>
      <w:r>
        <w:pict>
          <v:rect style="width:0;height:1.5pt" o:hralign="center" o:hrstd="t" o:hr="t"/>
        </w:pict>
      </w:r>
    </w:p>
    <w:bookmarkEnd w:id="36"/>
    <w:bookmarkStart w:id="42" w:name="投资方向分层"/>
    <w:p>
      <w:pPr>
        <w:pStyle w:val="Heading2"/>
      </w:pPr>
      <w:r>
        <w:t xml:space="preserve">🧭 ⑩ </w:t>
      </w:r>
      <w:r>
        <w:rPr>
          <w:rFonts w:hint="eastAsia"/>
        </w:rPr>
        <w:t xml:space="preserve">投资方向分层</w:t>
      </w:r>
    </w:p>
    <w:bookmarkStart w:id="39" w:name="可参与仅限分歧转强后的科技硬件当前无无条件买点"/>
    <w:p>
      <w:pPr>
        <w:pStyle w:val="Heading3"/>
      </w:pPr>
      <w:r>
        <w:t xml:space="preserve">✅ </w:t>
      </w:r>
      <w:r>
        <w:rPr>
          <w:rFonts w:hint="eastAsia"/>
        </w:rPr>
        <w:t xml:space="preserve">可参与：仅限“分歧转强后的科技硬件”，当前无无条件买点</w:t>
      </w:r>
    </w:p>
    <w:bookmarkStart w:id="37" w:name="通信设备cpo与光模块"/>
    <w:p>
      <w:pPr>
        <w:pStyle w:val="Heading4"/>
      </w:pPr>
      <w:r>
        <w:t xml:space="preserve">1. </w:t>
      </w:r>
      <w:r>
        <w:rPr>
          <w:rFonts w:hint="eastAsia"/>
        </w:rPr>
        <w:t xml:space="preserve">通信设备、CPO与光模块</w:t>
      </w:r>
    </w:p>
    <w:p>
      <w:pPr>
        <w:pStyle w:val="FirstParagraph"/>
      </w:pPr>
      <w:r>
        <w:rPr>
          <w:rFonts w:hint="eastAsia"/>
          <w:b/>
          <w:bCs/>
        </w:rPr>
        <w:t xml:space="preserve">证据链：</w:t>
      </w:r>
    </w:p>
    <w:p>
      <w:pPr>
        <w:pStyle w:val="Compact"/>
        <w:numPr>
          <w:ilvl w:val="0"/>
          <w:numId w:val="1020"/>
        </w:numPr>
      </w:pPr>
      <w:r>
        <w:rPr>
          <w:rFonts w:hint="eastAsia"/>
        </w:rPr>
        <w:t xml:space="preserve">通信设备主力净流入201.35亿元，居板块流入第一。</w:t>
      </w:r>
    </w:p>
    <w:p>
      <w:pPr>
        <w:pStyle w:val="Compact"/>
        <w:numPr>
          <w:ilvl w:val="0"/>
          <w:numId w:val="1020"/>
        </w:numPr>
      </w:pPr>
      <w:r>
        <w:rPr>
          <w:rFonts w:hint="eastAsia"/>
        </w:rPr>
        <w:t xml:space="preserve">中际旭创、新易盛、天孚通信分别进入个股流入榜前列。</w:t>
      </w:r>
    </w:p>
    <w:p>
      <w:pPr>
        <w:pStyle w:val="Compact"/>
        <w:numPr>
          <w:ilvl w:val="0"/>
          <w:numId w:val="1020"/>
        </w:numPr>
      </w:pPr>
      <w:r>
        <w:rPr>
          <w:rFonts w:hint="eastAsia"/>
        </w:rPr>
        <w:t xml:space="preserve">英伟达上涨0.84%、AMD上涨4.69%、博通上涨0.21%，海外算力链保持正向映射。</w:t>
      </w:r>
    </w:p>
    <w:p>
      <w:pPr>
        <w:pStyle w:val="Compact"/>
        <w:numPr>
          <w:ilvl w:val="0"/>
          <w:numId w:val="1020"/>
        </w:numPr>
      </w:pPr>
      <w:r>
        <w:rPr>
          <w:rFonts w:hint="eastAsia"/>
        </w:rPr>
        <w:t xml:space="preserve">中际旭创2026年中报营收同比增长182.5%、净利润同比增长247.3%、ROE为37.62%。</w:t>
      </w:r>
    </w:p>
    <w:p>
      <w:pPr>
        <w:pStyle w:val="Compact"/>
        <w:numPr>
          <w:ilvl w:val="0"/>
          <w:numId w:val="1020"/>
        </w:numPr>
      </w:pPr>
      <w:r>
        <w:rPr>
          <w:rFonts w:hint="eastAsia"/>
        </w:rPr>
        <w:t xml:space="preserve">新易盛2026年中报营收同比增长100.3%、净利润同比增长91.93%、ROE为34.86%。</w:t>
      </w:r>
    </w:p>
    <w:p>
      <w:pPr>
        <w:pStyle w:val="FirstParagraph"/>
      </w:pPr>
      <w:r>
        <w:rPr>
          <w:rFonts w:hint="eastAsia"/>
          <w:b/>
          <w:bCs/>
        </w:rPr>
        <w:t xml:space="preserve">核心标的：</w:t>
      </w:r>
      <w:r>
        <w:rPr>
          <w:rFonts w:hint="eastAsia"/>
        </w:rPr>
        <w:t xml:space="preserve">中际旭创（300308）、新易盛（300502）、天孚通信（300394）。</w:t>
      </w:r>
    </w:p>
    <w:p>
      <w:pPr>
        <w:pStyle w:val="BodyText"/>
      </w:pPr>
      <w:r>
        <w:rPr>
          <w:rFonts w:hint="eastAsia"/>
          <w:b/>
          <w:bCs/>
        </w:rPr>
        <w:t xml:space="preserve">触发条件：</w:t>
      </w:r>
    </w:p>
    <w:p>
      <w:pPr>
        <w:pStyle w:val="Compact"/>
        <w:numPr>
          <w:ilvl w:val="0"/>
          <w:numId w:val="1021"/>
        </w:numPr>
      </w:pPr>
      <w:r>
        <w:rPr>
          <w:rFonts w:hint="eastAsia"/>
        </w:rPr>
        <w:t xml:space="preserve">不竞价追涨；</w:t>
      </w:r>
    </w:p>
    <w:p>
      <w:pPr>
        <w:pStyle w:val="Compact"/>
        <w:numPr>
          <w:ilvl w:val="0"/>
          <w:numId w:val="1021"/>
        </w:numPr>
      </w:pPr>
      <w:r>
        <w:rPr>
          <w:rFonts w:hint="eastAsia"/>
        </w:rPr>
        <w:t xml:space="preserve">盘中完成高开消化或主动回踩后重新放量转强；</w:t>
      </w:r>
    </w:p>
    <w:p>
      <w:pPr>
        <w:pStyle w:val="Compact"/>
        <w:numPr>
          <w:ilvl w:val="0"/>
          <w:numId w:val="1021"/>
        </w:numPr>
      </w:pPr>
      <w:r>
        <w:rPr>
          <w:rFonts w:hint="eastAsia"/>
        </w:rPr>
        <w:t xml:space="preserve">后续日线重新站稳MA20、MA60，并完成量比不低于1.2的右侧确认。</w:t>
      </w:r>
    </w:p>
    <w:p>
      <w:pPr>
        <w:pStyle w:val="FirstParagraph"/>
      </w:pPr>
      <w:r>
        <w:rPr>
          <w:rFonts w:hint="eastAsia"/>
          <w:b/>
          <w:bCs/>
        </w:rPr>
        <w:t xml:space="preserve">失效条件：</w:t>
      </w:r>
    </w:p>
    <w:p>
      <w:pPr>
        <w:pStyle w:val="Compact"/>
        <w:numPr>
          <w:ilvl w:val="0"/>
          <w:numId w:val="1022"/>
        </w:numPr>
      </w:pPr>
      <w:r>
        <w:rPr>
          <w:rFonts w:hint="eastAsia"/>
        </w:rPr>
        <w:t xml:space="preserve">高开后放量跌破开盘区间；</w:t>
      </w:r>
    </w:p>
    <w:p>
      <w:pPr>
        <w:pStyle w:val="Compact"/>
        <w:numPr>
          <w:ilvl w:val="0"/>
          <w:numId w:val="1022"/>
        </w:numPr>
      </w:pPr>
      <w:r>
        <w:rPr>
          <w:rFonts w:hint="eastAsia"/>
        </w:rPr>
        <w:t xml:space="preserve">板块资金由集中流入转为持续兑现；</w:t>
      </w:r>
    </w:p>
    <w:p>
      <w:pPr>
        <w:pStyle w:val="Compact"/>
        <w:numPr>
          <w:ilvl w:val="0"/>
          <w:numId w:val="1022"/>
        </w:numPr>
      </w:pPr>
      <w:r>
        <w:rPr>
          <w:rFonts w:hint="eastAsia"/>
        </w:rPr>
        <w:t xml:space="preserve">日线继续处于MA20、MA60下方，不能完成趋势修复。</w:t>
      </w:r>
    </w:p>
    <w:bookmarkEnd w:id="37"/>
    <w:bookmarkStart w:id="38" w:name="pcb元件与消费电子"/>
    <w:p>
      <w:pPr>
        <w:pStyle w:val="Heading4"/>
      </w:pPr>
      <w:r>
        <w:t xml:space="preserve">2. </w:t>
      </w:r>
      <w:r>
        <w:rPr>
          <w:rFonts w:hint="eastAsia"/>
        </w:rPr>
        <w:t xml:space="preserve">PCB、元件与消费电子</w:t>
      </w:r>
    </w:p>
    <w:p>
      <w:pPr>
        <w:pStyle w:val="FirstParagraph"/>
      </w:pPr>
      <w:r>
        <w:rPr>
          <w:rFonts w:hint="eastAsia"/>
          <w:b/>
          <w:bCs/>
        </w:rPr>
        <w:t xml:space="preserve">证据链：</w:t>
      </w:r>
    </w:p>
    <w:p>
      <w:pPr>
        <w:pStyle w:val="Compact"/>
        <w:numPr>
          <w:ilvl w:val="0"/>
          <w:numId w:val="1023"/>
        </w:numPr>
      </w:pPr>
      <w:r>
        <w:rPr>
          <w:rFonts w:hint="eastAsia"/>
        </w:rPr>
        <w:t xml:space="preserve">元件主力净流入156.90亿元，居板块流入第二。</w:t>
      </w:r>
    </w:p>
    <w:p>
      <w:pPr>
        <w:pStyle w:val="Compact"/>
        <w:numPr>
          <w:ilvl w:val="0"/>
          <w:numId w:val="1023"/>
        </w:numPr>
      </w:pPr>
      <w:r>
        <w:rPr>
          <w:rFonts w:hint="eastAsia"/>
        </w:rPr>
        <w:t xml:space="preserve">消费电子主力净流入27.74亿元。</w:t>
      </w:r>
    </w:p>
    <w:p>
      <w:pPr>
        <w:pStyle w:val="Compact"/>
        <w:numPr>
          <w:ilvl w:val="0"/>
          <w:numId w:val="1023"/>
        </w:numPr>
      </w:pPr>
      <w:r>
        <w:rPr>
          <w:rFonts w:hint="eastAsia"/>
        </w:rPr>
        <w:t xml:space="preserve">东山精密、生益科技、沪电股份均进入华泰个股资金流入榜。</w:t>
      </w:r>
    </w:p>
    <w:p>
      <w:pPr>
        <w:pStyle w:val="Compact"/>
        <w:numPr>
          <w:ilvl w:val="0"/>
          <w:numId w:val="1023"/>
        </w:numPr>
      </w:pPr>
      <w:r>
        <w:rPr>
          <w:rFonts w:hint="eastAsia"/>
        </w:rPr>
        <w:t xml:space="preserve">东山精密2026年中报营收同比增长63.95%、净利润同比增长293.5%，但PE为97.35倍，估值已不低。</w:t>
      </w:r>
    </w:p>
    <w:p>
      <w:pPr>
        <w:pStyle w:val="FirstParagraph"/>
      </w:pPr>
      <w:r>
        <w:rPr>
          <w:rFonts w:hint="eastAsia"/>
          <w:b/>
          <w:bCs/>
        </w:rPr>
        <w:t xml:space="preserve">核心标的：</w:t>
      </w:r>
      <w:r>
        <w:rPr>
          <w:rFonts w:hint="eastAsia"/>
        </w:rPr>
        <w:t xml:space="preserve">东山精密（002384）、生益科技（600183）、沪电股份（002463）。</w:t>
      </w:r>
    </w:p>
    <w:p>
      <w:pPr>
        <w:pStyle w:val="BodyText"/>
      </w:pPr>
      <w:r>
        <w:rPr>
          <w:rFonts w:hint="eastAsia"/>
          <w:b/>
          <w:bCs/>
        </w:rPr>
        <w:t xml:space="preserve">触发条件：</w:t>
      </w:r>
    </w:p>
    <w:p>
      <w:pPr>
        <w:pStyle w:val="Compact"/>
        <w:numPr>
          <w:ilvl w:val="0"/>
          <w:numId w:val="1024"/>
        </w:numPr>
      </w:pPr>
      <w:r>
        <w:rPr>
          <w:rFonts w:hint="eastAsia"/>
        </w:rPr>
        <w:t xml:space="preserve">板块分歧时核心股维持强于指数；</w:t>
      </w:r>
    </w:p>
    <w:p>
      <w:pPr>
        <w:pStyle w:val="Compact"/>
        <w:numPr>
          <w:ilvl w:val="0"/>
          <w:numId w:val="1024"/>
        </w:numPr>
      </w:pPr>
      <w:r>
        <w:rPr>
          <w:rFonts w:hint="eastAsia"/>
        </w:rPr>
        <w:t xml:space="preserve">缩量回踩后出现放量修复；</w:t>
      </w:r>
    </w:p>
    <w:p>
      <w:pPr>
        <w:pStyle w:val="Compact"/>
        <w:numPr>
          <w:ilvl w:val="0"/>
          <w:numId w:val="1024"/>
        </w:numPr>
      </w:pPr>
      <w:r>
        <w:rPr>
          <w:rFonts w:hint="eastAsia"/>
        </w:rPr>
        <w:t xml:space="preserve">不能以昨日上涨幅度作为今日买入理由。</w:t>
      </w:r>
    </w:p>
    <w:p>
      <w:pPr>
        <w:pStyle w:val="FirstParagraph"/>
      </w:pPr>
      <w:r>
        <w:rPr>
          <w:rFonts w:hint="eastAsia"/>
          <w:b/>
          <w:bCs/>
        </w:rPr>
        <w:t xml:space="preserve">失效条件：</w:t>
      </w:r>
    </w:p>
    <w:p>
      <w:pPr>
        <w:pStyle w:val="Compact"/>
        <w:numPr>
          <w:ilvl w:val="0"/>
          <w:numId w:val="1025"/>
        </w:numPr>
      </w:pPr>
      <w:r>
        <w:rPr>
          <w:rFonts w:hint="eastAsia"/>
        </w:rPr>
        <w:t xml:space="preserve">东山精密不能修复MA20与MA60；</w:t>
      </w:r>
    </w:p>
    <w:p>
      <w:pPr>
        <w:pStyle w:val="Compact"/>
        <w:numPr>
          <w:ilvl w:val="0"/>
          <w:numId w:val="1025"/>
        </w:numPr>
      </w:pPr>
      <w:r>
        <w:rPr>
          <w:rFonts w:hint="eastAsia"/>
        </w:rPr>
        <w:t xml:space="preserve">高估值核心股出现放量滞涨；</w:t>
      </w:r>
    </w:p>
    <w:p>
      <w:pPr>
        <w:pStyle w:val="Compact"/>
        <w:numPr>
          <w:ilvl w:val="0"/>
          <w:numId w:val="1025"/>
        </w:numPr>
      </w:pPr>
      <w:r>
        <w:rPr>
          <w:rFonts w:hint="eastAsia"/>
        </w:rPr>
        <w:t xml:space="preserve">元件板块主力资金持续转负。</w:t>
      </w:r>
    </w:p>
    <w:bookmarkEnd w:id="38"/>
    <w:bookmarkEnd w:id="39"/>
    <w:bookmarkStart w:id="40" w:name="只观察存储芯片与半导体国产化"/>
    <w:p>
      <w:pPr>
        <w:pStyle w:val="Heading3"/>
      </w:pPr>
      <w:r>
        <w:t xml:space="preserve">👀 </w:t>
      </w:r>
      <w:r>
        <w:rPr>
          <w:rFonts w:hint="eastAsia"/>
        </w:rPr>
        <w:t xml:space="preserve">只观察：存储芯片与半导体国产化</w:t>
      </w:r>
    </w:p>
    <w:p>
      <w:pPr>
        <w:pStyle w:val="FirstParagraph"/>
      </w:pPr>
      <w:r>
        <w:rPr>
          <w:rFonts w:hint="eastAsia"/>
          <w:b/>
          <w:bCs/>
        </w:rPr>
        <w:t xml:space="preserve">证据链：</w:t>
      </w:r>
    </w:p>
    <w:p>
      <w:pPr>
        <w:pStyle w:val="Compact"/>
        <w:numPr>
          <w:ilvl w:val="0"/>
          <w:numId w:val="1026"/>
        </w:numPr>
      </w:pPr>
      <w:r>
        <w:rPr>
          <w:rFonts w:hint="eastAsia"/>
        </w:rPr>
        <w:t xml:space="preserve">半导体主力净流入97.98亿元，居板块流入第三。</w:t>
      </w:r>
    </w:p>
    <w:p>
      <w:pPr>
        <w:pStyle w:val="Compact"/>
        <w:numPr>
          <w:ilvl w:val="0"/>
          <w:numId w:val="1026"/>
        </w:numPr>
      </w:pPr>
      <w:r>
        <w:rPr>
          <w:rFonts w:hint="eastAsia"/>
        </w:rPr>
        <w:t xml:space="preserve">美光上涨6.10%、台积电上涨2.85%，海外存储与制造链映射积极。</w:t>
      </w:r>
    </w:p>
    <w:p>
      <w:pPr>
        <w:pStyle w:val="Compact"/>
        <w:numPr>
          <w:ilvl w:val="0"/>
          <w:numId w:val="1026"/>
        </w:numPr>
      </w:pPr>
      <w:r>
        <w:rPr>
          <w:rFonts w:hint="eastAsia"/>
        </w:rPr>
        <w:t xml:space="preserve">长鑫科技2026年中报营收同比增长873.6%、净利润同比增长2731%、ROE为81.06%。</w:t>
      </w:r>
    </w:p>
    <w:p>
      <w:pPr>
        <w:pStyle w:val="Compact"/>
        <w:numPr>
          <w:ilvl w:val="0"/>
          <w:numId w:val="1026"/>
        </w:numPr>
      </w:pPr>
      <w:r>
        <w:rPr>
          <w:rFonts w:hint="eastAsia"/>
        </w:rPr>
        <w:t xml:space="preserve">长鑫科技9月7日成交204.93亿元、上涨6.70%，但估值为PE</w:t>
      </w:r>
      <w:r>
        <w:t xml:space="preserve"> </w:t>
      </w:r>
      <w:r>
        <w:rPr>
          <w:rFonts w:hint="eastAsia"/>
        </w:rPr>
        <w:t xml:space="preserve">48.52倍、PB</w:t>
      </w:r>
      <w:r>
        <w:t xml:space="preserve"> </w:t>
      </w:r>
      <w:r>
        <w:rPr>
          <w:rFonts w:hint="eastAsia"/>
        </w:rPr>
        <w:t xml:space="preserve">29.46倍，换手率7.858%。</w:t>
      </w:r>
    </w:p>
    <w:p>
      <w:pPr>
        <w:pStyle w:val="Compact"/>
        <w:numPr>
          <w:ilvl w:val="0"/>
          <w:numId w:val="1026"/>
        </w:numPr>
      </w:pPr>
      <w:r>
        <w:rPr>
          <w:rFonts w:hint="eastAsia"/>
        </w:rPr>
        <w:t xml:space="preserve">TickFlow因历史数据仅31个交易日、缺少MA60，长鑫科技因技术数据不足，暂不评级，无法确认右侧趋势。</w:t>
      </w:r>
    </w:p>
    <w:p>
      <w:pPr>
        <w:pStyle w:val="FirstParagraph"/>
      </w:pPr>
      <w:r>
        <w:rPr>
          <w:rFonts w:hint="eastAsia"/>
          <w:b/>
          <w:bCs/>
        </w:rPr>
        <w:t xml:space="preserve">核心标的：</w:t>
      </w:r>
      <w:r>
        <w:rPr>
          <w:rFonts w:hint="eastAsia"/>
        </w:rPr>
        <w:t xml:space="preserve">长鑫科技（688825）、兆易创新（603986）。</w:t>
      </w:r>
    </w:p>
    <w:p>
      <w:pPr>
        <w:pStyle w:val="BodyText"/>
      </w:pPr>
      <w:r>
        <w:rPr>
          <w:rFonts w:hint="eastAsia"/>
          <w:b/>
          <w:bCs/>
        </w:rPr>
        <w:t xml:space="preserve">触发条件：</w:t>
      </w:r>
    </w:p>
    <w:p>
      <w:pPr>
        <w:pStyle w:val="Compact"/>
        <w:numPr>
          <w:ilvl w:val="0"/>
          <w:numId w:val="1027"/>
        </w:numPr>
      </w:pPr>
      <w:r>
        <w:rPr>
          <w:rFonts w:hint="eastAsia"/>
        </w:rPr>
        <w:t xml:space="preserve">长鑫科技补齐MA60并获得A/B级右侧确认；</w:t>
      </w:r>
    </w:p>
    <w:p>
      <w:pPr>
        <w:pStyle w:val="Compact"/>
        <w:numPr>
          <w:ilvl w:val="0"/>
          <w:numId w:val="1027"/>
        </w:numPr>
      </w:pPr>
      <w:r>
        <w:rPr>
          <w:rFonts w:hint="eastAsia"/>
        </w:rPr>
        <w:t xml:space="preserve">兆易创新重新站稳MA20与MA60；</w:t>
      </w:r>
    </w:p>
    <w:p>
      <w:pPr>
        <w:pStyle w:val="Compact"/>
        <w:numPr>
          <w:ilvl w:val="0"/>
          <w:numId w:val="1027"/>
        </w:numPr>
      </w:pPr>
      <w:r>
        <w:rPr>
          <w:rFonts w:hint="eastAsia"/>
        </w:rPr>
        <w:t xml:space="preserve">存储方向在高开分化后仍有板块资金净流入。</w:t>
      </w:r>
    </w:p>
    <w:p>
      <w:pPr>
        <w:pStyle w:val="FirstParagraph"/>
      </w:pPr>
      <w:r>
        <w:rPr>
          <w:rFonts w:hint="eastAsia"/>
          <w:b/>
          <w:bCs/>
        </w:rPr>
        <w:t xml:space="preserve">失效条件：</w:t>
      </w:r>
    </w:p>
    <w:p>
      <w:pPr>
        <w:pStyle w:val="Compact"/>
        <w:numPr>
          <w:ilvl w:val="0"/>
          <w:numId w:val="1028"/>
        </w:numPr>
      </w:pPr>
      <w:r>
        <w:rPr>
          <w:rFonts w:hint="eastAsia"/>
        </w:rPr>
        <w:t xml:space="preserve">长鑫科技高开后出现高换手放量回落；</w:t>
      </w:r>
    </w:p>
    <w:p>
      <w:pPr>
        <w:pStyle w:val="Compact"/>
        <w:numPr>
          <w:ilvl w:val="0"/>
          <w:numId w:val="1028"/>
        </w:numPr>
      </w:pPr>
      <w:r>
        <w:rPr>
          <w:rFonts w:hint="eastAsia"/>
        </w:rPr>
        <w:t xml:space="preserve">兆易创新不能修复MA20；</w:t>
      </w:r>
    </w:p>
    <w:p>
      <w:pPr>
        <w:pStyle w:val="Compact"/>
        <w:numPr>
          <w:ilvl w:val="0"/>
          <w:numId w:val="1028"/>
        </w:numPr>
      </w:pPr>
      <w:r>
        <w:rPr>
          <w:rFonts w:hint="eastAsia"/>
        </w:rPr>
        <w:t xml:space="preserve">海外存储映射未能转化为A股实际承接。</w:t>
      </w:r>
    </w:p>
    <w:bookmarkEnd w:id="40"/>
    <w:bookmarkStart w:id="41" w:name="应回避高开追涨趋势破位及弱资金方向"/>
    <w:p>
      <w:pPr>
        <w:pStyle w:val="Heading3"/>
      </w:pPr>
      <w:r>
        <w:t xml:space="preserve">⛔ </w:t>
      </w:r>
      <w:r>
        <w:rPr>
          <w:rFonts w:hint="eastAsia"/>
        </w:rPr>
        <w:t xml:space="preserve">应回避：高开追涨、趋势破位及弱资金方向</w:t>
      </w:r>
    </w:p>
    <w:p>
      <w:pPr>
        <w:pStyle w:val="Compact"/>
        <w:numPr>
          <w:ilvl w:val="0"/>
          <w:numId w:val="1029"/>
        </w:numPr>
      </w:pPr>
      <w:r>
        <w:rPr>
          <w:rFonts w:hint="eastAsia"/>
          <w:b/>
          <w:bCs/>
        </w:rPr>
        <w:t xml:space="preserve">昨日大涨后直接高开的CPO、PCB核心股</w:t>
      </w:r>
    </w:p>
    <w:p>
      <w:pPr>
        <w:pStyle w:val="Compact"/>
        <w:numPr>
          <w:ilvl w:val="1"/>
          <w:numId w:val="1030"/>
        </w:numPr>
      </w:pPr>
      <w:r>
        <w:rPr>
          <w:rFonts w:hint="eastAsia"/>
        </w:rPr>
        <w:t xml:space="preserve">资金与注意力高度集中，容易诱发FOMO。</w:t>
      </w:r>
    </w:p>
    <w:p>
      <w:pPr>
        <w:pStyle w:val="Compact"/>
        <w:numPr>
          <w:ilvl w:val="1"/>
          <w:numId w:val="1030"/>
        </w:numPr>
      </w:pPr>
      <w:r>
        <w:rPr>
          <w:rFonts w:hint="eastAsia"/>
        </w:rPr>
        <w:t xml:space="preserve">只能等待分歧后的重新确认，不能以海外半导体上涨为由追涨。</w:t>
      </w:r>
    </w:p>
    <w:p>
      <w:pPr>
        <w:pStyle w:val="Compact"/>
        <w:numPr>
          <w:ilvl w:val="0"/>
          <w:numId w:val="1029"/>
        </w:numPr>
      </w:pPr>
      <w:r>
        <w:rPr>
          <w:rFonts w:hint="eastAsia"/>
          <w:b/>
          <w:bCs/>
        </w:rPr>
        <w:t xml:space="preserve">软件开发、IT服务、广告营销</w:t>
      </w:r>
    </w:p>
    <w:p>
      <w:pPr>
        <w:pStyle w:val="Compact"/>
        <w:numPr>
          <w:ilvl w:val="1"/>
          <w:numId w:val="1031"/>
        </w:numPr>
      </w:pPr>
      <w:r>
        <w:rPr>
          <w:rFonts w:hint="eastAsia"/>
        </w:rPr>
        <w:t xml:space="preserve">分别主力净流出16.03亿元、10.75亿元、13.17亿元。</w:t>
      </w:r>
    </w:p>
    <w:p>
      <w:pPr>
        <w:pStyle w:val="Compact"/>
        <w:numPr>
          <w:ilvl w:val="1"/>
          <w:numId w:val="1031"/>
        </w:numPr>
      </w:pPr>
      <w:r>
        <w:rPr>
          <w:rFonts w:hint="eastAsia"/>
        </w:rPr>
        <w:t xml:space="preserve">AI应用题材若缺少资金回流，仅作事件观察。</w:t>
      </w:r>
    </w:p>
    <w:p>
      <w:pPr>
        <w:pStyle w:val="Compact"/>
        <w:numPr>
          <w:ilvl w:val="0"/>
          <w:numId w:val="1029"/>
        </w:numPr>
      </w:pPr>
      <w:r>
        <w:rPr>
          <w:rFonts w:hint="eastAsia"/>
          <w:b/>
          <w:bCs/>
        </w:rPr>
        <w:t xml:space="preserve">证券、银行、保险</w:t>
      </w:r>
    </w:p>
    <w:p>
      <w:pPr>
        <w:pStyle w:val="Compact"/>
        <w:numPr>
          <w:ilvl w:val="1"/>
          <w:numId w:val="1032"/>
        </w:numPr>
      </w:pPr>
      <w:r>
        <w:rPr>
          <w:rFonts w:hint="eastAsia"/>
        </w:rPr>
        <w:t xml:space="preserve">分别净流出22.17亿元、16.95亿元、13.27亿元。</w:t>
      </w:r>
    </w:p>
    <w:p>
      <w:pPr>
        <w:pStyle w:val="Compact"/>
        <w:numPr>
          <w:ilvl w:val="1"/>
          <w:numId w:val="1032"/>
        </w:numPr>
      </w:pPr>
      <w:r>
        <w:rPr>
          <w:rFonts w:hint="eastAsia"/>
        </w:rPr>
        <w:t xml:space="preserve">中金公司重组事件不足以证明整个金融板块资金趋势反转。</w:t>
      </w:r>
    </w:p>
    <w:p>
      <w:pPr>
        <w:pStyle w:val="Compact"/>
        <w:numPr>
          <w:ilvl w:val="0"/>
          <w:numId w:val="1029"/>
        </w:numPr>
      </w:pPr>
      <w:r>
        <w:rPr>
          <w:rFonts w:hint="eastAsia"/>
          <w:b/>
          <w:bCs/>
        </w:rPr>
        <w:t xml:space="preserve">贵金属</w:t>
      </w:r>
    </w:p>
    <w:p>
      <w:pPr>
        <w:pStyle w:val="Compact"/>
        <w:numPr>
          <w:ilvl w:val="1"/>
          <w:numId w:val="1033"/>
        </w:numPr>
      </w:pPr>
      <w:r>
        <w:rPr>
          <w:rFonts w:hint="eastAsia"/>
        </w:rPr>
        <w:t xml:space="preserve">板块主力净流出14.96亿元，COMEX黄金下跌0.16%。</w:t>
      </w:r>
    </w:p>
    <w:p>
      <w:pPr>
        <w:pStyle w:val="Compact"/>
        <w:numPr>
          <w:ilvl w:val="1"/>
          <w:numId w:val="1033"/>
        </w:numPr>
      </w:pPr>
      <w:r>
        <w:rPr>
          <w:rFonts w:hint="eastAsia"/>
        </w:rPr>
        <w:t xml:space="preserve">资金与外盘价格均未形成共振。</w:t>
      </w:r>
    </w:p>
    <w:p>
      <w:r>
        <w:pict>
          <v:rect style="width:0;height:1.5pt" o:hralign="center" o:hrstd="t" o:hr="t"/>
        </w:pict>
      </w:r>
    </w:p>
    <w:bookmarkEnd w:id="41"/>
    <w:bookmarkEnd w:id="42"/>
    <w:bookmarkStart w:id="46" w:name="仓位模型量化推导"/>
    <w:p>
      <w:pPr>
        <w:pStyle w:val="Heading2"/>
      </w:pPr>
      <w:r>
        <w:t xml:space="preserve">📐 ⑪ </w:t>
      </w:r>
      <w:r>
        <w:rPr>
          <w:rFonts w:hint="eastAsia"/>
        </w:rPr>
        <w:t xml:space="preserve">仓位模型量化推导</w:t>
      </w:r>
    </w:p>
    <w:bookmarkStart w:id="43" w:name="模型输入"/>
    <w:p>
      <w:pPr>
        <w:pStyle w:val="Heading3"/>
      </w:pPr>
      <w:r>
        <w:t xml:space="preserve">🔢 </w:t>
      </w:r>
      <w:r>
        <w:rPr>
          <w:rFonts w:hint="eastAsia"/>
        </w:rPr>
        <w:t xml:space="preserve">模型输入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pPr>
            <w:r>
              <w:rPr>
                <w:rFonts w:hint="eastAsia"/>
              </w:rPr>
              <w:t xml:space="preserve">仓位影响</w:t>
            </w:r>
          </w:p>
        </w:tc>
      </w:tr>
      <w:tr>
        <w:tc>
          <w:tcPr/>
          <w:p>
            <w:pPr>
              <w:pStyle w:val="Compact"/>
            </w:pPr>
            <w:r>
              <w:rPr>
                <w:rFonts w:hint="eastAsia"/>
              </w:rPr>
              <w:t xml:space="preserve">涨跌家数比</w:t>
            </w:r>
          </w:p>
        </w:tc>
        <w:tc>
          <w:tcPr/>
          <w:p>
            <w:pPr>
              <w:pStyle w:val="Compact"/>
              <w:jc w:val="right"/>
            </w:pPr>
            <w:r>
              <w:t xml:space="preserve">1.442</w:t>
            </w:r>
          </w:p>
        </w:tc>
        <w:tc>
          <w:tcPr/>
          <w:p>
            <w:pPr>
              <w:pStyle w:val="Compact"/>
            </w:pPr>
            <w:r>
              <w:rPr>
                <w:rFonts w:hint="eastAsia"/>
              </w:rPr>
              <w:t xml:space="preserve">+10个百分点</w:t>
            </w:r>
          </w:p>
        </w:tc>
      </w:tr>
      <w:tr>
        <w:tc>
          <w:tcPr/>
          <w:p>
            <w:pPr>
              <w:pStyle w:val="Compact"/>
            </w:pPr>
            <w:r>
              <w:rPr>
                <w:rFonts w:hint="eastAsia"/>
              </w:rPr>
              <w:t xml:space="preserve">全市场成交额</w:t>
            </w:r>
          </w:p>
        </w:tc>
        <w:tc>
          <w:tcPr/>
          <w:p>
            <w:pPr>
              <w:pStyle w:val="Compact"/>
              <w:jc w:val="right"/>
            </w:pPr>
            <w:r>
              <w:rPr>
                <w:rFonts w:hint="eastAsia"/>
              </w:rPr>
              <w:t xml:space="preserve">19642.35亿元</w:t>
            </w:r>
          </w:p>
        </w:tc>
        <w:tc>
          <w:tcPr/>
          <w:p>
            <w:pPr>
              <w:pStyle w:val="Compact"/>
            </w:pPr>
            <w:r>
              <w:rPr>
                <w:rFonts w:hint="eastAsia"/>
              </w:rPr>
              <w:t xml:space="preserve">中性</w:t>
            </w:r>
          </w:p>
        </w:tc>
      </w:tr>
      <w:tr>
        <w:tc>
          <w:tcPr/>
          <w:p>
            <w:pPr>
              <w:pStyle w:val="Compact"/>
            </w:pPr>
            <w:r>
              <w:rPr>
                <w:rFonts w:hint="eastAsia"/>
              </w:rPr>
              <w:t xml:space="preserve">成交额变化</w:t>
            </w:r>
          </w:p>
        </w:tc>
        <w:tc>
          <w:tcPr/>
          <w:p>
            <w:pPr>
              <w:pStyle w:val="Compact"/>
              <w:jc w:val="right"/>
            </w:pPr>
            <w:r>
              <w:t xml:space="preserve">-4.23%</w:t>
            </w:r>
          </w:p>
        </w:tc>
        <w:tc>
          <w:tcPr/>
          <w:p>
            <w:pPr>
              <w:pStyle w:val="Compact"/>
            </w:pPr>
            <w:r>
              <w:rPr>
                <w:rFonts w:hint="eastAsia"/>
              </w:rPr>
              <w:t xml:space="preserve">不加分</w:t>
            </w:r>
          </w:p>
        </w:tc>
      </w:tr>
      <w:tr>
        <w:tc>
          <w:tcPr/>
          <w:p>
            <w:pPr>
              <w:pStyle w:val="Compact"/>
            </w:pPr>
            <w:r>
              <w:rPr>
                <w:rFonts w:hint="eastAsia"/>
              </w:rPr>
              <w:t xml:space="preserve">行为金融风险分</w:t>
            </w:r>
          </w:p>
        </w:tc>
        <w:tc>
          <w:tcPr/>
          <w:p>
            <w:pPr>
              <w:pStyle w:val="Compact"/>
              <w:jc w:val="right"/>
            </w:pPr>
            <w:r>
              <w:t xml:space="preserve">1</w:t>
            </w:r>
          </w:p>
        </w:tc>
        <w:tc>
          <w:tcPr/>
          <w:p>
            <w:pPr>
              <w:pStyle w:val="Compact"/>
            </w:pPr>
            <w:r>
              <w:rPr>
                <w:rFonts w:hint="eastAsia"/>
              </w:rPr>
              <w:t xml:space="preserve">中性</w:t>
            </w:r>
          </w:p>
        </w:tc>
      </w:tr>
      <w:tr>
        <w:tc>
          <w:tcPr/>
          <w:p>
            <w:pPr>
              <w:pStyle w:val="Compact"/>
            </w:pPr>
            <w:r>
              <w:rPr>
                <w:rFonts w:hint="eastAsia"/>
              </w:rPr>
              <w:t xml:space="preserve">联合流动性信号</w:t>
            </w:r>
          </w:p>
        </w:tc>
        <w:tc>
          <w:tcPr/>
          <w:p>
            <w:pPr>
              <w:pStyle w:val="Compact"/>
              <w:jc w:val="right"/>
            </w:pPr>
            <w:r>
              <w:t xml:space="preserve">confirmed</w:t>
            </w:r>
          </w:p>
        </w:tc>
        <w:tc>
          <w:tcPr/>
          <w:p>
            <w:pPr>
              <w:pStyle w:val="Compact"/>
            </w:pPr>
            <w:r>
              <w:rPr>
                <w:rFonts w:hint="eastAsia"/>
              </w:rPr>
              <w:t xml:space="preserve">支撑风险下限</w:t>
            </w:r>
          </w:p>
        </w:tc>
      </w:tr>
    </w:tbl>
    <w:bookmarkEnd w:id="43"/>
    <w:bookmarkStart w:id="44" w:name="二次修正"/>
    <w:p>
      <w:pPr>
        <w:pStyle w:val="Heading3"/>
      </w:pPr>
      <w:r>
        <w:t xml:space="preserve">📌 </w:t>
      </w:r>
      <w:r>
        <w:rPr>
          <w:rFonts w:hint="eastAsia"/>
        </w:rPr>
        <w:t xml:space="preserve">二次修正</w:t>
      </w:r>
    </w:p>
    <w:p>
      <w:pPr>
        <w:pStyle w:val="Compact"/>
        <w:numPr>
          <w:ilvl w:val="0"/>
          <w:numId w:val="1034"/>
        </w:numPr>
      </w:pPr>
      <w:r>
        <w:rPr>
          <w:rFonts w:hint="eastAsia"/>
          <w:b/>
          <w:bCs/>
        </w:rPr>
        <w:t xml:space="preserve">正向：</w:t>
      </w:r>
      <w:r>
        <w:rPr>
          <w:rFonts w:hint="eastAsia"/>
        </w:rPr>
        <w:t xml:space="preserve">上证50ETF、沪深300ETF、中证500ETF连续净申购，QVIX较20日峰值回落16.3934%，联合信号已经确认。</w:t>
      </w:r>
    </w:p>
    <w:p>
      <w:pPr>
        <w:pStyle w:val="Compact"/>
        <w:numPr>
          <w:ilvl w:val="0"/>
          <w:numId w:val="1034"/>
        </w:numPr>
      </w:pPr>
      <w:r>
        <w:rPr>
          <w:rFonts w:hint="eastAsia"/>
          <w:b/>
          <w:bCs/>
        </w:rPr>
        <w:t xml:space="preserve">负向：</w:t>
      </w:r>
      <w:r>
        <w:rPr>
          <w:rFonts w:hint="eastAsia"/>
        </w:rPr>
        <w:t xml:space="preserve">两融余额下降188.6158亿元，融资端是主要拖累，杠杆风险偏好下降。</w:t>
      </w:r>
    </w:p>
    <w:p>
      <w:pPr>
        <w:pStyle w:val="Compact"/>
        <w:numPr>
          <w:ilvl w:val="0"/>
          <w:numId w:val="1034"/>
        </w:numPr>
      </w:pPr>
      <w:r>
        <w:rPr>
          <w:rFonts w:hint="eastAsia"/>
          <w:b/>
          <w:bCs/>
        </w:rPr>
        <w:t xml:space="preserve">负向：</w:t>
      </w:r>
      <w:r>
        <w:rPr>
          <w:rFonts w:hint="eastAsia"/>
        </w:rPr>
        <w:t xml:space="preserve">科创50ETF、科创板50ETF、创业板ETF和创业板50ETF最新区间均为净赎回。</w:t>
      </w:r>
    </w:p>
    <w:p>
      <w:pPr>
        <w:pStyle w:val="Compact"/>
        <w:numPr>
          <w:ilvl w:val="0"/>
          <w:numId w:val="1034"/>
        </w:numPr>
      </w:pPr>
      <w:r>
        <w:rPr>
          <w:rFonts w:hint="eastAsia"/>
          <w:b/>
          <w:bCs/>
        </w:rPr>
        <w:t xml:space="preserve">负向：</w:t>
      </w:r>
      <w:r>
        <w:rPr>
          <w:rFonts w:hint="eastAsia"/>
        </w:rPr>
        <w:t xml:space="preserve">成交额缩减4.23%，不支持在科技一致性上涨后继续提高仓位。</w:t>
      </w:r>
    </w:p>
    <w:p>
      <w:pPr>
        <w:pStyle w:val="Compact"/>
        <w:numPr>
          <w:ilvl w:val="0"/>
          <w:numId w:val="1034"/>
        </w:numPr>
      </w:pPr>
      <w:r>
        <w:rPr>
          <w:rFonts w:hint="eastAsia"/>
          <w:b/>
          <w:bCs/>
        </w:rPr>
        <w:t xml:space="preserve">技术约束：</w:t>
      </w:r>
      <w:r>
        <w:rPr>
          <w:rFonts w:hint="eastAsia"/>
        </w:rPr>
        <w:t xml:space="preserve">TickFlow重点股样本中A类0只、B类0只、C类0只、D类9只，长鑫科技因技术数据不足暂不评级。</w:t>
      </w:r>
    </w:p>
    <w:bookmarkEnd w:id="44"/>
    <w:bookmarkStart w:id="45" w:name="最终仓位"/>
    <w:p>
      <w:pPr>
        <w:pStyle w:val="Heading3"/>
      </w:pPr>
      <w:r>
        <w:t xml:space="preserve">🎯 </w:t>
      </w:r>
      <w:r>
        <w:rPr>
          <w:rFonts w:hint="eastAsia"/>
        </w:rPr>
        <w:t xml:space="preserve">最终仓位</w:t>
      </w:r>
    </w:p>
    <w:p>
      <w:pPr>
        <w:pStyle w:val="Compact"/>
        <w:numPr>
          <w:ilvl w:val="0"/>
          <w:numId w:val="1035"/>
        </w:numPr>
      </w:pPr>
      <w:r>
        <w:rPr>
          <w:rFonts w:hint="eastAsia"/>
        </w:rPr>
        <w:t xml:space="preserve">保守档：35%</w:t>
      </w:r>
    </w:p>
    <w:p>
      <w:pPr>
        <w:pStyle w:val="Compact"/>
        <w:numPr>
          <w:ilvl w:val="0"/>
          <w:numId w:val="1035"/>
        </w:numPr>
      </w:pPr>
      <w:r>
        <w:rPr>
          <w:rFonts w:hint="eastAsia"/>
        </w:rPr>
        <w:t xml:space="preserve">均衡档：50%</w:t>
      </w:r>
    </w:p>
    <w:p>
      <w:pPr>
        <w:pStyle w:val="Compact"/>
        <w:numPr>
          <w:ilvl w:val="0"/>
          <w:numId w:val="1035"/>
        </w:numPr>
      </w:pPr>
      <w:r>
        <w:rPr>
          <w:rFonts w:hint="eastAsia"/>
        </w:rPr>
        <w:t xml:space="preserve">进取档：最高50%</w:t>
      </w:r>
    </w:p>
    <w:p>
      <w:pPr>
        <w:pStyle w:val="Compact"/>
        <w:numPr>
          <w:ilvl w:val="0"/>
          <w:numId w:val="1035"/>
        </w:numPr>
      </w:pPr>
      <w:r>
        <w:rPr>
          <w:rFonts w:hint="eastAsia"/>
        </w:rPr>
        <w:t xml:space="preserve">今日基准：50%</w:t>
      </w:r>
    </w:p>
    <w:p>
      <w:pPr>
        <w:pStyle w:val="Compact"/>
        <w:numPr>
          <w:ilvl w:val="0"/>
          <w:numId w:val="1035"/>
        </w:numPr>
      </w:pPr>
      <w:r>
        <w:rPr>
          <w:rFonts w:hint="eastAsia"/>
        </w:rPr>
        <w:t xml:space="preserve">高开兑现或科技资金转弱：降至35%</w:t>
      </w:r>
    </w:p>
    <w:p>
      <w:pPr>
        <w:pStyle w:val="Compact"/>
        <w:numPr>
          <w:ilvl w:val="0"/>
          <w:numId w:val="1035"/>
        </w:numPr>
      </w:pPr>
      <w:r>
        <w:rPr>
          <w:rFonts w:hint="eastAsia"/>
        </w:rPr>
        <w:t xml:space="preserve">不满足右侧确认条件：禁止提高到60%以上</w:t>
      </w:r>
    </w:p>
    <w:p>
      <w:r>
        <w:pict>
          <v:rect style="width:0;height:1.5pt" o:hralign="center" o:hrstd="t" o:hr="t"/>
        </w:pict>
      </w:r>
    </w:p>
    <w:bookmarkEnd w:id="45"/>
    <w:bookmarkEnd w:id="46"/>
    <w:bookmarkStart w:id="49" w:name="重点股右侧趋势校验"/>
    <w:p>
      <w:pPr>
        <w:pStyle w:val="Heading2"/>
      </w:pPr>
      <w:r>
        <w:t xml:space="preserve">📏 ⑫ </w:t>
      </w:r>
      <w:r>
        <w:rPr>
          <w:rFonts w:hint="eastAsia"/>
        </w:rPr>
        <w:t xml:space="preserve">重点股右侧趋势校验</w:t>
      </w:r>
    </w:p>
    <w:p>
      <w:pPr>
        <w:pStyle w:val="BlockText"/>
      </w:pPr>
      <w:r>
        <w:rPr>
          <w:rFonts w:hint="eastAsia"/>
        </w:rPr>
        <w:t xml:space="preserve">TickFlow技术数据截至2026年9月4日，早于9月7日行情；全部为完成交易日的日K校验，不是盘中实时数据。9月7日价格变化可能使均线位置发生变化，但在新日K确认前不得自行升级评级。</w:t>
      </w:r>
      <w:r>
        <w:br/>
      </w:r>
      <w:r>
        <w:rPr>
          <w:rStyle w:val="VerbatimChar"/>
        </w:rPr>
        <w:t xml:space="preserve">trend_breadth.scope = focus_stock_sample</w:t>
      </w:r>
      <w:r>
        <w:rPr>
          <w:rFonts w:hint="eastAsia"/>
        </w:rPr>
        <w:t xml:space="preserve">仅代表10只重点股样本，不代表全A股市场宽度。</w:t>
      </w:r>
    </w:p>
    <w:bookmarkStart w:id="47" w:name="重点股技术评级15"/>
    <w:p>
      <w:pPr>
        <w:pStyle w:val="Heading3"/>
      </w:pPr>
      <w:r>
        <w:t xml:space="preserve">📉 </w:t>
      </w:r>
      <w:r>
        <w:rPr>
          <w:rFonts w:hint="eastAsia"/>
        </w:rPr>
        <w:t xml:space="preserve">重点股技术评级（1—5）</w:t>
      </w:r>
    </w:p>
    <w:tbl>
      <w:tblPr>
        <w:tblStyle w:val="Table"/>
        <w:tblW w:type="pct" w:w="5000"/>
        <w:tblLayout w:type="fixed"/>
        <w:tblLook w:firstRow="1" w:lastRow="0" w:firstColumn="0" w:lastColumn="0" w:noHBand="0" w:noVBand="0" w:val="0020"/>
      </w:tblPr>
      <w:tblGrid>
        <w:gridCol w:w="1485"/>
        <w:gridCol w:w="1485"/>
        <w:gridCol w:w="1485"/>
        <w:gridCol w:w="1980"/>
        <w:gridCol w:w="1485"/>
      </w:tblGrid>
      <w:tr>
        <w:trPr>
          <w:tblHeader w:val="on"/>
        </w:trPr>
        <w:tc>
          <w:tcPr/>
          <w:p>
            <w:pPr>
              <w:pStyle w:val="Compact"/>
            </w:pPr>
            <w:r>
              <w:rPr>
                <w:rFonts w:hint="eastAsia"/>
              </w:rPr>
              <w:t xml:space="preserve">标的</w:t>
            </w:r>
          </w:p>
        </w:tc>
        <w:tc>
          <w:tcPr/>
          <w:p>
            <w:pPr>
              <w:pStyle w:val="Compact"/>
            </w:pPr>
            <w:r>
              <w:rPr>
                <w:rFonts w:hint="eastAsia"/>
              </w:rPr>
              <w:t xml:space="preserve">评级</w:t>
            </w:r>
          </w:p>
        </w:tc>
        <w:tc>
          <w:tcPr/>
          <w:p>
            <w:pPr>
              <w:pStyle w:val="Compact"/>
            </w:pPr>
            <w:r>
              <w:t xml:space="preserve">MA20 / MA60</w:t>
            </w:r>
          </w:p>
        </w:tc>
        <w:tc>
          <w:tcPr/>
          <w:p>
            <w:pPr>
              <w:pStyle w:val="Compact"/>
              <w:jc w:val="right"/>
            </w:pPr>
            <w:r>
              <w:rPr>
                <w:rFonts w:hint="eastAsia"/>
              </w:rPr>
              <w:t xml:space="preserve">距60日高点</w:t>
            </w:r>
          </w:p>
        </w:tc>
        <w:tc>
          <w:tcPr/>
          <w:p>
            <w:pPr>
              <w:pStyle w:val="Compact"/>
            </w:pPr>
            <w:r>
              <w:rPr>
                <w:rFonts w:hint="eastAsia"/>
              </w:rPr>
              <w:t xml:space="preserve">行动</w:t>
            </w:r>
          </w:p>
        </w:tc>
      </w:tr>
      <w:tr>
        <w:tc>
          <w:tcPr/>
          <w:p>
            <w:pPr>
              <w:pStyle w:val="Compact"/>
            </w:pPr>
            <w:r>
              <w:rPr>
                <w:rFonts w:hint="eastAsia"/>
              </w:rPr>
              <w:t xml:space="preserve">中际旭创</w:t>
            </w:r>
          </w:p>
        </w:tc>
        <w:tc>
          <w:tcPr/>
          <w:p>
            <w:pPr>
              <w:pStyle w:val="Compact"/>
            </w:pPr>
            <w:r>
              <w:t xml:space="preserve">D</w:t>
            </w:r>
          </w:p>
        </w:tc>
        <w:tc>
          <w:tcPr/>
          <w:p>
            <w:pPr>
              <w:pStyle w:val="Compact"/>
            </w:pPr>
            <w:r>
              <w:t xml:space="preserve">886.035 / 1042.034</w:t>
            </w:r>
          </w:p>
        </w:tc>
        <w:tc>
          <w:tcPr/>
          <w:p>
            <w:pPr>
              <w:pStyle w:val="Compact"/>
              <w:jc w:val="right"/>
            </w:pPr>
            <w:r>
              <w:t xml:space="preserve">-41.11%</w:t>
            </w:r>
          </w:p>
        </w:tc>
        <w:tc>
          <w:tcPr/>
          <w:p>
            <w:pPr>
              <w:pStyle w:val="Compact"/>
            </w:pPr>
            <w:r>
              <w:rPr>
                <w:rFonts w:hint="eastAsia"/>
              </w:rPr>
              <w:t xml:space="preserve">回避，待重新站回双均线</w:t>
            </w:r>
          </w:p>
        </w:tc>
      </w:tr>
      <w:tr>
        <w:tc>
          <w:tcPr/>
          <w:p>
            <w:pPr>
              <w:pStyle w:val="Compact"/>
            </w:pPr>
            <w:r>
              <w:rPr>
                <w:rFonts w:hint="eastAsia"/>
              </w:rPr>
              <w:t xml:space="preserve">新易盛</w:t>
            </w:r>
          </w:p>
        </w:tc>
        <w:tc>
          <w:tcPr/>
          <w:p>
            <w:pPr>
              <w:pStyle w:val="Compact"/>
            </w:pPr>
            <w:r>
              <w:t xml:space="preserve">D</w:t>
            </w:r>
          </w:p>
        </w:tc>
        <w:tc>
          <w:tcPr/>
          <w:p>
            <w:pPr>
              <w:pStyle w:val="Compact"/>
            </w:pPr>
            <w:r>
              <w:t xml:space="preserve">414.469 / 477.691</w:t>
            </w:r>
          </w:p>
        </w:tc>
        <w:tc>
          <w:tcPr/>
          <w:p>
            <w:pPr>
              <w:pStyle w:val="Compact"/>
              <w:jc w:val="right"/>
            </w:pPr>
            <w:r>
              <w:t xml:space="preserve">-36.77%</w:t>
            </w:r>
          </w:p>
        </w:tc>
        <w:tc>
          <w:tcPr/>
          <w:p>
            <w:pPr>
              <w:pStyle w:val="Compact"/>
            </w:pPr>
            <w:r>
              <w:rPr>
                <w:rFonts w:hint="eastAsia"/>
              </w:rPr>
              <w:t xml:space="preserve">回避，待重新站回双均线</w:t>
            </w:r>
          </w:p>
        </w:tc>
      </w:tr>
      <w:tr>
        <w:tc>
          <w:tcPr/>
          <w:p>
            <w:pPr>
              <w:pStyle w:val="Compact"/>
            </w:pPr>
            <w:r>
              <w:rPr>
                <w:rFonts w:hint="eastAsia"/>
              </w:rPr>
              <w:t xml:space="preserve">长鑫科技</w:t>
            </w:r>
          </w:p>
        </w:tc>
        <w:tc>
          <w:tcPr/>
          <w:p>
            <w:pPr>
              <w:pStyle w:val="Compact"/>
            </w:pPr>
            <w:r>
              <w:rPr>
                <w:rFonts w:hint="eastAsia"/>
              </w:rPr>
              <w:t xml:space="preserve">数据不足，暂不评级</w:t>
            </w:r>
          </w:p>
        </w:tc>
        <w:tc>
          <w:tcPr/>
          <w:p>
            <w:pPr>
              <w:pStyle w:val="Compact"/>
            </w:pPr>
            <w:r>
              <w:rPr>
                <w:rFonts w:hint="eastAsia"/>
              </w:rPr>
              <w:t xml:space="preserve">MA60缺失</w:t>
            </w:r>
          </w:p>
        </w:tc>
        <w:tc>
          <w:tcPr/>
          <w:p>
            <w:pPr>
              <w:pStyle w:val="Compact"/>
              <w:jc w:val="right"/>
            </w:pPr>
            <w:r>
              <w:rPr>
                <w:rFonts w:hint="eastAsia"/>
              </w:rPr>
              <w:t xml:space="preserve">数据源缺失，不估算</w:t>
            </w:r>
          </w:p>
        </w:tc>
        <w:tc>
          <w:tcPr/>
          <w:p>
            <w:pPr>
              <w:pStyle w:val="Compact"/>
            </w:pPr>
            <w:r>
              <w:rPr>
                <w:rFonts w:hint="eastAsia"/>
              </w:rPr>
              <w:t xml:space="preserve">数据不足，不做判断</w:t>
            </w:r>
          </w:p>
        </w:tc>
      </w:tr>
      <w:tr>
        <w:tc>
          <w:tcPr/>
          <w:p>
            <w:pPr>
              <w:pStyle w:val="Compact"/>
            </w:pPr>
            <w:r>
              <w:rPr>
                <w:rFonts w:hint="eastAsia"/>
              </w:rPr>
              <w:t xml:space="preserve">东山精密</w:t>
            </w:r>
          </w:p>
        </w:tc>
        <w:tc>
          <w:tcPr/>
          <w:p>
            <w:pPr>
              <w:pStyle w:val="Compact"/>
            </w:pPr>
            <w:r>
              <w:t xml:space="preserve">D</w:t>
            </w:r>
          </w:p>
        </w:tc>
        <w:tc>
          <w:tcPr/>
          <w:p>
            <w:pPr>
              <w:pStyle w:val="Compact"/>
            </w:pPr>
            <w:r>
              <w:t xml:space="preserve">195.880 / 217.652</w:t>
            </w:r>
          </w:p>
        </w:tc>
        <w:tc>
          <w:tcPr/>
          <w:p>
            <w:pPr>
              <w:pStyle w:val="Compact"/>
              <w:jc w:val="right"/>
            </w:pPr>
            <w:r>
              <w:t xml:space="preserve">-35.22%</w:t>
            </w:r>
          </w:p>
        </w:tc>
        <w:tc>
          <w:tcPr/>
          <w:p>
            <w:pPr>
              <w:pStyle w:val="Compact"/>
            </w:pPr>
            <w:r>
              <w:rPr>
                <w:rFonts w:hint="eastAsia"/>
              </w:rPr>
              <w:t xml:space="preserve">回避，待趋势修复</w:t>
            </w:r>
          </w:p>
        </w:tc>
      </w:tr>
      <w:tr>
        <w:tc>
          <w:tcPr/>
          <w:p>
            <w:pPr>
              <w:pStyle w:val="Compact"/>
            </w:pPr>
            <w:r>
              <w:rPr>
                <w:rFonts w:hint="eastAsia"/>
              </w:rPr>
              <w:t xml:space="preserve">天孚通信</w:t>
            </w:r>
          </w:p>
        </w:tc>
        <w:tc>
          <w:tcPr/>
          <w:p>
            <w:pPr>
              <w:pStyle w:val="Compact"/>
            </w:pPr>
            <w:r>
              <w:t xml:space="preserve">D</w:t>
            </w:r>
          </w:p>
        </w:tc>
        <w:tc>
          <w:tcPr/>
          <w:p>
            <w:pPr>
              <w:pStyle w:val="Compact"/>
            </w:pPr>
            <w:r>
              <w:t xml:space="preserve">258.4185 / 255.2528</w:t>
            </w:r>
          </w:p>
        </w:tc>
        <w:tc>
          <w:tcPr/>
          <w:p>
            <w:pPr>
              <w:pStyle w:val="Compact"/>
              <w:jc w:val="right"/>
            </w:pPr>
            <w:r>
              <w:t xml:space="preserve">-27.27%</w:t>
            </w:r>
          </w:p>
        </w:tc>
        <w:tc>
          <w:tcPr/>
          <w:p>
            <w:pPr>
              <w:pStyle w:val="Compact"/>
            </w:pPr>
            <w:r>
              <w:rPr>
                <w:rFonts w:hint="eastAsia"/>
              </w:rPr>
              <w:t xml:space="preserve">回避，待重新站回双均线</w:t>
            </w:r>
          </w:p>
        </w:tc>
      </w:tr>
    </w:tbl>
    <w:bookmarkEnd w:id="47"/>
    <w:bookmarkStart w:id="48" w:name="重点股技术评级610"/>
    <w:p>
      <w:pPr>
        <w:pStyle w:val="Heading3"/>
      </w:pPr>
      <w:r>
        <w:t xml:space="preserve">📉 </w:t>
      </w:r>
      <w:r>
        <w:rPr>
          <w:rFonts w:hint="eastAsia"/>
        </w:rPr>
        <w:t xml:space="preserve">重点股技术评级（6—10）</w:t>
      </w:r>
    </w:p>
    <w:tbl>
      <w:tblPr>
        <w:tblStyle w:val="Table"/>
        <w:tblW w:type="pct" w:w="5000"/>
        <w:tblLayout w:type="fixed"/>
        <w:tblLook w:firstRow="1" w:lastRow="0" w:firstColumn="0" w:lastColumn="0" w:noHBand="0" w:noVBand="0" w:val="0020"/>
      </w:tblPr>
      <w:tblGrid>
        <w:gridCol w:w="1485"/>
        <w:gridCol w:w="1485"/>
        <w:gridCol w:w="1485"/>
        <w:gridCol w:w="1980"/>
        <w:gridCol w:w="1485"/>
      </w:tblGrid>
      <w:tr>
        <w:trPr>
          <w:tblHeader w:val="on"/>
        </w:trPr>
        <w:tc>
          <w:tcPr/>
          <w:p>
            <w:pPr>
              <w:pStyle w:val="Compact"/>
            </w:pPr>
            <w:r>
              <w:rPr>
                <w:rFonts w:hint="eastAsia"/>
              </w:rPr>
              <w:t xml:space="preserve">标的</w:t>
            </w:r>
          </w:p>
        </w:tc>
        <w:tc>
          <w:tcPr/>
          <w:p>
            <w:pPr>
              <w:pStyle w:val="Compact"/>
            </w:pPr>
            <w:r>
              <w:rPr>
                <w:rFonts w:hint="eastAsia"/>
              </w:rPr>
              <w:t xml:space="preserve">评级</w:t>
            </w:r>
          </w:p>
        </w:tc>
        <w:tc>
          <w:tcPr/>
          <w:p>
            <w:pPr>
              <w:pStyle w:val="Compact"/>
            </w:pPr>
            <w:r>
              <w:t xml:space="preserve">MA20 / MA60</w:t>
            </w:r>
          </w:p>
        </w:tc>
        <w:tc>
          <w:tcPr/>
          <w:p>
            <w:pPr>
              <w:pStyle w:val="Compact"/>
              <w:jc w:val="right"/>
            </w:pPr>
            <w:r>
              <w:rPr>
                <w:rFonts w:hint="eastAsia"/>
              </w:rPr>
              <w:t xml:space="preserve">距60日高点</w:t>
            </w:r>
          </w:p>
        </w:tc>
        <w:tc>
          <w:tcPr/>
          <w:p>
            <w:pPr>
              <w:pStyle w:val="Compact"/>
            </w:pPr>
            <w:r>
              <w:rPr>
                <w:rFonts w:hint="eastAsia"/>
              </w:rPr>
              <w:t xml:space="preserve">行动</w:t>
            </w:r>
          </w:p>
        </w:tc>
      </w:tr>
      <w:tr>
        <w:tc>
          <w:tcPr/>
          <w:p>
            <w:pPr>
              <w:pStyle w:val="Compact"/>
            </w:pPr>
            <w:r>
              <w:rPr>
                <w:rFonts w:hint="eastAsia"/>
              </w:rPr>
              <w:t xml:space="preserve">兆易创新</w:t>
            </w:r>
          </w:p>
        </w:tc>
        <w:tc>
          <w:tcPr/>
          <w:p>
            <w:pPr>
              <w:pStyle w:val="Compact"/>
            </w:pPr>
            <w:r>
              <w:t xml:space="preserve">D</w:t>
            </w:r>
          </w:p>
        </w:tc>
        <w:tc>
          <w:tcPr/>
          <w:p>
            <w:pPr>
              <w:pStyle w:val="Compact"/>
            </w:pPr>
            <w:r>
              <w:t xml:space="preserve">404.133 / 503.728</w:t>
            </w:r>
          </w:p>
        </w:tc>
        <w:tc>
          <w:tcPr/>
          <w:p>
            <w:pPr>
              <w:pStyle w:val="Compact"/>
              <w:jc w:val="right"/>
            </w:pPr>
            <w:r>
              <w:t xml:space="preserve">-55.73%</w:t>
            </w:r>
          </w:p>
        </w:tc>
        <w:tc>
          <w:tcPr/>
          <w:p>
            <w:pPr>
              <w:pStyle w:val="Compact"/>
            </w:pPr>
            <w:r>
              <w:rPr>
                <w:rFonts w:hint="eastAsia"/>
              </w:rPr>
              <w:t xml:space="preserve">回避，待趋势修复</w:t>
            </w:r>
          </w:p>
        </w:tc>
      </w:tr>
      <w:tr>
        <w:tc>
          <w:tcPr/>
          <w:p>
            <w:pPr>
              <w:pStyle w:val="Compact"/>
            </w:pPr>
            <w:r>
              <w:rPr>
                <w:rFonts w:hint="eastAsia"/>
              </w:rPr>
              <w:t xml:space="preserve">生益科技</w:t>
            </w:r>
          </w:p>
        </w:tc>
        <w:tc>
          <w:tcPr/>
          <w:p>
            <w:pPr>
              <w:pStyle w:val="Compact"/>
            </w:pPr>
            <w:r>
              <w:t xml:space="preserve">D</w:t>
            </w:r>
          </w:p>
        </w:tc>
        <w:tc>
          <w:tcPr/>
          <w:p>
            <w:pPr>
              <w:pStyle w:val="Compact"/>
            </w:pPr>
            <w:r>
              <w:t xml:space="preserve">138.7945 / 143.699</w:t>
            </w:r>
          </w:p>
        </w:tc>
        <w:tc>
          <w:tcPr/>
          <w:p>
            <w:pPr>
              <w:pStyle w:val="Compact"/>
              <w:jc w:val="right"/>
            </w:pPr>
            <w:r>
              <w:t xml:space="preserve">-26.55%</w:t>
            </w:r>
          </w:p>
        </w:tc>
        <w:tc>
          <w:tcPr/>
          <w:p>
            <w:pPr>
              <w:pStyle w:val="Compact"/>
            </w:pPr>
            <w:r>
              <w:rPr>
                <w:rFonts w:hint="eastAsia"/>
              </w:rPr>
              <w:t xml:space="preserve">回避，待重新站回双均线</w:t>
            </w:r>
          </w:p>
        </w:tc>
      </w:tr>
      <w:tr>
        <w:tc>
          <w:tcPr/>
          <w:p>
            <w:pPr>
              <w:pStyle w:val="Compact"/>
            </w:pPr>
            <w:r>
              <w:rPr>
                <w:rFonts w:hint="eastAsia"/>
              </w:rPr>
              <w:t xml:space="preserve">工业富联</w:t>
            </w:r>
          </w:p>
        </w:tc>
        <w:tc>
          <w:tcPr/>
          <w:p>
            <w:pPr>
              <w:pStyle w:val="Compact"/>
            </w:pPr>
            <w:r>
              <w:t xml:space="preserve">D</w:t>
            </w:r>
          </w:p>
        </w:tc>
        <w:tc>
          <w:tcPr/>
          <w:p>
            <w:pPr>
              <w:pStyle w:val="Compact"/>
            </w:pPr>
            <w:r>
              <w:t xml:space="preserve">64.327 / 65.3665</w:t>
            </w:r>
          </w:p>
        </w:tc>
        <w:tc>
          <w:tcPr/>
          <w:p>
            <w:pPr>
              <w:pStyle w:val="Compact"/>
              <w:jc w:val="right"/>
            </w:pPr>
            <w:r>
              <w:t xml:space="preserve">-19.26%</w:t>
            </w:r>
          </w:p>
        </w:tc>
        <w:tc>
          <w:tcPr/>
          <w:p>
            <w:pPr>
              <w:pStyle w:val="Compact"/>
            </w:pPr>
            <w:r>
              <w:rPr>
                <w:rFonts w:hint="eastAsia"/>
              </w:rPr>
              <w:t xml:space="preserve">回避，待趋势修复</w:t>
            </w:r>
          </w:p>
        </w:tc>
      </w:tr>
      <w:tr>
        <w:tc>
          <w:tcPr/>
          <w:p>
            <w:pPr>
              <w:pStyle w:val="Compact"/>
            </w:pPr>
            <w:r>
              <w:rPr>
                <w:rFonts w:hint="eastAsia"/>
              </w:rPr>
              <w:t xml:space="preserve">寒武纪</w:t>
            </w:r>
          </w:p>
        </w:tc>
        <w:tc>
          <w:tcPr/>
          <w:p>
            <w:pPr>
              <w:pStyle w:val="Compact"/>
            </w:pPr>
            <w:r>
              <w:t xml:space="preserve">D</w:t>
            </w:r>
          </w:p>
        </w:tc>
        <w:tc>
          <w:tcPr/>
          <w:p>
            <w:pPr>
              <w:pStyle w:val="Compact"/>
            </w:pPr>
            <w:r>
              <w:t xml:space="preserve">1085.4325 / 1239.2445</w:t>
            </w:r>
          </w:p>
        </w:tc>
        <w:tc>
          <w:tcPr/>
          <w:p>
            <w:pPr>
              <w:pStyle w:val="Compact"/>
              <w:jc w:val="right"/>
            </w:pPr>
            <w:r>
              <w:t xml:space="preserve">-32.81%</w:t>
            </w:r>
          </w:p>
        </w:tc>
        <w:tc>
          <w:tcPr/>
          <w:p>
            <w:pPr>
              <w:pStyle w:val="Compact"/>
            </w:pPr>
            <w:r>
              <w:rPr>
                <w:rFonts w:hint="eastAsia"/>
              </w:rPr>
              <w:t xml:space="preserve">回避，待重新站回双均线</w:t>
            </w:r>
          </w:p>
        </w:tc>
      </w:tr>
      <w:tr>
        <w:tc>
          <w:tcPr/>
          <w:p>
            <w:pPr>
              <w:pStyle w:val="Compact"/>
            </w:pPr>
            <w:r>
              <w:rPr>
                <w:rFonts w:hint="eastAsia"/>
              </w:rPr>
              <w:t xml:space="preserve">浪潮信息</w:t>
            </w:r>
          </w:p>
        </w:tc>
        <w:tc>
          <w:tcPr/>
          <w:p>
            <w:pPr>
              <w:pStyle w:val="Compact"/>
            </w:pPr>
            <w:r>
              <w:t xml:space="preserve">D</w:t>
            </w:r>
          </w:p>
        </w:tc>
        <w:tc>
          <w:tcPr/>
          <w:p>
            <w:pPr>
              <w:pStyle w:val="Compact"/>
            </w:pPr>
            <w:r>
              <w:t xml:space="preserve">78.4205 / 75.7773</w:t>
            </w:r>
          </w:p>
        </w:tc>
        <w:tc>
          <w:tcPr/>
          <w:p>
            <w:pPr>
              <w:pStyle w:val="Compact"/>
              <w:jc w:val="right"/>
            </w:pPr>
            <w:r>
              <w:t xml:space="preserve">-14.09%</w:t>
            </w:r>
          </w:p>
        </w:tc>
        <w:tc>
          <w:tcPr/>
          <w:p>
            <w:pPr>
              <w:pStyle w:val="Compact"/>
            </w:pPr>
            <w:r>
              <w:rPr>
                <w:rFonts w:hint="eastAsia"/>
              </w:rPr>
              <w:t xml:space="preserve">跌破MA20，继续回避</w:t>
            </w:r>
          </w:p>
        </w:tc>
      </w:tr>
    </w:tbl>
    <w:p>
      <w:pPr>
        <w:pStyle w:val="BodyText"/>
      </w:pPr>
      <w:r>
        <w:t xml:space="preserve">📌</w:t>
      </w:r>
      <w:r>
        <w:t xml:space="preserve"> </w:t>
      </w:r>
      <w:r>
        <w:rPr>
          <w:rFonts w:hint="eastAsia"/>
          <w:b/>
          <w:bCs/>
        </w:rPr>
        <w:t xml:space="preserve">技术与资金冲突处理：</w:t>
      </w:r>
    </w:p>
    <w:p>
      <w:pPr>
        <w:pStyle w:val="Compact"/>
        <w:numPr>
          <w:ilvl w:val="0"/>
          <w:numId w:val="1036"/>
        </w:numPr>
      </w:pPr>
      <w:r>
        <w:rPr>
          <w:rFonts w:hint="eastAsia"/>
        </w:rPr>
        <w:t xml:space="preserve">资金榜反映9月7日资金集中，TickFlow评级反映截至9月4日的中期趋势状态，两者时间口径不同。</w:t>
      </w:r>
    </w:p>
    <w:p>
      <w:pPr>
        <w:pStyle w:val="Compact"/>
        <w:numPr>
          <w:ilvl w:val="0"/>
          <w:numId w:val="1036"/>
        </w:numPr>
      </w:pPr>
      <w:r>
        <w:rPr>
          <w:rFonts w:hint="eastAsia"/>
        </w:rPr>
        <w:t xml:space="preserve">9月7日单日大涨不自动等于中期右侧趋势完成修复。</w:t>
      </w:r>
    </w:p>
    <w:p>
      <w:pPr>
        <w:pStyle w:val="Compact"/>
        <w:numPr>
          <w:ilvl w:val="0"/>
          <w:numId w:val="1036"/>
        </w:numPr>
      </w:pPr>
      <w:r>
        <w:rPr>
          <w:rFonts w:hint="eastAsia"/>
        </w:rPr>
        <w:t xml:space="preserve">今日只能观察9月7日上涨能否延续为“站稳均线—缩量回踩—再次放量”的二波结构。</w:t>
      </w:r>
    </w:p>
    <w:p>
      <w:pPr>
        <w:pStyle w:val="Compact"/>
        <w:numPr>
          <w:ilvl w:val="0"/>
          <w:numId w:val="1036"/>
        </w:numPr>
      </w:pPr>
      <w:r>
        <w:rPr>
          <w:rFonts w:hint="eastAsia"/>
        </w:rPr>
        <w:t xml:space="preserve">当前没有A/B级右侧标的，因此报告不提供无条件买入结论。</w:t>
      </w:r>
    </w:p>
    <w:p>
      <w:r>
        <w:pict>
          <v:rect style="width:0;height:1.5pt" o:hralign="center" o:hrstd="t" o:hr="t"/>
        </w:pict>
      </w:r>
    </w:p>
    <w:bookmarkEnd w:id="48"/>
    <w:bookmarkEnd w:id="49"/>
    <w:bookmarkStart w:id="52" w:name="回避清单"/>
    <w:p>
      <w:pPr>
        <w:pStyle w:val="Heading2"/>
      </w:pPr>
      <w:r>
        <w:t xml:space="preserve">🚫 ⑬ </w:t>
      </w:r>
      <w:r>
        <w:rPr>
          <w:rFonts w:hint="eastAsia"/>
        </w:rPr>
        <w:t xml:space="preserve">回避清单</w:t>
      </w:r>
    </w:p>
    <w:bookmarkStart w:id="50" w:name="明确回避"/>
    <w:p>
      <w:pPr>
        <w:pStyle w:val="Heading3"/>
      </w:pPr>
      <w:r>
        <w:t xml:space="preserve">⚠️ </w:t>
      </w:r>
      <w:r>
        <w:rPr>
          <w:rFonts w:hint="eastAsia"/>
        </w:rPr>
        <w:t xml:space="preserve">明确回避</w:t>
      </w:r>
    </w:p>
    <w:p>
      <w:pPr>
        <w:pStyle w:val="Compact"/>
        <w:numPr>
          <w:ilvl w:val="0"/>
          <w:numId w:val="1037"/>
        </w:numPr>
      </w:pPr>
      <w:r>
        <w:rPr>
          <w:rFonts w:hint="eastAsia"/>
        </w:rPr>
        <w:t xml:space="preserve">中际旭创、新易盛、天孚通信等昨日大涨后竞价继续高开的追涨交易。</w:t>
      </w:r>
    </w:p>
    <w:p>
      <w:pPr>
        <w:pStyle w:val="Compact"/>
        <w:numPr>
          <w:ilvl w:val="0"/>
          <w:numId w:val="1037"/>
        </w:numPr>
      </w:pPr>
      <w:r>
        <w:rPr>
          <w:rFonts w:hint="eastAsia"/>
        </w:rPr>
        <w:t xml:space="preserve">TickFlow评级为D且不能重新站稳MA20、MA60的重点股。</w:t>
      </w:r>
    </w:p>
    <w:p>
      <w:pPr>
        <w:pStyle w:val="Compact"/>
        <w:numPr>
          <w:ilvl w:val="0"/>
          <w:numId w:val="1037"/>
        </w:numPr>
      </w:pPr>
      <w:r>
        <w:rPr>
          <w:rFonts w:hint="eastAsia"/>
        </w:rPr>
        <w:t xml:space="preserve">长鑫科技在MA60数据不足、因技术数据不足暂不评级状态下的重仓交易。</w:t>
      </w:r>
    </w:p>
    <w:p>
      <w:pPr>
        <w:pStyle w:val="Compact"/>
        <w:numPr>
          <w:ilvl w:val="0"/>
          <w:numId w:val="1037"/>
        </w:numPr>
      </w:pPr>
      <w:r>
        <w:rPr>
          <w:rFonts w:hint="eastAsia"/>
        </w:rPr>
        <w:t xml:space="preserve">证券、银行、保险仅因单一重组新闻出现脉冲时的追高。</w:t>
      </w:r>
    </w:p>
    <w:p>
      <w:pPr>
        <w:pStyle w:val="Compact"/>
        <w:numPr>
          <w:ilvl w:val="0"/>
          <w:numId w:val="1037"/>
        </w:numPr>
      </w:pPr>
      <w:r>
        <w:rPr>
          <w:rFonts w:hint="eastAsia"/>
        </w:rPr>
        <w:t xml:space="preserve">软件开发、IT服务和广告营销在资金尚未回流前的题材扩散。</w:t>
      </w:r>
    </w:p>
    <w:p>
      <w:pPr>
        <w:pStyle w:val="Compact"/>
        <w:numPr>
          <w:ilvl w:val="0"/>
          <w:numId w:val="1037"/>
        </w:numPr>
      </w:pPr>
      <w:r>
        <w:rPr>
          <w:rFonts w:hint="eastAsia"/>
        </w:rPr>
        <w:t xml:space="preserve">科创、创业板成长ETF仍处净赎回时，盲目扩大成长风格仓位。</w:t>
      </w:r>
    </w:p>
    <w:p>
      <w:pPr>
        <w:pStyle w:val="Compact"/>
        <w:numPr>
          <w:ilvl w:val="0"/>
          <w:numId w:val="1037"/>
        </w:numPr>
      </w:pPr>
      <w:r>
        <w:rPr>
          <w:rFonts w:hint="eastAsia"/>
        </w:rPr>
        <w:t xml:space="preserve">任何把9月7日美股休市误读为“隔夜美股半导体再次大涨”的交易。</w:t>
      </w:r>
    </w:p>
    <w:bookmarkEnd w:id="50"/>
    <w:bookmarkStart w:id="51" w:name="行为纪律"/>
    <w:p>
      <w:pPr>
        <w:pStyle w:val="Heading3"/>
      </w:pPr>
      <w:r>
        <w:t xml:space="preserve">🧠 </w:t>
      </w:r>
      <w:r>
        <w:rPr>
          <w:rFonts w:hint="eastAsia"/>
        </w:rPr>
        <w:t xml:space="preserve">行为纪律</w:t>
      </w:r>
    </w:p>
    <w:p>
      <w:pPr>
        <w:pStyle w:val="Compact"/>
        <w:numPr>
          <w:ilvl w:val="0"/>
          <w:numId w:val="1038"/>
        </w:numPr>
      </w:pPr>
      <w:r>
        <w:rPr>
          <w:rFonts w:hint="eastAsia"/>
        </w:rPr>
        <w:t xml:space="preserve">不因昨日涨幅锚定更高目标价。</w:t>
      </w:r>
    </w:p>
    <w:p>
      <w:pPr>
        <w:pStyle w:val="Compact"/>
        <w:numPr>
          <w:ilvl w:val="0"/>
          <w:numId w:val="1038"/>
        </w:numPr>
      </w:pPr>
      <w:r>
        <w:rPr>
          <w:rFonts w:hint="eastAsia"/>
        </w:rPr>
        <w:t xml:space="preserve">不因海外映射产生确认偏误。</w:t>
      </w:r>
    </w:p>
    <w:p>
      <w:pPr>
        <w:pStyle w:val="Compact"/>
        <w:numPr>
          <w:ilvl w:val="0"/>
          <w:numId w:val="1038"/>
        </w:numPr>
      </w:pPr>
      <w:r>
        <w:rPr>
          <w:rFonts w:hint="eastAsia"/>
        </w:rPr>
        <w:t xml:space="preserve">不因核心股高开制造的注意力效应追单。</w:t>
      </w:r>
    </w:p>
    <w:p>
      <w:pPr>
        <w:pStyle w:val="Compact"/>
        <w:numPr>
          <w:ilvl w:val="0"/>
          <w:numId w:val="1038"/>
        </w:numPr>
      </w:pPr>
      <w:r>
        <w:rPr>
          <w:rFonts w:hint="eastAsia"/>
        </w:rPr>
        <w:t xml:space="preserve">不在板块一致性最强时扩大仓位。</w:t>
      </w:r>
    </w:p>
    <w:p>
      <w:pPr>
        <w:pStyle w:val="Compact"/>
        <w:numPr>
          <w:ilvl w:val="0"/>
          <w:numId w:val="1038"/>
        </w:numPr>
      </w:pPr>
      <w:r>
        <w:rPr>
          <w:rFonts w:hint="eastAsia"/>
        </w:rPr>
        <w:t xml:space="preserve">已有浮盈优先执行逢高兑现，不把短线利润转化为长期套牢。</w:t>
      </w:r>
    </w:p>
    <w:p>
      <w:r>
        <w:pict>
          <v:rect style="width:0;height:1.5pt" o:hralign="center" o:hrstd="t" o:hr="t"/>
        </w:pict>
      </w:r>
    </w:p>
    <w:bookmarkEnd w:id="51"/>
    <w:bookmarkEnd w:id="52"/>
    <w:bookmarkStart w:id="53" w:name="风险日历"/>
    <w:p>
      <w:pPr>
        <w:pStyle w:val="Heading2"/>
      </w:pPr>
      <w:r>
        <w:t xml:space="preserve">📅 ⑭ </w:t>
      </w:r>
      <w:r>
        <w:rPr>
          <w:rFonts w:hint="eastAsia"/>
        </w:rPr>
        <w:t xml:space="preserve">风险日历</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时间</w:t>
            </w:r>
          </w:p>
        </w:tc>
        <w:tc>
          <w:tcPr/>
          <w:p>
            <w:pPr>
              <w:pStyle w:val="Compact"/>
            </w:pPr>
            <w:r>
              <w:rPr>
                <w:rFonts w:hint="eastAsia"/>
              </w:rPr>
              <w:t xml:space="preserve">事件</w:t>
            </w:r>
          </w:p>
        </w:tc>
        <w:tc>
          <w:tcPr/>
          <w:p>
            <w:pPr>
              <w:pStyle w:val="Compact"/>
            </w:pPr>
            <w:r>
              <w:rPr>
                <w:rFonts w:hint="eastAsia"/>
              </w:rPr>
              <w:t xml:space="preserve">风险等级</w:t>
            </w:r>
          </w:p>
        </w:tc>
        <w:tc>
          <w:tcPr/>
          <w:p>
            <w:pPr>
              <w:pStyle w:val="Compact"/>
            </w:pPr>
            <w:r>
              <w:rPr>
                <w:rFonts w:hint="eastAsia"/>
              </w:rPr>
              <w:t xml:space="preserve">处理</w:t>
            </w:r>
          </w:p>
        </w:tc>
      </w:tr>
      <w:tr>
        <w:tc>
          <w:tcPr/>
          <w:p>
            <w:pPr>
              <w:pStyle w:val="Compact"/>
            </w:pPr>
            <w:r>
              <w:rPr>
                <w:rFonts w:hint="eastAsia"/>
              </w:rPr>
              <w:t xml:space="preserve">9月8日盘前</w:t>
            </w:r>
          </w:p>
        </w:tc>
        <w:tc>
          <w:tcPr/>
          <w:p>
            <w:pPr>
              <w:pStyle w:val="Compact"/>
            </w:pPr>
            <w:r>
              <w:rPr>
                <w:rFonts w:hint="eastAsia"/>
              </w:rPr>
              <w:t xml:space="preserve">美股9月7日休市后的信息真空</w:t>
            </w:r>
          </w:p>
        </w:tc>
        <w:tc>
          <w:tcPr/>
          <w:p>
            <w:pPr>
              <w:pStyle w:val="Compact"/>
            </w:pPr>
            <w:r>
              <w:rPr>
                <w:rFonts w:hint="eastAsia"/>
              </w:rPr>
              <w:t xml:space="preserve">中</w:t>
            </w:r>
          </w:p>
        </w:tc>
        <w:tc>
          <w:tcPr/>
          <w:p>
            <w:pPr>
              <w:pStyle w:val="Compact"/>
            </w:pPr>
            <w:r>
              <w:rPr>
                <w:rFonts w:hint="eastAsia"/>
              </w:rPr>
              <w:t xml:space="preserve">不误读静态行情</w:t>
            </w:r>
          </w:p>
        </w:tc>
      </w:tr>
      <w:tr>
        <w:tc>
          <w:tcPr/>
          <w:p>
            <w:pPr>
              <w:pStyle w:val="Compact"/>
            </w:pPr>
            <w:r>
              <w:rPr>
                <w:rFonts w:hint="eastAsia"/>
              </w:rPr>
              <w:t xml:space="preserve">9月8日开盘</w:t>
            </w:r>
          </w:p>
        </w:tc>
        <w:tc>
          <w:tcPr/>
          <w:p>
            <w:pPr>
              <w:pStyle w:val="Compact"/>
            </w:pPr>
            <w:r>
              <w:rPr>
                <w:rFonts w:hint="eastAsia"/>
              </w:rPr>
              <w:t xml:space="preserve">科技硬件高开兑现风险</w:t>
            </w:r>
          </w:p>
        </w:tc>
        <w:tc>
          <w:tcPr/>
          <w:p>
            <w:pPr>
              <w:pStyle w:val="Compact"/>
            </w:pPr>
            <w:r>
              <w:rPr>
                <w:rFonts w:hint="eastAsia"/>
              </w:rPr>
              <w:t xml:space="preserve">高</w:t>
            </w:r>
          </w:p>
        </w:tc>
        <w:tc>
          <w:tcPr/>
          <w:p>
            <w:pPr>
              <w:pStyle w:val="Compact"/>
            </w:pPr>
            <w:r>
              <w:rPr>
                <w:rFonts w:hint="eastAsia"/>
              </w:rPr>
              <w:t xml:space="preserve">不追竞价，观察分歧承接</w:t>
            </w:r>
          </w:p>
        </w:tc>
      </w:tr>
      <w:tr>
        <w:tc>
          <w:tcPr/>
          <w:p>
            <w:pPr>
              <w:pStyle w:val="Compact"/>
            </w:pPr>
            <w:r>
              <w:rPr>
                <w:rFonts w:hint="eastAsia"/>
              </w:rPr>
              <w:t xml:space="preserve">9月8日盘中</w:t>
            </w:r>
          </w:p>
        </w:tc>
        <w:tc>
          <w:tcPr/>
          <w:p>
            <w:pPr>
              <w:pStyle w:val="Compact"/>
            </w:pPr>
            <w:r>
              <w:rPr>
                <w:rFonts w:hint="eastAsia"/>
              </w:rPr>
              <w:t xml:space="preserve">成长ETF净赎回与科技股上涨背离</w:t>
            </w:r>
          </w:p>
        </w:tc>
        <w:tc>
          <w:tcPr/>
          <w:p>
            <w:pPr>
              <w:pStyle w:val="Compact"/>
            </w:pPr>
            <w:r>
              <w:rPr>
                <w:rFonts w:hint="eastAsia"/>
              </w:rPr>
              <w:t xml:space="preserve">高</w:t>
            </w:r>
          </w:p>
        </w:tc>
        <w:tc>
          <w:tcPr/>
          <w:p>
            <w:pPr>
              <w:pStyle w:val="Compact"/>
            </w:pPr>
            <w:r>
              <w:rPr>
                <w:rFonts w:hint="eastAsia"/>
              </w:rPr>
              <w:t xml:space="preserve">关注资金是否继续流出</w:t>
            </w:r>
          </w:p>
        </w:tc>
      </w:tr>
      <w:tr>
        <w:tc>
          <w:tcPr/>
          <w:p>
            <w:pPr>
              <w:pStyle w:val="Compact"/>
            </w:pPr>
            <w:r>
              <w:rPr>
                <w:rFonts w:hint="eastAsia"/>
              </w:rPr>
              <w:t xml:space="preserve">9月15日起</w:t>
            </w:r>
          </w:p>
        </w:tc>
        <w:tc>
          <w:tcPr/>
          <w:p>
            <w:pPr>
              <w:pStyle w:val="Compact"/>
            </w:pPr>
            <w:r>
              <w:rPr>
                <w:rFonts w:hint="eastAsia"/>
              </w:rPr>
              <w:t xml:space="preserve">中金公司A股计划连续停牌</w:t>
            </w:r>
          </w:p>
        </w:tc>
        <w:tc>
          <w:tcPr/>
          <w:p>
            <w:pPr>
              <w:pStyle w:val="Compact"/>
            </w:pPr>
            <w:r>
              <w:rPr>
                <w:rFonts w:hint="eastAsia"/>
              </w:rPr>
              <w:t xml:space="preserve">中</w:t>
            </w:r>
          </w:p>
        </w:tc>
        <w:tc>
          <w:tcPr/>
          <w:p>
            <w:pPr>
              <w:pStyle w:val="Compact"/>
            </w:pPr>
            <w:r>
              <w:rPr>
                <w:rFonts w:hint="eastAsia"/>
              </w:rPr>
              <w:t xml:space="preserve">以交易所正式公告为准</w:t>
            </w:r>
          </w:p>
        </w:tc>
      </w:tr>
      <w:tr>
        <w:tc>
          <w:tcPr/>
          <w:p>
            <w:pPr>
              <w:pStyle w:val="Compact"/>
            </w:pPr>
            <w:r>
              <w:rPr>
                <w:rFonts w:hint="eastAsia"/>
              </w:rPr>
              <w:t xml:space="preserve">日期数据源缺失</w:t>
            </w:r>
          </w:p>
        </w:tc>
        <w:tc>
          <w:tcPr/>
          <w:p>
            <w:pPr>
              <w:pStyle w:val="Compact"/>
            </w:pPr>
            <w:r>
              <w:rPr>
                <w:rFonts w:hint="eastAsia"/>
              </w:rPr>
              <w:t xml:space="preserve">国内外宏观数据及央行事件</w:t>
            </w:r>
          </w:p>
        </w:tc>
        <w:tc>
          <w:tcPr/>
          <w:p>
            <w:pPr>
              <w:pStyle w:val="Compact"/>
            </w:pPr>
            <w:r>
              <w:rPr>
                <w:rFonts w:hint="eastAsia"/>
              </w:rPr>
              <w:t xml:space="preserve">数据源缺失，不估算</w:t>
            </w:r>
          </w:p>
        </w:tc>
        <w:tc>
          <w:tcPr/>
          <w:p>
            <w:pPr>
              <w:pStyle w:val="Compact"/>
            </w:pPr>
            <w:r>
              <w:rPr>
                <w:rFonts w:hint="eastAsia"/>
              </w:rPr>
              <w:t xml:space="preserve">不补数，不预设方向</w:t>
            </w:r>
          </w:p>
        </w:tc>
      </w:tr>
    </w:tbl>
    <w:p>
      <w:pPr>
        <w:pStyle w:val="BodyText"/>
      </w:pPr>
      <w:r>
        <w:rPr>
          <w:rFonts w:hint="eastAsia"/>
        </w:rPr>
        <w:t xml:space="preserve">此外，本轮公告主源失败，风险事件分类中解禁、减持、业绩预警、问询函、处罚、减值、停复牌等项目均未获得交易所公告主源的完整验证。分类计数为0不代表真实市场不存在相关事件。</w:t>
      </w:r>
    </w:p>
    <w:p>
      <w:r>
        <w:pict>
          <v:rect style="width:0;height:1.5pt" o:hralign="center" o:hrstd="t" o:hr="t"/>
        </w:pict>
      </w:r>
    </w:p>
    <w:bookmarkEnd w:id="53"/>
    <w:bookmarkStart w:id="56" w:name="外资与离岸风险偏好"/>
    <w:p>
      <w:pPr>
        <w:pStyle w:val="Heading2"/>
      </w:pPr>
      <w:r>
        <w:t xml:space="preserve">🌊 ⑮ </w:t>
      </w:r>
      <w:r>
        <w:rPr>
          <w:rFonts w:hint="eastAsia"/>
        </w:rPr>
        <w:t xml:space="preserve">外资与离岸风险偏好</w:t>
      </w:r>
    </w:p>
    <w:bookmarkStart w:id="54" w:name="已核验指标"/>
    <w:p>
      <w:pPr>
        <w:pStyle w:val="Heading3"/>
      </w:pPr>
      <w:r>
        <w:t xml:space="preserve">📊 </w:t>
      </w:r>
      <w:r>
        <w:rPr>
          <w:rFonts w:hint="eastAsia"/>
        </w:rPr>
        <w:t xml:space="preserve">已核验指标</w:t>
      </w:r>
    </w:p>
    <w:p>
      <w:pPr>
        <w:pStyle w:val="Compact"/>
        <w:numPr>
          <w:ilvl w:val="0"/>
          <w:numId w:val="1039"/>
        </w:numPr>
      </w:pPr>
      <w:r>
        <w:rPr>
          <w:rFonts w:hint="eastAsia"/>
        </w:rPr>
        <w:t xml:space="preserve">富时中国A50期指：14652.5，🟢</w:t>
      </w:r>
      <w:r>
        <w:t xml:space="preserve"> -0.11%。</w:t>
      </w:r>
    </w:p>
    <w:p>
      <w:pPr>
        <w:pStyle w:val="Compact"/>
        <w:numPr>
          <w:ilvl w:val="0"/>
          <w:numId w:val="1039"/>
        </w:numPr>
      </w:pPr>
      <w:r>
        <w:rPr>
          <w:rFonts w:hint="eastAsia"/>
        </w:rPr>
        <w:t xml:space="preserve">美元兑离岸人民币：6.7074，人民币升值0.03%。</w:t>
      </w:r>
    </w:p>
    <w:p>
      <w:pPr>
        <w:pStyle w:val="Compact"/>
        <w:numPr>
          <w:ilvl w:val="0"/>
          <w:numId w:val="1039"/>
        </w:numPr>
      </w:pPr>
      <w:r>
        <w:rPr>
          <w:rFonts w:hint="eastAsia"/>
        </w:rPr>
        <w:t xml:space="preserve">恒生指数：25650.871，🟢</w:t>
      </w:r>
      <w:r>
        <w:t xml:space="preserve"> -0.93%。</w:t>
      </w:r>
    </w:p>
    <w:p>
      <w:pPr>
        <w:pStyle w:val="Compact"/>
        <w:numPr>
          <w:ilvl w:val="0"/>
          <w:numId w:val="1039"/>
        </w:numPr>
      </w:pPr>
      <w:r>
        <w:rPr>
          <w:rFonts w:hint="eastAsia"/>
        </w:rPr>
        <w:t xml:space="preserve">沪深300ETF最新估算净申购12.595212亿元，连续3个区间流入。</w:t>
      </w:r>
    </w:p>
    <w:p>
      <w:pPr>
        <w:pStyle w:val="Compact"/>
        <w:numPr>
          <w:ilvl w:val="0"/>
          <w:numId w:val="1039"/>
        </w:numPr>
      </w:pPr>
      <w:r>
        <w:rPr>
          <w:rFonts w:hint="eastAsia"/>
        </w:rPr>
        <w:t xml:space="preserve">上证50ETF最新估算净申购6.274422亿元，连续3个区间流入。</w:t>
      </w:r>
    </w:p>
    <w:bookmarkEnd w:id="54"/>
    <w:bookmarkStart w:id="55" w:name="综合判断"/>
    <w:p>
      <w:pPr>
        <w:pStyle w:val="Heading3"/>
      </w:pPr>
      <w:r>
        <w:t xml:space="preserve">📌 </w:t>
      </w:r>
      <w:r>
        <w:rPr>
          <w:rFonts w:hint="eastAsia"/>
        </w:rPr>
        <w:t xml:space="preserve">综合判断</w:t>
      </w:r>
    </w:p>
    <w:p>
      <w:pPr>
        <w:pStyle w:val="Compact"/>
        <w:numPr>
          <w:ilvl w:val="0"/>
          <w:numId w:val="1040"/>
        </w:numPr>
      </w:pPr>
      <w:r>
        <w:rPr>
          <w:rFonts w:hint="eastAsia"/>
        </w:rPr>
        <w:t xml:space="preserve">汇率端平稳，人民币小幅升值，没有出现明显的离岸贬值压力。</w:t>
      </w:r>
    </w:p>
    <w:p>
      <w:pPr>
        <w:pStyle w:val="Compact"/>
        <w:numPr>
          <w:ilvl w:val="0"/>
          <w:numId w:val="1040"/>
        </w:numPr>
      </w:pPr>
      <w:r>
        <w:rPr>
          <w:rFonts w:hint="eastAsia"/>
        </w:rPr>
        <w:t xml:space="preserve">A50期指轻微下跌、恒生指数偏弱，说明离岸风险偏好没有形成全面上行。</w:t>
      </w:r>
    </w:p>
    <w:p>
      <w:pPr>
        <w:pStyle w:val="Compact"/>
        <w:numPr>
          <w:ilvl w:val="0"/>
          <w:numId w:val="1040"/>
        </w:numPr>
      </w:pPr>
      <w:r>
        <w:rPr>
          <w:rFonts w:hint="eastAsia"/>
        </w:rPr>
        <w:t xml:space="preserve">境内宽基ETF持续流入对大盘风险下限形成支撑，但不能直接等同于外资净流入。</w:t>
      </w:r>
    </w:p>
    <w:p>
      <w:pPr>
        <w:pStyle w:val="Compact"/>
        <w:numPr>
          <w:ilvl w:val="0"/>
          <w:numId w:val="1040"/>
        </w:numPr>
      </w:pPr>
      <w:r>
        <w:rPr>
          <w:rFonts w:hint="eastAsia"/>
        </w:rPr>
        <w:t xml:space="preserve">北向资金或其他外资净买入具体数值在本轮采集JSON中当前数据源未返回，禁止补数。</w:t>
      </w:r>
    </w:p>
    <w:p>
      <w:pPr>
        <w:pStyle w:val="FirstParagraph"/>
      </w:pPr>
      <w:r>
        <w:rPr>
          <w:rFonts w:hint="eastAsia"/>
          <w:b/>
          <w:bCs/>
        </w:rPr>
        <w:t xml:space="preserve">结论：外部风险偏好中性偏谨慎，汇率稳定是正向因素，港股与A50偏弱是约束因素。</w:t>
      </w:r>
    </w:p>
    <w:p>
      <w:r>
        <w:pict>
          <v:rect style="width:0;height:1.5pt" o:hralign="center" o:hrstd="t" o:hr="t"/>
        </w:pict>
      </w:r>
    </w:p>
    <w:bookmarkEnd w:id="55"/>
    <w:bookmarkEnd w:id="56"/>
    <w:bookmarkStart w:id="60" w:name="今日执行清单"/>
    <w:p>
      <w:pPr>
        <w:pStyle w:val="Heading2"/>
      </w:pPr>
      <w:r>
        <w:t xml:space="preserve">💡 ⑯ </w:t>
      </w:r>
      <w:r>
        <w:rPr>
          <w:rFonts w:hint="eastAsia"/>
        </w:rPr>
        <w:t xml:space="preserve">今日执行清单</w:t>
      </w:r>
    </w:p>
    <w:bookmarkStart w:id="57" w:name="竞价阶段"/>
    <w:p>
      <w:pPr>
        <w:pStyle w:val="Heading3"/>
      </w:pPr>
      <w:r>
        <w:rPr>
          <w:rFonts w:hint="eastAsia"/>
        </w:rPr>
        <w:t xml:space="preserve">竞价阶段</w:t>
      </w:r>
    </w:p>
    <w:p>
      <w:pPr>
        <w:pStyle w:val="Compact"/>
        <w:numPr>
          <w:ilvl w:val="0"/>
          <w:numId w:val="1041"/>
        </w:numPr>
      </w:pPr>
      <w:r>
        <w:rPr>
          <w:rFonts w:hint="eastAsia"/>
        </w:rPr>
        <w:t xml:space="preserve">科技硬件大幅高开：不追。</w:t>
      </w:r>
    </w:p>
    <w:p>
      <w:pPr>
        <w:pStyle w:val="Compact"/>
        <w:numPr>
          <w:ilvl w:val="0"/>
          <w:numId w:val="1041"/>
        </w:numPr>
      </w:pPr>
      <w:r>
        <w:rPr>
          <w:rFonts w:hint="eastAsia"/>
        </w:rPr>
        <w:t xml:space="preserve">金融因重组消息异动：先看板块资金，不做新闻脉冲交易。</w:t>
      </w:r>
    </w:p>
    <w:p>
      <w:pPr>
        <w:pStyle w:val="Compact"/>
        <w:numPr>
          <w:ilvl w:val="0"/>
          <w:numId w:val="1041"/>
        </w:numPr>
      </w:pPr>
      <w:r>
        <w:rPr>
          <w:rFonts w:hint="eastAsia"/>
        </w:rPr>
        <w:t xml:space="preserve">A50偏弱叠加指数低开：观察宽基权重是否承接。</w:t>
      </w:r>
    </w:p>
    <w:bookmarkEnd w:id="57"/>
    <w:bookmarkStart w:id="58" w:name="开盘后"/>
    <w:p>
      <w:pPr>
        <w:pStyle w:val="Heading3"/>
      </w:pPr>
      <w:r>
        <w:rPr>
          <w:rFonts w:hint="eastAsia"/>
        </w:rPr>
        <w:t xml:space="preserve">开盘后</w:t>
      </w:r>
    </w:p>
    <w:p>
      <w:pPr>
        <w:pStyle w:val="Compact"/>
        <w:numPr>
          <w:ilvl w:val="0"/>
          <w:numId w:val="1042"/>
        </w:numPr>
      </w:pPr>
      <w:r>
        <w:rPr>
          <w:rFonts w:hint="eastAsia"/>
        </w:rPr>
        <w:t xml:space="preserve">第一观察方向：通信设备、元件、半导体。</w:t>
      </w:r>
    </w:p>
    <w:p>
      <w:pPr>
        <w:pStyle w:val="Compact"/>
        <w:numPr>
          <w:ilvl w:val="0"/>
          <w:numId w:val="1042"/>
        </w:numPr>
      </w:pPr>
      <w:r>
        <w:rPr>
          <w:rFonts w:hint="eastAsia"/>
        </w:rPr>
        <w:t xml:space="preserve">第一验证信号：昨日核心股能否完成分歧转强。</w:t>
      </w:r>
    </w:p>
    <w:p>
      <w:pPr>
        <w:pStyle w:val="Compact"/>
        <w:numPr>
          <w:ilvl w:val="0"/>
          <w:numId w:val="1042"/>
        </w:numPr>
      </w:pPr>
      <w:r>
        <w:rPr>
          <w:rFonts w:hint="eastAsia"/>
        </w:rPr>
        <w:t xml:space="preserve">第一风险信号：科技高开低走且成交额不能放大。</w:t>
      </w:r>
    </w:p>
    <w:p>
      <w:pPr>
        <w:pStyle w:val="Compact"/>
        <w:numPr>
          <w:ilvl w:val="0"/>
          <w:numId w:val="1042"/>
        </w:numPr>
      </w:pPr>
      <w:r>
        <w:rPr>
          <w:rFonts w:hint="eastAsia"/>
        </w:rPr>
        <w:t xml:space="preserve">第一纪律：没有右侧确认，不把观察仓升级为重仓。</w:t>
      </w:r>
    </w:p>
    <w:bookmarkEnd w:id="58"/>
    <w:bookmarkStart w:id="59" w:name="最终观点"/>
    <w:p>
      <w:pPr>
        <w:pStyle w:val="Heading3"/>
      </w:pPr>
      <w:r>
        <w:t xml:space="preserve">🎯 </w:t>
      </w:r>
      <w:r>
        <w:rPr>
          <w:rFonts w:hint="eastAsia"/>
        </w:rPr>
        <w:t xml:space="preserve">最终观点</w:t>
      </w:r>
    </w:p>
    <w:p>
      <w:pPr>
        <w:pStyle w:val="FirstParagraph"/>
      </w:pPr>
      <w:r>
        <w:rPr>
          <w:rFonts w:hint="eastAsia"/>
          <w:b/>
          <w:bCs/>
        </w:rPr>
        <w:t xml:space="preserve">市场风险下限改善，但科技主线已经进入高关注、高一致性状态。今日不是追涨日，而是验证日。</w:t>
      </w:r>
    </w:p>
    <w:p>
      <w:pPr>
        <w:pStyle w:val="Compact"/>
        <w:numPr>
          <w:ilvl w:val="0"/>
          <w:numId w:val="1043"/>
        </w:numPr>
      </w:pPr>
      <w:r>
        <w:rPr>
          <w:rFonts w:hint="eastAsia"/>
        </w:rPr>
        <w:t xml:space="preserve">指数层面：宽基ETF连续流入、QVIX降温，系统性恐慌风险下降。</w:t>
      </w:r>
    </w:p>
    <w:p>
      <w:pPr>
        <w:pStyle w:val="Compact"/>
        <w:numPr>
          <w:ilvl w:val="0"/>
          <w:numId w:val="1043"/>
        </w:numPr>
      </w:pPr>
      <w:r>
        <w:rPr>
          <w:rFonts w:hint="eastAsia"/>
        </w:rPr>
        <w:t xml:space="preserve">风格层面：成长仍占优，但成交额缩减和成长ETF净赎回限制上行质量。</w:t>
      </w:r>
    </w:p>
    <w:p>
      <w:pPr>
        <w:pStyle w:val="Compact"/>
        <w:numPr>
          <w:ilvl w:val="0"/>
          <w:numId w:val="1043"/>
        </w:numPr>
      </w:pPr>
      <w:r>
        <w:rPr>
          <w:rFonts w:hint="eastAsia"/>
        </w:rPr>
        <w:t xml:space="preserve">主线层面：通信设备、元件、半导体资金最强，仍是唯一需要重点跟踪的方向。</w:t>
      </w:r>
    </w:p>
    <w:p>
      <w:pPr>
        <w:pStyle w:val="Compact"/>
        <w:numPr>
          <w:ilvl w:val="0"/>
          <w:numId w:val="1043"/>
        </w:numPr>
      </w:pPr>
      <w:r>
        <w:rPr>
          <w:rFonts w:hint="eastAsia"/>
        </w:rPr>
        <w:t xml:space="preserve">个股层面：重点股尚无A/B级右侧确认，昨日大涨只能视为趋势修复尝试，不能直接视为二波买点。</w:t>
      </w:r>
    </w:p>
    <w:p>
      <w:pPr>
        <w:pStyle w:val="Compact"/>
        <w:numPr>
          <w:ilvl w:val="0"/>
          <w:numId w:val="1043"/>
        </w:numPr>
      </w:pPr>
      <w:r>
        <w:rPr>
          <w:rFonts w:hint="eastAsia"/>
        </w:rPr>
        <w:t xml:space="preserve">操作层面：基准仓位50%，高开兑现降至35%；只做分歧转强，不做一致性追高。</w:t>
      </w:r>
    </w:p>
    <w:bookmarkEnd w:id="59"/>
    <w:bookmarkEnd w:id="60"/>
    <w:bookmarkStart w:id="61" w:name="两融宽基etf成交额恐慌联合信号-1"/>
    <w:p>
      <w:pPr>
        <w:pStyle w:val="Heading2"/>
      </w:pPr>
      <w:r>
        <w:t xml:space="preserve">💧 </w:t>
      </w:r>
      <w:r>
        <w:rPr>
          <w:rFonts w:hint="eastAsia"/>
        </w:rPr>
        <w:t xml:space="preserve">两融·宽基ETF·成交额·恐慌联合信号</w:t>
      </w:r>
    </w:p>
    <w:p>
      <w:pPr>
        <w:pStyle w:val="Compact"/>
        <w:numPr>
          <w:ilvl w:val="0"/>
          <w:numId w:val="1044"/>
        </w:numPr>
      </w:pPr>
      <w:r>
        <w:rPr>
          <w:rFonts w:hint="eastAsia"/>
          <w:b/>
          <w:bCs/>
        </w:rPr>
        <w:t xml:space="preserve">结论</w:t>
      </w:r>
      <w:r>
        <w:rPr>
          <w:rFonts w:hint="eastAsia"/>
        </w:rPr>
        <w:t xml:space="preserve">：两融截至2026-09-04已结算26378.40亿元（较前一结算日减少188.62亿元），T+1滞后，2026-09-08当日两融尚未发布｜宽基ETF持续净申购：上证50ETF6.27亿元、沪深300ETF12.60亿元、中证500ETF24.25亿元｜成交19642.3亿元｜300ETF</w:t>
      </w:r>
      <w:r>
        <w:t xml:space="preserve"> QVIX </w:t>
      </w:r>
      <w:r>
        <w:rPr>
          <w:rFonts w:hint="eastAsia"/>
        </w:rPr>
        <w:t xml:space="preserve">17.85、较峰值回落16.4%、高位降温｜联合信号确认</w:t>
      </w:r>
    </w:p>
    <w:p>
      <w:pPr>
        <w:pStyle w:val="Compact"/>
        <w:numPr>
          <w:ilvl w:val="0"/>
          <w:numId w:val="1044"/>
        </w:numPr>
      </w:pPr>
      <w:r>
        <w:rPr>
          <w:rFonts w:hint="eastAsia"/>
          <w:b/>
          <w:bCs/>
        </w:rPr>
        <w:t xml:space="preserve">盘前两融明细（T+1已结算）</w:t>
      </w:r>
      <w:r>
        <w:rPr>
          <w:rFonts w:hint="eastAsia"/>
        </w:rPr>
        <w:t xml:space="preserve">：</w:t>
      </w:r>
    </w:p>
    <w:p>
      <w:pPr>
        <w:pStyle w:val="Compact"/>
        <w:numPr>
          <w:ilvl w:val="1"/>
          <w:numId w:val="1045"/>
        </w:numPr>
      </w:pPr>
      <w:r>
        <w:rPr>
          <w:rFonts w:hint="eastAsia"/>
        </w:rPr>
        <w:t xml:space="preserve">数据日期：2026-09-04；报告日：2026-09-08。</w:t>
      </w:r>
    </w:p>
    <w:p>
      <w:pPr>
        <w:pStyle w:val="Compact"/>
        <w:numPr>
          <w:ilvl w:val="1"/>
          <w:numId w:val="1045"/>
        </w:numPr>
      </w:pPr>
      <w:r>
        <w:rPr>
          <w:rFonts w:hint="eastAsia"/>
        </w:rPr>
        <w:t xml:space="preserve">两融余额：26378.40亿元。</w:t>
      </w:r>
    </w:p>
    <w:p>
      <w:pPr>
        <w:pStyle w:val="Compact"/>
        <w:numPr>
          <w:ilvl w:val="1"/>
          <w:numId w:val="1045"/>
        </w:numPr>
      </w:pPr>
      <w:r>
        <w:rPr>
          <w:rFonts w:hint="eastAsia"/>
        </w:rPr>
        <w:t xml:space="preserve">融资余额：26092.57亿元。</w:t>
      </w:r>
    </w:p>
    <w:p>
      <w:pPr>
        <w:pStyle w:val="Compact"/>
        <w:numPr>
          <w:ilvl w:val="1"/>
          <w:numId w:val="1045"/>
        </w:numPr>
      </w:pPr>
      <w:r>
        <w:rPr>
          <w:rFonts w:hint="eastAsia"/>
        </w:rPr>
        <w:t xml:space="preserve">融券余额：285.83亿元。</w:t>
      </w:r>
    </w:p>
    <w:p>
      <w:pPr>
        <w:pStyle w:val="Compact"/>
        <w:numPr>
          <w:ilvl w:val="1"/>
          <w:numId w:val="1045"/>
        </w:numPr>
      </w:pPr>
      <w:r>
        <w:rPr>
          <w:rFonts w:hint="eastAsia"/>
        </w:rPr>
        <w:t xml:space="preserve">T+1提示：T+1滞后，2026-09-08当日两融尚未发布。</w:t>
      </w:r>
    </w:p>
    <w:p>
      <w:pPr>
        <w:pStyle w:val="Compact"/>
        <w:numPr>
          <w:ilvl w:val="0"/>
          <w:numId w:val="1044"/>
        </w:numPr>
      </w:pPr>
      <w:r>
        <w:rPr>
          <w:rFonts w:hint="eastAsia"/>
          <w:b/>
          <w:bCs/>
        </w:rPr>
        <w:t xml:space="preserve">较前一结算日（2026-09-03→2026-09-04）</w:t>
      </w:r>
      <w:r>
        <w:rPr>
          <w:rFonts w:hint="eastAsia"/>
        </w:rPr>
        <w:t xml:space="preserve">：两融余额减少188.62亿元；融资余额减少182.67亿元；融券余额减少5.95亿元。</w:t>
      </w:r>
    </w:p>
    <w:p>
      <w:pPr>
        <w:pStyle w:val="Compact"/>
        <w:numPr>
          <w:ilvl w:val="0"/>
          <w:numId w:val="1044"/>
        </w:numPr>
      </w:pPr>
      <w:r>
        <w:rPr>
          <w:rFonts w:hint="eastAsia"/>
          <w:b/>
          <w:bCs/>
        </w:rPr>
        <w:t xml:space="preserve">自动解读</w:t>
      </w:r>
      <w:r>
        <w:rPr>
          <w:rFonts w:hint="eastAsia"/>
        </w:rPr>
        <w:t xml:space="preserve">：本轮两融下降主要受融资余额变化影响；杠杆资金仍偏谨慎，盘前仓位应等待成交额与主线资金确认。</w:t>
      </w:r>
    </w:p>
    <w:p>
      <w:pPr>
        <w:pStyle w:val="Compact"/>
        <w:numPr>
          <w:ilvl w:val="0"/>
          <w:numId w:val="1044"/>
        </w:numPr>
      </w:pPr>
      <w:r>
        <w:rPr>
          <w:rFonts w:hint="eastAsia"/>
          <w:b/>
          <w:bCs/>
        </w:rPr>
        <w:t xml:space="preserve">两融口径</w:t>
      </w:r>
      <w:r>
        <w:rPr>
          <w:rFonts w:hint="eastAsia"/>
        </w:rPr>
        <w:t xml:space="preserve">：截至2026-09-04已结算；T+1滞后，2026-09-08当日两融尚未发布，来源东财全市场融资融券日频；只作杠杆资金背景，不作为报告日盘中实时确认，不把盘中估算冒充结算值。</w:t>
      </w:r>
    </w:p>
    <w:p>
      <w:pPr>
        <w:pStyle w:val="Compact"/>
        <w:numPr>
          <w:ilvl w:val="0"/>
          <w:numId w:val="1044"/>
        </w:numPr>
      </w:pPr>
      <w:r>
        <w:rPr>
          <w:rFonts w:hint="eastAsia"/>
          <w:b/>
          <w:bCs/>
        </w:rPr>
        <w:t xml:space="preserve">宽基ETF口径</w:t>
      </w:r>
      <w:r>
        <w:rPr>
          <w:rFonts w:hint="eastAsia"/>
        </w:rPr>
        <w:t xml:space="preserve">：官方ETF份额日差；净申购估算=份额变化×收盘/最新价；连续=最近至少2个区间均为正。</w:t>
      </w:r>
    </w:p>
    <w:p>
      <w:pPr>
        <w:pStyle w:val="Compact"/>
        <w:numPr>
          <w:ilvl w:val="0"/>
          <w:numId w:val="1044"/>
        </w:numPr>
      </w:pPr>
      <w:r>
        <w:rPr>
          <w:rFonts w:hint="eastAsia"/>
          <w:b/>
          <w:bCs/>
        </w:rPr>
        <w:t xml:space="preserve">恐慌代理口径</w:t>
      </w:r>
      <w:r>
        <w:rPr>
          <w:rFonts w:hint="eastAsia"/>
        </w:rPr>
        <w:t xml:space="preserve">：300ETF期权隐含波动率QVIX；高位降温=较20日峰值回落至少10%且较前收盘下降；不是已停发的中国波指iVIX。</w:t>
      </w:r>
    </w:p>
    <w:p>
      <w:pPr>
        <w:pStyle w:val="BlockText"/>
      </w:pPr>
      <w:r>
        <w:t xml:space="preserve">📊 </w:t>
      </w:r>
      <w:r>
        <w:rPr>
          <w:rFonts w:hint="eastAsia"/>
        </w:rPr>
        <w:t xml:space="preserve">生成时间：2026-09-08</w:t>
      </w:r>
      <w:r>
        <w:t xml:space="preserve"> 08:34:51</w:t>
      </w:r>
      <w:r>
        <w:br/>
      </w:r>
      <w:r>
        <w:t xml:space="preserve">🦞 </w:t>
      </w:r>
      <w:r>
        <w:rPr>
          <w:rFonts w:hint="eastAsia"/>
        </w:rPr>
        <w:t xml:space="preserve">by：奇迹早知道</w:t>
      </w:r>
      <w:r>
        <w:t xml:space="preserve"> v4.1</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分析+写稿模型：GPT-5.6</w:t>
      </w:r>
      <w:r>
        <w:t xml:space="preserve"> Sol (openai-codex)</w:t>
      </w:r>
      <w:r>
        <w:br/>
      </w:r>
      <w:r>
        <w:t xml:space="preserve">📄 </w:t>
      </w:r>
      <w:r>
        <w:rPr>
          <w:rFonts w:hint="eastAsia"/>
        </w:rPr>
        <w:t xml:space="preserve">文档生成：pandoc</w:t>
      </w:r>
      <w:r>
        <w:t xml:space="preserve"> (markdown → docx)</w:t>
      </w:r>
    </w:p>
    <w:bookmarkEnd w:id="61"/>
    <w:bookmarkEnd w:id="6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2026-09-08T01:36:31Z</dcterms:created>
  <dcterms:modified xsi:type="dcterms:W3CDTF">2026-09-08T01:36:31Z</dcterms:modified>
</cp:coreProperties>
</file>

<file path=docProps/custom.xml><?xml version="1.0" encoding="utf-8"?>
<Properties xmlns="http://schemas.openxmlformats.org/officeDocument/2006/custom-properties" xmlns:vt="http://schemas.openxmlformats.org/officeDocument/2006/docPropsVTypes"/>
</file>