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79" w:name="奇迹早知道2026-08-26-盘前简报"/>
    <w:p>
      <w:pPr>
        <w:pStyle w:val="Heading1"/>
      </w:pPr>
      <w:r>
        <w:t xml:space="preserve">🌅 </w:t>
      </w:r>
      <w:r>
        <w:rPr>
          <w:rFonts w:hint="eastAsia"/>
        </w:rPr>
        <w:t xml:space="preserve">奇迹早知道｜2026-08-26</w:t>
      </w:r>
      <w:r>
        <w:t xml:space="preserve"> </w:t>
      </w:r>
      <w:r>
        <w:rPr>
          <w:rFonts w:hint="eastAsia"/>
        </w:rPr>
        <w:t xml:space="preserve">盘前简报</w:t>
      </w:r>
    </w:p>
    <w:bookmarkStart w:id="12" w:name="隔夜全球市场美股修复ai硬件外盘偏暖但a股高位算力链仍要防财报验证期波动"/>
    <w:p>
      <w:pPr>
        <w:pStyle w:val="Heading2"/>
      </w:pPr>
      <w:r>
        <w:t xml:space="preserve">🌍 </w:t>
      </w:r>
      <w:r>
        <w:rPr>
          <w:rFonts w:hint="eastAsia"/>
        </w:rPr>
        <w:t xml:space="preserve">隔夜全球市场：美股修复，AI硬件外盘偏暖，但A股高位算力链仍要防“财报验证期”波动</w:t>
      </w:r>
    </w:p>
    <w:bookmarkStart w:id="9" w:name="主要指数与资产"/>
    <w:p>
      <w:pPr>
        <w:pStyle w:val="Heading3"/>
      </w:pPr>
      <w:r>
        <w:t xml:space="preserve">📈🔴 </w:t>
      </w:r>
      <w:r>
        <w:rPr>
          <w:rFonts w:hint="eastAsia"/>
        </w:rPr>
        <w:t xml:space="preserve">主要指数与资产</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市场/资产</w:t>
            </w:r>
          </w:p>
        </w:tc>
        <w:tc>
          <w:tcPr/>
          <w:p>
            <w:pPr>
              <w:pStyle w:val="Compact"/>
              <w:jc w:val="right"/>
            </w:pPr>
            <w:r>
              <w:rPr>
                <w:rFonts w:hint="eastAsia"/>
              </w:rPr>
              <w:t xml:space="preserve">最新</w:t>
            </w:r>
          </w:p>
        </w:tc>
        <w:tc>
          <w:tcPr/>
          <w:p>
            <w:pPr>
              <w:pStyle w:val="Compact"/>
              <w:jc w:val="right"/>
            </w:pPr>
            <w:r>
              <w:rPr>
                <w:rFonts w:hint="eastAsia"/>
              </w:rPr>
              <w:t xml:space="preserve">涨跌幅</w:t>
            </w:r>
          </w:p>
        </w:tc>
        <w:tc>
          <w:tcPr/>
          <w:p>
            <w:pPr>
              <w:pStyle w:val="Compact"/>
            </w:pPr>
            <w:r>
              <w:rPr>
                <w:rFonts w:hint="eastAsia"/>
              </w:rPr>
              <w:t xml:space="preserve">盘前含义</w:t>
            </w:r>
          </w:p>
        </w:tc>
      </w:tr>
      <w:tr>
        <w:tc>
          <w:tcPr/>
          <w:p>
            <w:pPr>
              <w:pStyle w:val="Compact"/>
            </w:pPr>
            <w:r>
              <w:rPr>
                <w:rFonts w:hint="eastAsia"/>
              </w:rPr>
              <w:t xml:space="preserve">道琼斯</w:t>
            </w:r>
          </w:p>
        </w:tc>
        <w:tc>
          <w:tcPr/>
          <w:p>
            <w:pPr>
              <w:pStyle w:val="Compact"/>
              <w:jc w:val="right"/>
            </w:pPr>
            <w:r>
              <w:t xml:space="preserve">53577.3984</w:t>
            </w:r>
          </w:p>
        </w:tc>
        <w:tc>
          <w:tcPr/>
          <w:p>
            <w:pPr>
              <w:pStyle w:val="Compact"/>
              <w:jc w:val="right"/>
            </w:pPr>
            <w:r>
              <w:t xml:space="preserve">🔴 +0.30%</w:t>
            </w:r>
          </w:p>
        </w:tc>
        <w:tc>
          <w:tcPr/>
          <w:p>
            <w:pPr>
              <w:pStyle w:val="Compact"/>
            </w:pPr>
            <w:r>
              <w:rPr>
                <w:rFonts w:hint="eastAsia"/>
              </w:rPr>
              <w:t xml:space="preserve">风险偏好温和修复</w:t>
            </w:r>
          </w:p>
        </w:tc>
      </w:tr>
      <w:tr>
        <w:tc>
          <w:tcPr/>
          <w:p>
            <w:pPr>
              <w:pStyle w:val="Compact"/>
            </w:pPr>
            <w:r>
              <w:rPr>
                <w:rFonts w:hint="eastAsia"/>
              </w:rPr>
              <w:t xml:space="preserve">纳斯达克</w:t>
            </w:r>
          </w:p>
        </w:tc>
        <w:tc>
          <w:tcPr/>
          <w:p>
            <w:pPr>
              <w:pStyle w:val="Compact"/>
              <w:jc w:val="right"/>
            </w:pPr>
            <w:r>
              <w:t xml:space="preserve">26151.2998</w:t>
            </w:r>
          </w:p>
        </w:tc>
        <w:tc>
          <w:tcPr/>
          <w:p>
            <w:pPr>
              <w:pStyle w:val="Compact"/>
              <w:jc w:val="right"/>
            </w:pPr>
            <w:r>
              <w:t xml:space="preserve">🔴 +0.66%</w:t>
            </w:r>
          </w:p>
        </w:tc>
        <w:tc>
          <w:tcPr/>
          <w:p>
            <w:pPr>
              <w:pStyle w:val="Compact"/>
            </w:pPr>
            <w:r>
              <w:rPr>
                <w:rFonts w:hint="eastAsia"/>
              </w:rPr>
              <w:t xml:space="preserve">科技成长端偏强</w:t>
            </w:r>
          </w:p>
        </w:tc>
      </w:tr>
      <w:tr>
        <w:tc>
          <w:tcPr/>
          <w:p>
            <w:pPr>
              <w:pStyle w:val="Compact"/>
            </w:pPr>
            <w:r>
              <w:rPr>
                <w:rFonts w:hint="eastAsia"/>
              </w:rPr>
              <w:t xml:space="preserve">标普500</w:t>
            </w:r>
          </w:p>
        </w:tc>
        <w:tc>
          <w:tcPr/>
          <w:p>
            <w:pPr>
              <w:pStyle w:val="Compact"/>
              <w:jc w:val="right"/>
            </w:pPr>
            <w:r>
              <w:t xml:space="preserve">7677.2798</w:t>
            </w:r>
          </w:p>
        </w:tc>
        <w:tc>
          <w:tcPr/>
          <w:p>
            <w:pPr>
              <w:pStyle w:val="Compact"/>
              <w:jc w:val="right"/>
            </w:pPr>
            <w:r>
              <w:t xml:space="preserve">🔴 +0.32%</w:t>
            </w:r>
          </w:p>
        </w:tc>
        <w:tc>
          <w:tcPr/>
          <w:p>
            <w:pPr>
              <w:pStyle w:val="Compact"/>
            </w:pPr>
            <w:r>
              <w:rPr>
                <w:rFonts w:hint="eastAsia"/>
              </w:rPr>
              <w:t xml:space="preserve">美股整体回暖</w:t>
            </w:r>
          </w:p>
        </w:tc>
      </w:tr>
      <w:tr>
        <w:tc>
          <w:tcPr/>
          <w:p>
            <w:pPr>
              <w:pStyle w:val="Compact"/>
            </w:pPr>
            <w:r>
              <w:rPr>
                <w:rFonts w:hint="eastAsia"/>
              </w:rPr>
              <w:t xml:space="preserve">富时A50期指</w:t>
            </w:r>
          </w:p>
        </w:tc>
        <w:tc>
          <w:tcPr/>
          <w:p>
            <w:pPr>
              <w:pStyle w:val="Compact"/>
              <w:jc w:val="right"/>
            </w:pPr>
            <w:r>
              <w:t xml:space="preserve">14560.0</w:t>
            </w:r>
          </w:p>
        </w:tc>
        <w:tc>
          <w:tcPr/>
          <w:p>
            <w:pPr>
              <w:pStyle w:val="Compact"/>
              <w:jc w:val="right"/>
            </w:pPr>
            <w:r>
              <w:t xml:space="preserve">🔴 +0.41%</w:t>
            </w:r>
          </w:p>
        </w:tc>
        <w:tc>
          <w:tcPr/>
          <w:p>
            <w:pPr>
              <w:pStyle w:val="Compact"/>
            </w:pPr>
            <w:r>
              <w:rPr>
                <w:rFonts w:hint="eastAsia"/>
              </w:rPr>
              <w:t xml:space="preserve">对A股开盘情绪偏正面</w:t>
            </w:r>
          </w:p>
        </w:tc>
      </w:tr>
      <w:tr>
        <w:tc>
          <w:tcPr/>
          <w:p>
            <w:pPr>
              <w:pStyle w:val="Compact"/>
            </w:pPr>
            <w:r>
              <w:rPr>
                <w:rFonts w:hint="eastAsia"/>
              </w:rPr>
              <w:t xml:space="preserve">美元离岸人民币</w:t>
            </w:r>
          </w:p>
        </w:tc>
        <w:tc>
          <w:tcPr/>
          <w:p>
            <w:pPr>
              <w:pStyle w:val="Compact"/>
              <w:jc w:val="right"/>
            </w:pPr>
            <w:r>
              <w:t xml:space="preserve">6.7178</w:t>
            </w:r>
          </w:p>
        </w:tc>
        <w:tc>
          <w:tcPr/>
          <w:p>
            <w:pPr>
              <w:pStyle w:val="Compact"/>
              <w:jc w:val="right"/>
            </w:pPr>
            <w:r>
              <w:t xml:space="preserve">📈 +0.02%</w:t>
            </w:r>
          </w:p>
        </w:tc>
        <w:tc>
          <w:tcPr/>
          <w:p>
            <w:pPr>
              <w:pStyle w:val="Compact"/>
            </w:pPr>
            <w:r>
              <w:rPr>
                <w:rFonts w:hint="eastAsia"/>
              </w:rPr>
              <w:t xml:space="preserve">汇率扰动不大</w:t>
            </w:r>
          </w:p>
        </w:tc>
      </w:tr>
    </w:tbl>
    <w:bookmarkEnd w:id="9"/>
    <w:bookmarkStart w:id="10" w:name="美股核心半导体5股"/>
    <w:p>
      <w:pPr>
        <w:pStyle w:val="Heading3"/>
      </w:pPr>
      <w:r>
        <w:t xml:space="preserve">🧠 </w:t>
      </w:r>
      <w:r>
        <w:rPr>
          <w:rFonts w:hint="eastAsia"/>
        </w:rPr>
        <w:t xml:space="preserve">美股核心半导体5股</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个股</w:t>
            </w:r>
          </w:p>
        </w:tc>
        <w:tc>
          <w:tcPr/>
          <w:p>
            <w:pPr>
              <w:pStyle w:val="Compact"/>
              <w:jc w:val="right"/>
            </w:pPr>
            <w:r>
              <w:rPr>
                <w:rFonts w:hint="eastAsia"/>
              </w:rPr>
              <w:t xml:space="preserve">最新</w:t>
            </w:r>
          </w:p>
        </w:tc>
        <w:tc>
          <w:tcPr/>
          <w:p>
            <w:pPr>
              <w:pStyle w:val="Compact"/>
              <w:jc w:val="right"/>
            </w:pPr>
            <w:r>
              <w:rPr>
                <w:rFonts w:hint="eastAsia"/>
              </w:rPr>
              <w:t xml:space="preserve">涨跌幅</w:t>
            </w:r>
          </w:p>
        </w:tc>
        <w:tc>
          <w:tcPr/>
          <w:p>
            <w:pPr>
              <w:pStyle w:val="Compact"/>
            </w:pPr>
            <w:r>
              <w:rPr>
                <w:rFonts w:hint="eastAsia"/>
              </w:rPr>
              <w:t xml:space="preserve">对A股映射</w:t>
            </w:r>
          </w:p>
        </w:tc>
      </w:tr>
      <w:tr>
        <w:tc>
          <w:tcPr/>
          <w:p>
            <w:pPr>
              <w:pStyle w:val="Compact"/>
            </w:pPr>
            <w:r>
              <w:rPr>
                <w:rFonts w:hint="eastAsia"/>
              </w:rPr>
              <w:t xml:space="preserve">英伟达</w:t>
            </w:r>
          </w:p>
        </w:tc>
        <w:tc>
          <w:tcPr/>
          <w:p>
            <w:pPr>
              <w:pStyle w:val="Compact"/>
              <w:jc w:val="right"/>
            </w:pPr>
            <w:r>
              <w:t xml:space="preserve">213.05</w:t>
            </w:r>
          </w:p>
        </w:tc>
        <w:tc>
          <w:tcPr/>
          <w:p>
            <w:pPr>
              <w:pStyle w:val="Compact"/>
              <w:jc w:val="right"/>
            </w:pPr>
            <w:r>
              <w:t xml:space="preserve">🔴 +2.19%</w:t>
            </w:r>
          </w:p>
        </w:tc>
        <w:tc>
          <w:tcPr/>
          <w:p>
            <w:pPr>
              <w:pStyle w:val="Compact"/>
            </w:pPr>
            <w:r>
              <w:rPr>
                <w:rFonts w:hint="eastAsia"/>
              </w:rPr>
              <w:t xml:space="preserve">AI算力情绪修复，但财报窗口临近</w:t>
            </w:r>
          </w:p>
        </w:tc>
      </w:tr>
      <w:tr>
        <w:tc>
          <w:tcPr/>
          <w:p>
            <w:pPr>
              <w:pStyle w:val="Compact"/>
            </w:pPr>
            <w:r>
              <w:t xml:space="preserve">AMD</w:t>
            </w:r>
          </w:p>
        </w:tc>
        <w:tc>
          <w:tcPr/>
          <w:p>
            <w:pPr>
              <w:pStyle w:val="Compact"/>
              <w:jc w:val="right"/>
            </w:pPr>
            <w:r>
              <w:t xml:space="preserve">479.18</w:t>
            </w:r>
          </w:p>
        </w:tc>
        <w:tc>
          <w:tcPr/>
          <w:p>
            <w:pPr>
              <w:pStyle w:val="Compact"/>
              <w:jc w:val="right"/>
            </w:pPr>
            <w:r>
              <w:t xml:space="preserve">🔴 +4.91%</w:t>
            </w:r>
          </w:p>
        </w:tc>
        <w:tc>
          <w:tcPr/>
          <w:p>
            <w:pPr>
              <w:pStyle w:val="Compact"/>
            </w:pPr>
            <w:r>
              <w:rPr>
                <w:rFonts w:hint="eastAsia"/>
              </w:rPr>
              <w:t xml:space="preserve">存储/算力链风险偏好提升</w:t>
            </w:r>
          </w:p>
        </w:tc>
      </w:tr>
      <w:tr>
        <w:tc>
          <w:tcPr/>
          <w:p>
            <w:pPr>
              <w:pStyle w:val="Compact"/>
            </w:pPr>
            <w:r>
              <w:rPr>
                <w:rFonts w:hint="eastAsia"/>
              </w:rPr>
              <w:t xml:space="preserve">台积电</w:t>
            </w:r>
          </w:p>
        </w:tc>
        <w:tc>
          <w:tcPr/>
          <w:p>
            <w:pPr>
              <w:pStyle w:val="Compact"/>
              <w:jc w:val="right"/>
            </w:pPr>
            <w:r>
              <w:t xml:space="preserve">417.41</w:t>
            </w:r>
          </w:p>
        </w:tc>
        <w:tc>
          <w:tcPr/>
          <w:p>
            <w:pPr>
              <w:pStyle w:val="Compact"/>
              <w:jc w:val="right"/>
            </w:pPr>
            <w:r>
              <w:t xml:space="preserve">🔴 +1.78%</w:t>
            </w:r>
          </w:p>
        </w:tc>
        <w:tc>
          <w:tcPr/>
          <w:p>
            <w:pPr>
              <w:pStyle w:val="Compact"/>
            </w:pPr>
            <w:r>
              <w:rPr>
                <w:rFonts w:hint="eastAsia"/>
              </w:rPr>
              <w:t xml:space="preserve">先进制程与半导体制造链偏暖</w:t>
            </w:r>
          </w:p>
        </w:tc>
      </w:tr>
      <w:tr>
        <w:tc>
          <w:tcPr/>
          <w:p>
            <w:pPr>
              <w:pStyle w:val="Compact"/>
            </w:pPr>
            <w:r>
              <w:rPr>
                <w:rFonts w:hint="eastAsia"/>
              </w:rPr>
              <w:t xml:space="preserve">博通</w:t>
            </w:r>
          </w:p>
        </w:tc>
        <w:tc>
          <w:tcPr/>
          <w:p>
            <w:pPr>
              <w:pStyle w:val="Compact"/>
              <w:jc w:val="right"/>
            </w:pPr>
            <w:r>
              <w:t xml:space="preserve">356.74</w:t>
            </w:r>
          </w:p>
        </w:tc>
        <w:tc>
          <w:tcPr/>
          <w:p>
            <w:pPr>
              <w:pStyle w:val="Compact"/>
              <w:jc w:val="right"/>
            </w:pPr>
            <w:r>
              <w:t xml:space="preserve">🟢 -0.56%</w:t>
            </w:r>
          </w:p>
        </w:tc>
        <w:tc>
          <w:tcPr/>
          <w:p>
            <w:pPr>
              <w:pStyle w:val="Compact"/>
            </w:pPr>
            <w:r>
              <w:rPr>
                <w:rFonts w:hint="eastAsia"/>
              </w:rPr>
              <w:t xml:space="preserve">ASIC/交换芯片方向分歧</w:t>
            </w:r>
          </w:p>
        </w:tc>
      </w:tr>
      <w:tr>
        <w:tc>
          <w:tcPr/>
          <w:p>
            <w:pPr>
              <w:pStyle w:val="Compact"/>
            </w:pPr>
            <w:r>
              <w:rPr>
                <w:rFonts w:hint="eastAsia"/>
              </w:rPr>
              <w:t xml:space="preserve">美光</w:t>
            </w:r>
          </w:p>
        </w:tc>
        <w:tc>
          <w:tcPr/>
          <w:p>
            <w:pPr>
              <w:pStyle w:val="Compact"/>
              <w:jc w:val="right"/>
            </w:pPr>
            <w:r>
              <w:t xml:space="preserve">932.97</w:t>
            </w:r>
          </w:p>
        </w:tc>
        <w:tc>
          <w:tcPr/>
          <w:p>
            <w:pPr>
              <w:pStyle w:val="Compact"/>
              <w:jc w:val="right"/>
            </w:pPr>
            <w:r>
              <w:t xml:space="preserve">🔴 +2.48%</w:t>
            </w:r>
          </w:p>
        </w:tc>
        <w:tc>
          <w:tcPr/>
          <w:p>
            <w:pPr>
              <w:pStyle w:val="Compact"/>
            </w:pPr>
            <w:r>
              <w:rPr>
                <w:rFonts w:hint="eastAsia"/>
              </w:rPr>
              <w:t xml:space="preserve">存储链情绪修复</w:t>
            </w:r>
          </w:p>
        </w:tc>
      </w:tr>
    </w:tbl>
    <w:bookmarkEnd w:id="10"/>
    <w:bookmarkStart w:id="11" w:name="盘前判断"/>
    <w:p>
      <w:pPr>
        <w:pStyle w:val="Heading3"/>
      </w:pPr>
      <w:r>
        <w:t xml:space="preserve">💡 </w:t>
      </w:r>
      <w:r>
        <w:rPr>
          <w:rFonts w:hint="eastAsia"/>
        </w:rPr>
        <w:t xml:space="preserve">盘前判断</w:t>
      </w:r>
    </w:p>
    <w:p>
      <w:pPr>
        <w:pStyle w:val="Compact"/>
        <w:numPr>
          <w:ilvl w:val="0"/>
          <w:numId w:val="1001"/>
        </w:numPr>
      </w:pPr>
      <w:r>
        <w:rPr>
          <w:rFonts w:hint="eastAsia"/>
        </w:rPr>
        <w:t xml:space="preserve">外盘对A股的正向传导集中在：AI算力、存储、半导体设备、光模块、液冷。</w:t>
      </w:r>
    </w:p>
    <w:p>
      <w:pPr>
        <w:pStyle w:val="Compact"/>
        <w:numPr>
          <w:ilvl w:val="0"/>
          <w:numId w:val="1001"/>
        </w:numPr>
      </w:pPr>
      <w:r>
        <w:rPr>
          <w:rFonts w:hint="eastAsia"/>
        </w:rPr>
        <w:t xml:space="preserve">但A股上一交易日资金数据显示，半导体、通信网络设备及器件、光模块核心股同时出现大额流出，说明场内分歧没有消失。</w:t>
      </w:r>
    </w:p>
    <w:p>
      <w:pPr>
        <w:pStyle w:val="Compact"/>
        <w:numPr>
          <w:ilvl w:val="0"/>
          <w:numId w:val="1001"/>
        </w:numPr>
      </w:pPr>
      <w:r>
        <w:rPr>
          <w:rFonts w:hint="eastAsia"/>
        </w:rPr>
        <w:t xml:space="preserve">今日若高开，优先看承接与成交额，而不是直接追高。</w:t>
      </w:r>
    </w:p>
    <w:bookmarkEnd w:id="11"/>
    <w:bookmarkEnd w:id="12"/>
    <w:bookmarkStart w:id="19" w:name="新闻联播政策面十五五民生数据要素交通投资粮食安全同时出现"/>
    <w:p>
      <w:pPr>
        <w:pStyle w:val="Heading2"/>
      </w:pPr>
      <w:r>
        <w:t xml:space="preserve">📺 </w:t>
      </w:r>
      <w:r>
        <w:rPr>
          <w:rFonts w:hint="eastAsia"/>
        </w:rPr>
        <w:t xml:space="preserve">新闻联播政策面：十五五、民生、数据要素、交通投资、粮食安全同时出现</w:t>
      </w:r>
    </w:p>
    <w:bookmarkStart w:id="13" w:name="核心政策信号一正确政绩观与十五五实干导向"/>
    <w:p>
      <w:pPr>
        <w:pStyle w:val="Heading3"/>
      </w:pPr>
      <w:r>
        <w:t xml:space="preserve">🧭 </w:t>
      </w:r>
      <w:r>
        <w:rPr>
          <w:rFonts w:hint="eastAsia"/>
        </w:rPr>
        <w:t xml:space="preserve">核心政策信号一：正确政绩观与“十五五”实干导向</w:t>
      </w:r>
    </w:p>
    <w:p>
      <w:pPr>
        <w:pStyle w:val="FirstParagraph"/>
      </w:pPr>
      <w:r>
        <w:rPr>
          <w:rFonts w:hint="eastAsia"/>
        </w:rPr>
        <w:t xml:space="preserve">新闻联播重点强调“为人民出政绩、以实干出政绩”，并提到“十五五”时期是基本实现社会主义现代化夯实基础、全面发力的关键时期。</w:t>
      </w:r>
    </w:p>
    <w:p>
      <w:pPr>
        <w:pStyle w:val="BodyText"/>
      </w:pPr>
      <w:r>
        <w:t xml:space="preserve">💡 </w:t>
      </w:r>
      <w:r>
        <w:rPr>
          <w:rFonts w:hint="eastAsia"/>
        </w:rPr>
        <w:t xml:space="preserve">A股映射：</w:t>
      </w:r>
    </w:p>
    <w:p>
      <w:pPr>
        <w:pStyle w:val="Compact"/>
        <w:numPr>
          <w:ilvl w:val="0"/>
          <w:numId w:val="1002"/>
        </w:numPr>
      </w:pPr>
      <w:r>
        <w:rPr>
          <w:rFonts w:hint="eastAsia"/>
        </w:rPr>
        <w:t xml:space="preserve">偏长期建设、民生补短板、基础设施更新方向受益。</w:t>
      </w:r>
    </w:p>
    <w:p>
      <w:pPr>
        <w:pStyle w:val="Compact"/>
        <w:numPr>
          <w:ilvl w:val="0"/>
          <w:numId w:val="1002"/>
        </w:numPr>
      </w:pPr>
      <w:r>
        <w:rPr>
          <w:rFonts w:hint="eastAsia"/>
        </w:rPr>
        <w:t xml:space="preserve">但这类信号偏中长期，不适合作为短线追涨理由。</w:t>
      </w:r>
    </w:p>
    <w:p>
      <w:pPr>
        <w:pStyle w:val="Compact"/>
        <w:numPr>
          <w:ilvl w:val="0"/>
          <w:numId w:val="1002"/>
        </w:numPr>
      </w:pPr>
      <w:r>
        <w:rPr>
          <w:rFonts w:hint="eastAsia"/>
        </w:rPr>
        <w:t xml:space="preserve">可关注：城市更新、公共服务、环保治理、基层医疗、基础设施运维。</w:t>
      </w:r>
    </w:p>
    <w:bookmarkEnd w:id="13"/>
    <w:bookmarkStart w:id="14" w:name="核心政策信号二人大常委会审议多部法律草案道路交通安全法修订被重点提及"/>
    <w:p>
      <w:pPr>
        <w:pStyle w:val="Heading3"/>
      </w:pPr>
      <w:r>
        <w:t xml:space="preserve">🏛️ </w:t>
      </w:r>
      <w:r>
        <w:rPr>
          <w:rFonts w:hint="eastAsia"/>
        </w:rPr>
        <w:t xml:space="preserve">核心政策信号二：人大常委会审议多部法律草案，道路交通安全法修订被重点提及</w:t>
      </w:r>
    </w:p>
    <w:p>
      <w:pPr>
        <w:pStyle w:val="FirstParagraph"/>
      </w:pPr>
      <w:r>
        <w:rPr>
          <w:rFonts w:hint="eastAsia"/>
        </w:rPr>
        <w:t xml:space="preserve">会议审议医疗保障法、耕地保护和质量提升法、农业法修订草案、国防动员法修订草案、银行业监督管理法修订草案、水法修订草案，并听取道路交通安全法修订草案说明。</w:t>
      </w:r>
    </w:p>
    <w:p>
      <w:pPr>
        <w:pStyle w:val="BodyText"/>
      </w:pPr>
      <w:r>
        <w:t xml:space="preserve">💡 </w:t>
      </w:r>
      <w:r>
        <w:rPr>
          <w:rFonts w:hint="eastAsia"/>
        </w:rPr>
        <w:t xml:space="preserve">A股映射：</w:t>
      </w:r>
    </w:p>
    <w:p>
      <w:pPr>
        <w:pStyle w:val="Compact"/>
        <w:numPr>
          <w:ilvl w:val="0"/>
          <w:numId w:val="1003"/>
        </w:numPr>
      </w:pPr>
      <w:r>
        <w:rPr>
          <w:rFonts w:hint="eastAsia"/>
        </w:rPr>
        <w:t xml:space="preserve">道路交通安全法修订：智能驾驶、车路协同、交通信息化、汽车电子。</w:t>
      </w:r>
    </w:p>
    <w:p>
      <w:pPr>
        <w:pStyle w:val="Compact"/>
        <w:numPr>
          <w:ilvl w:val="0"/>
          <w:numId w:val="1003"/>
        </w:numPr>
      </w:pPr>
      <w:r>
        <w:rPr>
          <w:rFonts w:hint="eastAsia"/>
        </w:rPr>
        <w:t xml:space="preserve">医疗保障法：医药商业、医疗信息化、基层医疗、医保控费相关系统。</w:t>
      </w:r>
    </w:p>
    <w:p>
      <w:pPr>
        <w:pStyle w:val="Compact"/>
        <w:numPr>
          <w:ilvl w:val="0"/>
          <w:numId w:val="1003"/>
        </w:numPr>
      </w:pPr>
      <w:r>
        <w:rPr>
          <w:rFonts w:hint="eastAsia"/>
        </w:rPr>
        <w:t xml:space="preserve">耕地保护与农业法：种业、农机、粮食安全、智慧农业。</w:t>
      </w:r>
    </w:p>
    <w:p>
      <w:pPr>
        <w:pStyle w:val="Compact"/>
        <w:numPr>
          <w:ilvl w:val="0"/>
          <w:numId w:val="1003"/>
        </w:numPr>
      </w:pPr>
      <w:r>
        <w:rPr>
          <w:rFonts w:hint="eastAsia"/>
        </w:rPr>
        <w:t xml:space="preserve">银行业监督管理法：银行板块偏政策约束，不是进攻主线。</w:t>
      </w:r>
    </w:p>
    <w:bookmarkEnd w:id="14"/>
    <w:bookmarkStart w:id="15" w:name="核心政策信号三夏粮收购超9000万吨粮食安全底线强化"/>
    <w:p>
      <w:pPr>
        <w:pStyle w:val="Heading3"/>
      </w:pPr>
      <w:r>
        <w:t xml:space="preserve">🌾 </w:t>
      </w:r>
      <w:r>
        <w:rPr>
          <w:rFonts w:hint="eastAsia"/>
        </w:rPr>
        <w:t xml:space="preserve">核心政策信号三：夏粮收购超9000万吨，粮食安全底线强化</w:t>
      </w:r>
    </w:p>
    <w:p>
      <w:pPr>
        <w:pStyle w:val="FirstParagraph"/>
      </w:pPr>
      <w:r>
        <w:rPr>
          <w:rFonts w:hint="eastAsia"/>
        </w:rPr>
        <w:t xml:space="preserve">全国各类粮食经营主体累计收购小麦超9000万吨，市场运行基本平稳，优质优价特征明显。</w:t>
      </w:r>
    </w:p>
    <w:p>
      <w:pPr>
        <w:pStyle w:val="BodyText"/>
      </w:pPr>
      <w:r>
        <w:t xml:space="preserve">💡 </w:t>
      </w:r>
      <w:r>
        <w:rPr>
          <w:rFonts w:hint="eastAsia"/>
        </w:rPr>
        <w:t xml:space="preserve">A股映射：</w:t>
      </w:r>
    </w:p>
    <w:p>
      <w:pPr>
        <w:pStyle w:val="Compact"/>
        <w:numPr>
          <w:ilvl w:val="0"/>
          <w:numId w:val="1004"/>
        </w:numPr>
      </w:pPr>
      <w:r>
        <w:rPr>
          <w:rFonts w:hint="eastAsia"/>
        </w:rPr>
        <w:t xml:space="preserve">种业、粮食仓储、农产品加工、农机装备。</w:t>
      </w:r>
    </w:p>
    <w:p>
      <w:pPr>
        <w:pStyle w:val="Compact"/>
        <w:numPr>
          <w:ilvl w:val="0"/>
          <w:numId w:val="1004"/>
        </w:numPr>
      </w:pPr>
      <w:r>
        <w:rPr>
          <w:rFonts w:hint="eastAsia"/>
        </w:rPr>
        <w:t xml:space="preserve">结合上一交易日农林牧渔表现偏强，农业链可作为低位轮动方向观察。</w:t>
      </w:r>
    </w:p>
    <w:p>
      <w:pPr>
        <w:pStyle w:val="Compact"/>
        <w:numPr>
          <w:ilvl w:val="0"/>
          <w:numId w:val="1004"/>
        </w:numPr>
      </w:pPr>
      <w:r>
        <w:rPr>
          <w:rFonts w:hint="eastAsia"/>
        </w:rPr>
        <w:t xml:space="preserve">触发条件：种业/粮食安全方向继续放量，且前排不出现冲高回落。</w:t>
      </w:r>
    </w:p>
    <w:bookmarkEnd w:id="15"/>
    <w:bookmarkStart w:id="16" w:name="核心政策信号四前7个月交通运输主要指标增长交通固定资产投资18152亿元"/>
    <w:p>
      <w:pPr>
        <w:pStyle w:val="Heading3"/>
      </w:pPr>
      <w:r>
        <w:t xml:space="preserve">🚚 </w:t>
      </w:r>
      <w:r>
        <w:rPr>
          <w:rFonts w:hint="eastAsia"/>
        </w:rPr>
        <w:t xml:space="preserve">核心政策信号四：前7个月交通运输主要指标增长，交通固定资产投资18152亿元</w:t>
      </w:r>
    </w:p>
    <w:p>
      <w:pPr>
        <w:pStyle w:val="FirstParagraph"/>
      </w:pPr>
      <w:r>
        <w:rPr>
          <w:rFonts w:hint="eastAsia"/>
        </w:rPr>
        <w:t xml:space="preserve">前7个月全国跨区域人员流动量397.9亿人次，同比增长0.8%；营业性货运量329.7亿吨，同比增长2.8%；全国港口货物吞吐量105.6亿吨，同比增长1.3%；交通固定资产投资18152亿元。</w:t>
      </w:r>
    </w:p>
    <w:p>
      <w:pPr>
        <w:pStyle w:val="BodyText"/>
      </w:pPr>
      <w:r>
        <w:t xml:space="preserve">💡 </w:t>
      </w:r>
      <w:r>
        <w:rPr>
          <w:rFonts w:hint="eastAsia"/>
        </w:rPr>
        <w:t xml:space="preserve">A股映射：</w:t>
      </w:r>
    </w:p>
    <w:p>
      <w:pPr>
        <w:pStyle w:val="Compact"/>
        <w:numPr>
          <w:ilvl w:val="0"/>
          <w:numId w:val="1005"/>
        </w:numPr>
      </w:pPr>
      <w:r>
        <w:rPr>
          <w:rFonts w:hint="eastAsia"/>
        </w:rPr>
        <w:t xml:space="preserve">铁路公路、水运港口、工程机械、基建材料、智慧交通。</w:t>
      </w:r>
    </w:p>
    <w:p>
      <w:pPr>
        <w:pStyle w:val="Compact"/>
        <w:numPr>
          <w:ilvl w:val="0"/>
          <w:numId w:val="1005"/>
        </w:numPr>
      </w:pPr>
      <w:r>
        <w:rPr>
          <w:rFonts w:hint="eastAsia"/>
        </w:rPr>
        <w:t xml:space="preserve">交通数据确认经济活动仍在扩张，但增长斜率不强，更偏稳增长底盘。</w:t>
      </w:r>
    </w:p>
    <w:bookmarkEnd w:id="16"/>
    <w:bookmarkStart w:id="17" w:name="核心政策信号五公共数据开放共享政务数据调用超5500亿次"/>
    <w:p>
      <w:pPr>
        <w:pStyle w:val="Heading3"/>
      </w:pPr>
      <w:r>
        <w:t xml:space="preserve">🧩 </w:t>
      </w:r>
      <w:r>
        <w:rPr>
          <w:rFonts w:hint="eastAsia"/>
        </w:rPr>
        <w:t xml:space="preserve">核心政策信号五：公共数据开放共享，政务数据调用超5500亿次</w:t>
      </w:r>
    </w:p>
    <w:p>
      <w:pPr>
        <w:pStyle w:val="FirstParagraph"/>
      </w:pPr>
      <w:r>
        <w:rPr>
          <w:rFonts w:hint="eastAsia"/>
        </w:rPr>
        <w:t xml:space="preserve">国家层面已有150个公共数据示范场景，全国一体化政务数据共享枢纽支撑各地各部门共享调用数据超5500亿次。</w:t>
      </w:r>
    </w:p>
    <w:p>
      <w:pPr>
        <w:pStyle w:val="BodyText"/>
      </w:pPr>
      <w:r>
        <w:t xml:space="preserve">💡 </w:t>
      </w:r>
      <w:r>
        <w:rPr>
          <w:rFonts w:hint="eastAsia"/>
        </w:rPr>
        <w:t xml:space="preserve">A股映射：</w:t>
      </w:r>
    </w:p>
    <w:p>
      <w:pPr>
        <w:pStyle w:val="Compact"/>
        <w:numPr>
          <w:ilvl w:val="0"/>
          <w:numId w:val="1006"/>
        </w:numPr>
      </w:pPr>
      <w:r>
        <w:rPr>
          <w:rFonts w:hint="eastAsia"/>
        </w:rPr>
        <w:t xml:space="preserve">数据要素、政务云、数据安全、公共数据运营、行业大模型。</w:t>
      </w:r>
    </w:p>
    <w:p>
      <w:pPr>
        <w:pStyle w:val="Compact"/>
        <w:numPr>
          <w:ilvl w:val="0"/>
          <w:numId w:val="1006"/>
        </w:numPr>
      </w:pPr>
      <w:r>
        <w:rPr>
          <w:rFonts w:hint="eastAsia"/>
        </w:rPr>
        <w:t xml:space="preserve">但需注意：软件开发虽进入资金流入TOP10板块，金额为+8.39亿元，强度低于设备、通信、元件。</w:t>
      </w:r>
    </w:p>
    <w:bookmarkEnd w:id="17"/>
    <w:bookmarkStart w:id="18" w:name="国内联播快讯充电基础设施同比高增"/>
    <w:p>
      <w:pPr>
        <w:pStyle w:val="Heading3"/>
      </w:pPr>
      <w:r>
        <w:t xml:space="preserve">🔋 </w:t>
      </w:r>
      <w:r>
        <w:rPr>
          <w:rFonts w:hint="eastAsia"/>
        </w:rPr>
        <w:t xml:space="preserve">国内联播快讯：充电基础设施同比高增</w:t>
      </w:r>
    </w:p>
    <w:p>
      <w:pPr>
        <w:pStyle w:val="FirstParagraph"/>
      </w:pPr>
      <w:r>
        <w:rPr>
          <w:rFonts w:hint="eastAsia"/>
        </w:rPr>
        <w:t xml:space="preserve">截至7月底，我国电动汽车充电基础设施总数2368.3万个，同比增长41.9%。</w:t>
      </w:r>
    </w:p>
    <w:p>
      <w:pPr>
        <w:pStyle w:val="BodyText"/>
      </w:pPr>
      <w:r>
        <w:t xml:space="preserve">💡 </w:t>
      </w:r>
      <w:r>
        <w:rPr>
          <w:rFonts w:hint="eastAsia"/>
        </w:rPr>
        <w:t xml:space="preserve">A股映射：</w:t>
      </w:r>
    </w:p>
    <w:p>
      <w:pPr>
        <w:pStyle w:val="Compact"/>
        <w:numPr>
          <w:ilvl w:val="0"/>
          <w:numId w:val="1007"/>
        </w:numPr>
      </w:pPr>
      <w:r>
        <w:rPr>
          <w:rFonts w:hint="eastAsia"/>
        </w:rPr>
        <w:t xml:space="preserve">充电桩、配电设备、功率半导体、智能电网。</w:t>
      </w:r>
    </w:p>
    <w:p>
      <w:pPr>
        <w:pStyle w:val="Compact"/>
        <w:numPr>
          <w:ilvl w:val="0"/>
          <w:numId w:val="1007"/>
        </w:numPr>
      </w:pPr>
      <w:r>
        <w:rPr>
          <w:rFonts w:hint="eastAsia"/>
        </w:rPr>
        <w:t xml:space="preserve">但上一交易日电力设备主力净流出-27.07亿元，电池净流出-20.49亿元，今日只能看超跌修复，不能当强主线追。</w:t>
      </w:r>
    </w:p>
    <w:bookmarkEnd w:id="18"/>
    <w:bookmarkEnd w:id="19"/>
    <w:bookmarkStart w:id="23" w:name="今日公告主源可用但截断重点看正式公告与风险事项"/>
    <w:p>
      <w:pPr>
        <w:pStyle w:val="Heading2"/>
      </w:pPr>
      <w:r>
        <w:t xml:space="preserve">📌 </w:t>
      </w:r>
      <w:r>
        <w:rPr>
          <w:rFonts w:hint="eastAsia"/>
        </w:rPr>
        <w:t xml:space="preserve">今日公告：主源可用但截断，重点看正式公告与风险事项</w:t>
      </w:r>
    </w:p>
    <w:p>
      <w:pPr>
        <w:pStyle w:val="FirstParagraph"/>
      </w:pPr>
      <w:r>
        <w:rPr>
          <w:rFonts w:hint="eastAsia"/>
        </w:rPr>
        <w:t xml:space="preserve">公告主源状态：cninfo_his_announcement</w:t>
      </w:r>
      <w:r>
        <w:t xml:space="preserve"> </w:t>
      </w:r>
      <w:r>
        <w:rPr>
          <w:rFonts w:hint="eastAsia"/>
        </w:rPr>
        <w:t xml:space="preserve">可用但</w:t>
      </w:r>
      <w:r>
        <w:t xml:space="preserve"> </w:t>
      </w:r>
      <w:r>
        <w:rPr>
          <w:rFonts w:hint="eastAsia"/>
        </w:rPr>
        <w:t xml:space="preserve">partial_truncated；采集页数182页，沪深合计公告量大，深市达到max_pages截断。公告主源存在</w:t>
      </w:r>
      <w:r>
        <w:t xml:space="preserve"> </w:t>
      </w:r>
      <w:r>
        <w:rPr>
          <w:rFonts w:hint="eastAsia"/>
        </w:rPr>
        <w:t xml:space="preserve">primary_error：HTTP</w:t>
      </w:r>
      <w:r>
        <w:t xml:space="preserve"> Error </w:t>
      </w:r>
      <w:r>
        <w:rPr>
          <w:rFonts w:hint="eastAsia"/>
        </w:rPr>
        <w:t xml:space="preserve">567，但已通过历史公告接口抓取到部分公告。</w:t>
      </w:r>
    </w:p>
    <w:bookmarkStart w:id="20" w:name="正式公告重点"/>
    <w:p>
      <w:pPr>
        <w:pStyle w:val="Heading3"/>
      </w:pPr>
      <w:r>
        <w:t xml:space="preserve">📄 </w:t>
      </w:r>
      <w:r>
        <w:rPr>
          <w:rFonts w:hint="eastAsia"/>
        </w:rPr>
        <w:t xml:space="preserve">正式公告重点</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公司</w:t>
            </w:r>
          </w:p>
        </w:tc>
        <w:tc>
          <w:tcPr/>
          <w:p>
            <w:pPr>
              <w:pStyle w:val="Compact"/>
            </w:pPr>
            <w:r>
              <w:rPr>
                <w:rFonts w:hint="eastAsia"/>
              </w:rPr>
              <w:t xml:space="preserve">代码</w:t>
            </w:r>
          </w:p>
        </w:tc>
        <w:tc>
          <w:tcPr/>
          <w:p>
            <w:pPr>
              <w:pStyle w:val="Compact"/>
            </w:pPr>
            <w:r>
              <w:rPr>
                <w:rFonts w:hint="eastAsia"/>
              </w:rPr>
              <w:t xml:space="preserve">公告要点</w:t>
            </w:r>
          </w:p>
        </w:tc>
        <w:tc>
          <w:tcPr/>
          <w:p>
            <w:pPr>
              <w:pStyle w:val="Compact"/>
            </w:pPr>
            <w:r>
              <w:rPr>
                <w:rFonts w:hint="eastAsia"/>
              </w:rPr>
              <w:t xml:space="preserve">影响判断</w:t>
            </w:r>
          </w:p>
        </w:tc>
      </w:tr>
      <w:tr>
        <w:tc>
          <w:tcPr/>
          <w:p>
            <w:pPr>
              <w:pStyle w:val="Compact"/>
            </w:pPr>
            <w:r>
              <w:rPr>
                <w:rFonts w:hint="eastAsia"/>
              </w:rPr>
              <w:t xml:space="preserve">电科数字</w:t>
            </w:r>
          </w:p>
        </w:tc>
        <w:tc>
          <w:tcPr/>
          <w:p>
            <w:pPr>
              <w:pStyle w:val="Compact"/>
            </w:pPr>
            <w:r>
              <w:t xml:space="preserve">600850</w:t>
            </w:r>
          </w:p>
        </w:tc>
        <w:tc>
          <w:tcPr/>
          <w:p>
            <w:pPr>
              <w:pStyle w:val="Compact"/>
            </w:pPr>
            <w:r>
              <w:rPr>
                <w:rFonts w:hint="eastAsia"/>
              </w:rPr>
              <w:t xml:space="preserve">2026年半年度报告、减值准备、关联交易等</w:t>
            </w:r>
          </w:p>
        </w:tc>
        <w:tc>
          <w:tcPr/>
          <w:p>
            <w:pPr>
              <w:pStyle w:val="Compact"/>
            </w:pPr>
            <w:r>
              <w:rPr>
                <w:rFonts w:hint="eastAsia"/>
              </w:rPr>
              <w:t xml:space="preserve">需看业绩质量与减值冲击</w:t>
            </w:r>
          </w:p>
        </w:tc>
      </w:tr>
      <w:tr>
        <w:tc>
          <w:tcPr/>
          <w:p>
            <w:pPr>
              <w:pStyle w:val="Compact"/>
            </w:pPr>
            <w:r>
              <w:rPr>
                <w:rFonts w:hint="eastAsia"/>
              </w:rPr>
              <w:t xml:space="preserve">中科曙光</w:t>
            </w:r>
          </w:p>
        </w:tc>
        <w:tc>
          <w:tcPr/>
          <w:p>
            <w:pPr>
              <w:pStyle w:val="Compact"/>
            </w:pPr>
            <w:r>
              <w:t xml:space="preserve">603019</w:t>
            </w:r>
          </w:p>
        </w:tc>
        <w:tc>
          <w:tcPr/>
          <w:p>
            <w:pPr>
              <w:pStyle w:val="Compact"/>
            </w:pPr>
            <w:r>
              <w:rPr>
                <w:rFonts w:hint="eastAsia"/>
              </w:rPr>
              <w:t xml:space="preserve">2026年半年度报告、募投项目调整、闲置募集资金现金管理、回购注销等</w:t>
            </w:r>
          </w:p>
        </w:tc>
        <w:tc>
          <w:tcPr/>
          <w:p>
            <w:pPr>
              <w:pStyle w:val="Compact"/>
            </w:pPr>
            <w:r>
              <w:rPr>
                <w:rFonts w:hint="eastAsia"/>
              </w:rPr>
              <w:t xml:space="preserve">算力中军，公告密集，盘中看承接</w:t>
            </w:r>
          </w:p>
        </w:tc>
      </w:tr>
      <w:tr>
        <w:tc>
          <w:tcPr/>
          <w:p>
            <w:pPr>
              <w:pStyle w:val="Compact"/>
            </w:pPr>
            <w:r>
              <w:rPr>
                <w:rFonts w:hint="eastAsia"/>
              </w:rPr>
              <w:t xml:space="preserve">华创云信</w:t>
            </w:r>
          </w:p>
        </w:tc>
        <w:tc>
          <w:tcPr/>
          <w:p>
            <w:pPr>
              <w:pStyle w:val="Compact"/>
            </w:pPr>
            <w:r>
              <w:t xml:space="preserve">600155</w:t>
            </w:r>
          </w:p>
        </w:tc>
        <w:tc>
          <w:tcPr/>
          <w:p>
            <w:pPr>
              <w:pStyle w:val="Compact"/>
            </w:pPr>
            <w:r>
              <w:rPr>
                <w:rFonts w:hint="eastAsia"/>
              </w:rPr>
              <w:t xml:space="preserve">股东权益变动暨第一大股东变更</w:t>
            </w:r>
          </w:p>
        </w:tc>
        <w:tc>
          <w:tcPr/>
          <w:p>
            <w:pPr>
              <w:pStyle w:val="Compact"/>
            </w:pPr>
            <w:r>
              <w:rPr>
                <w:rFonts w:hint="eastAsia"/>
              </w:rPr>
              <w:t xml:space="preserve">券商/金控属性，事件驱动</w:t>
            </w:r>
          </w:p>
        </w:tc>
      </w:tr>
      <w:tr>
        <w:tc>
          <w:tcPr/>
          <w:p>
            <w:pPr>
              <w:pStyle w:val="Compact"/>
            </w:pPr>
            <w:r>
              <w:rPr>
                <w:rFonts w:hint="eastAsia"/>
              </w:rPr>
              <w:t xml:space="preserve">华昌化工</w:t>
            </w:r>
          </w:p>
        </w:tc>
        <w:tc>
          <w:tcPr/>
          <w:p>
            <w:pPr>
              <w:pStyle w:val="Compact"/>
            </w:pPr>
            <w:r>
              <w:t xml:space="preserve">002274</w:t>
            </w:r>
          </w:p>
        </w:tc>
        <w:tc>
          <w:tcPr/>
          <w:p>
            <w:pPr>
              <w:pStyle w:val="Compact"/>
            </w:pPr>
            <w:r>
              <w:rPr>
                <w:rFonts w:hint="eastAsia"/>
              </w:rPr>
              <w:t xml:space="preserve">筹划控股权变更事项停牌</w:t>
            </w:r>
          </w:p>
        </w:tc>
        <w:tc>
          <w:tcPr/>
          <w:p>
            <w:pPr>
              <w:pStyle w:val="Compact"/>
            </w:pPr>
            <w:r>
              <w:rPr>
                <w:rFonts w:hint="eastAsia"/>
              </w:rPr>
              <w:t xml:space="preserve">化工方向事件催化</w:t>
            </w:r>
          </w:p>
        </w:tc>
      </w:tr>
      <w:tr>
        <w:tc>
          <w:tcPr/>
          <w:p>
            <w:pPr>
              <w:pStyle w:val="Compact"/>
            </w:pPr>
            <w:r>
              <w:rPr>
                <w:rFonts w:hint="eastAsia"/>
              </w:rPr>
              <w:t xml:space="preserve">软通动力</w:t>
            </w:r>
          </w:p>
        </w:tc>
        <w:tc>
          <w:tcPr/>
          <w:p>
            <w:pPr>
              <w:pStyle w:val="Compact"/>
            </w:pPr>
            <w:r>
              <w:t xml:space="preserve">301236</w:t>
            </w:r>
          </w:p>
        </w:tc>
        <w:tc>
          <w:tcPr/>
          <w:p>
            <w:pPr>
              <w:pStyle w:val="Compact"/>
            </w:pPr>
            <w:r>
              <w:rPr>
                <w:rFonts w:hint="eastAsia"/>
              </w:rPr>
              <w:t xml:space="preserve">向特定对象发行限售股上市流通提示</w:t>
            </w:r>
          </w:p>
        </w:tc>
        <w:tc>
          <w:tcPr/>
          <w:p>
            <w:pPr>
              <w:pStyle w:val="Compact"/>
            </w:pPr>
            <w:r>
              <w:rPr>
                <w:rFonts w:hint="eastAsia"/>
              </w:rPr>
              <w:t xml:space="preserve">供应增加压力，注意解禁扰动</w:t>
            </w:r>
          </w:p>
        </w:tc>
      </w:tr>
    </w:tbl>
    <w:bookmarkEnd w:id="20"/>
    <w:bookmarkStart w:id="21" w:name="公告风险统计"/>
    <w:p>
      <w:pPr>
        <w:pStyle w:val="Heading3"/>
      </w:pPr>
      <w:r>
        <w:t xml:space="preserve">⚠️ </w:t>
      </w:r>
      <w:r>
        <w:rPr>
          <w:rFonts w:hint="eastAsia"/>
        </w:rPr>
        <w:t xml:space="preserve">公告风险统计</w:t>
      </w:r>
    </w:p>
    <w:p>
      <w:pPr>
        <w:pStyle w:val="Compact"/>
        <w:numPr>
          <w:ilvl w:val="0"/>
          <w:numId w:val="1008"/>
        </w:numPr>
      </w:pPr>
      <w:r>
        <w:rPr>
          <w:rFonts w:hint="eastAsia"/>
        </w:rPr>
        <w:t xml:space="preserve">解禁/解除限售相关：17项。</w:t>
      </w:r>
    </w:p>
    <w:p>
      <w:pPr>
        <w:pStyle w:val="Compact"/>
        <w:numPr>
          <w:ilvl w:val="0"/>
          <w:numId w:val="1008"/>
        </w:numPr>
      </w:pPr>
      <w:r>
        <w:rPr>
          <w:rFonts w:hint="eastAsia"/>
        </w:rPr>
        <w:t xml:space="preserve">减持相关：13项。</w:t>
      </w:r>
    </w:p>
    <w:p>
      <w:pPr>
        <w:pStyle w:val="Compact"/>
        <w:numPr>
          <w:ilvl w:val="0"/>
          <w:numId w:val="1008"/>
        </w:numPr>
      </w:pPr>
      <w:r>
        <w:rPr>
          <w:rFonts w:hint="eastAsia"/>
        </w:rPr>
        <w:t xml:space="preserve">半年度报告/业绩类：1324项。</w:t>
      </w:r>
    </w:p>
    <w:p>
      <w:pPr>
        <w:pStyle w:val="Compact"/>
        <w:numPr>
          <w:ilvl w:val="0"/>
          <w:numId w:val="1008"/>
        </w:numPr>
      </w:pPr>
      <w:r>
        <w:rPr>
          <w:rFonts w:hint="eastAsia"/>
        </w:rPr>
        <w:t xml:space="preserve">问询函/监管沟通：22项。</w:t>
      </w:r>
    </w:p>
    <w:p>
      <w:pPr>
        <w:pStyle w:val="Compact"/>
        <w:numPr>
          <w:ilvl w:val="0"/>
          <w:numId w:val="1008"/>
        </w:numPr>
      </w:pPr>
      <w:r>
        <w:rPr>
          <w:rFonts w:hint="eastAsia"/>
        </w:rPr>
        <w:t xml:space="preserve">减值准备：170项。</w:t>
      </w:r>
    </w:p>
    <w:p>
      <w:pPr>
        <w:pStyle w:val="Compact"/>
        <w:numPr>
          <w:ilvl w:val="0"/>
          <w:numId w:val="1008"/>
        </w:numPr>
      </w:pPr>
      <w:r>
        <w:rPr>
          <w:rFonts w:hint="eastAsia"/>
        </w:rPr>
        <w:t xml:space="preserve">回购或增持相关：60项。</w:t>
      </w:r>
    </w:p>
    <w:p>
      <w:pPr>
        <w:pStyle w:val="Compact"/>
        <w:numPr>
          <w:ilvl w:val="0"/>
          <w:numId w:val="1008"/>
        </w:numPr>
      </w:pPr>
      <w:r>
        <w:rPr>
          <w:rFonts w:hint="eastAsia"/>
        </w:rPr>
        <w:t xml:space="preserve">重组相关：9项。</w:t>
      </w:r>
    </w:p>
    <w:bookmarkEnd w:id="21"/>
    <w:bookmarkStart w:id="22" w:name="公告主源失败降级说明"/>
    <w:p>
      <w:pPr>
        <w:pStyle w:val="Heading3"/>
      </w:pPr>
      <w:r>
        <w:t xml:space="preserve">🧾 </w:t>
      </w:r>
      <w:r>
        <w:rPr>
          <w:rFonts w:hint="eastAsia"/>
        </w:rPr>
        <w:t xml:space="preserve">公告主源失败降级说明</w:t>
      </w:r>
    </w:p>
    <w:p>
      <w:pPr>
        <w:pStyle w:val="FirstParagraph"/>
      </w:pPr>
      <w:r>
        <w:t xml:space="preserve">derived.mx_intelligence.announcement_fallback </w:t>
      </w:r>
      <w:r>
        <w:rPr>
          <w:rFonts w:hint="eastAsia"/>
        </w:rPr>
        <w:t xml:space="preserve">状态为</w:t>
      </w:r>
      <w:r>
        <w:t xml:space="preserve"> </w:t>
      </w:r>
      <w:r>
        <w:rPr>
          <w:rFonts w:hint="eastAsia"/>
        </w:rPr>
        <w:t xml:space="preserve">usable，可有限引用2条妙想只读公告型新闻；以下均为“未经交易所公告主源复核”：</w:t>
      </w:r>
    </w:p>
    <w:p>
      <w:pPr>
        <w:numPr>
          <w:ilvl w:val="0"/>
          <w:numId w:val="1009"/>
        </w:numPr>
      </w:pPr>
      <w:r>
        <w:rPr>
          <w:rFonts w:hint="eastAsia"/>
        </w:rPr>
        <w:t xml:space="preserve">中科电气：关于向特定对象发行A股股票预案披露的提示性公告</w:t>
      </w:r>
      <w:r>
        <w:br/>
      </w:r>
      <w:r>
        <w:rPr>
          <w:rFonts w:hint="eastAsia"/>
        </w:rPr>
        <w:t xml:space="preserve">发布时间：2026-08-26</w:t>
      </w:r>
      <w:r>
        <w:t xml:space="preserve"> 00:20:42 +0800</w:t>
      </w:r>
      <w:r>
        <w:br/>
      </w:r>
      <w:r>
        <w:rPr>
          <w:rFonts w:hint="eastAsia"/>
        </w:rPr>
        <w:t xml:space="preserve">来源：妙想只读新闻增强</w:t>
      </w:r>
      <w:r>
        <w:br/>
      </w:r>
      <w:r>
        <w:rPr>
          <w:rFonts w:hint="eastAsia"/>
        </w:rPr>
        <w:t xml:space="preserve">核心信息：公司审议通过2026年度向特定对象发行A股股票相关议案，尚需股东会审议、深交所审核、中国证监会注册。</w:t>
      </w:r>
    </w:p>
    <w:p>
      <w:pPr>
        <w:numPr>
          <w:ilvl w:val="0"/>
          <w:numId w:val="1009"/>
        </w:numPr>
      </w:pPr>
      <w:r>
        <w:rPr>
          <w:rFonts w:hint="eastAsia"/>
        </w:rPr>
        <w:t xml:space="preserve">久盛电气：关于2026年度向特定对象发行A股股票申请获得深圳证券交易所受理的公告</w:t>
      </w:r>
      <w:r>
        <w:br/>
      </w:r>
      <w:r>
        <w:rPr>
          <w:rFonts w:hint="eastAsia"/>
        </w:rPr>
        <w:t xml:space="preserve">发布时间：2026-08-26</w:t>
      </w:r>
      <w:r>
        <w:t xml:space="preserve"> 08:05:03 +0800</w:t>
      </w:r>
      <w:r>
        <w:br/>
      </w:r>
      <w:r>
        <w:rPr>
          <w:rFonts w:hint="eastAsia"/>
        </w:rPr>
        <w:t xml:space="preserve">来源：妙想只读新闻增强</w:t>
      </w:r>
      <w:r>
        <w:br/>
      </w:r>
      <w:r>
        <w:rPr>
          <w:rFonts w:hint="eastAsia"/>
        </w:rPr>
        <w:t xml:space="preserve">核心信息：公司向特定对象发行A股股票申请获得深交所受理，后续仍需审核和注册。</w:t>
      </w:r>
    </w:p>
    <w:bookmarkEnd w:id="22"/>
    <w:bookmarkEnd w:id="23"/>
    <w:bookmarkStart w:id="26" w:name="今日经济数据与事件工信部新闻发布会卫生健康改革ai与游戏展会窗口"/>
    <w:p>
      <w:pPr>
        <w:pStyle w:val="Heading2"/>
      </w:pPr>
      <w:r>
        <w:t xml:space="preserve">🗓️ </w:t>
      </w:r>
      <w:r>
        <w:rPr>
          <w:rFonts w:hint="eastAsia"/>
        </w:rPr>
        <w:t xml:space="preserve">今日经济数据与事件：工信部新闻发布会、卫生健康改革、AI与游戏展会窗口</w:t>
      </w:r>
    </w:p>
    <w:bookmarkStart w:id="24" w:name="今日事件"/>
    <w:p>
      <w:pPr>
        <w:pStyle w:val="Heading3"/>
      </w:pPr>
      <w:r>
        <w:t xml:space="preserve">📍 </w:t>
      </w:r>
      <w:r>
        <w:rPr>
          <w:rFonts w:hint="eastAsia"/>
        </w:rPr>
        <w:t xml:space="preserve">今日事件</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时间/事项</w:t>
            </w:r>
          </w:p>
        </w:tc>
        <w:tc>
          <w:tcPr/>
          <w:p>
            <w:pPr>
              <w:pStyle w:val="Compact"/>
            </w:pPr>
            <w:r>
              <w:rPr>
                <w:rFonts w:hint="eastAsia"/>
              </w:rPr>
              <w:t xml:space="preserve">内容</w:t>
            </w:r>
          </w:p>
        </w:tc>
        <w:tc>
          <w:tcPr/>
          <w:p>
            <w:pPr>
              <w:pStyle w:val="Compact"/>
            </w:pPr>
            <w:r>
              <w:rPr>
                <w:rFonts w:hint="eastAsia"/>
              </w:rPr>
              <w:t xml:space="preserve">A股映射</w:t>
            </w:r>
          </w:p>
        </w:tc>
      </w:tr>
      <w:tr>
        <w:tc>
          <w:tcPr/>
          <w:p>
            <w:pPr>
              <w:pStyle w:val="Compact"/>
            </w:pPr>
            <w:r>
              <w:rPr>
                <w:rFonts w:hint="eastAsia"/>
              </w:rPr>
              <w:t xml:space="preserve">8月26日10:00</w:t>
            </w:r>
          </w:p>
        </w:tc>
        <w:tc>
          <w:tcPr/>
          <w:p>
            <w:pPr>
              <w:pStyle w:val="Compact"/>
            </w:pPr>
            <w:r>
              <w:rPr>
                <w:rFonts w:hint="eastAsia"/>
              </w:rPr>
              <w:t xml:space="preserve">国新办“开局起步‘十五五’”新闻发布会，工信部介绍新型工业化</w:t>
            </w:r>
          </w:p>
        </w:tc>
        <w:tc>
          <w:tcPr/>
          <w:p>
            <w:pPr>
              <w:pStyle w:val="Compact"/>
            </w:pPr>
            <w:r>
              <w:rPr>
                <w:rFonts w:hint="eastAsia"/>
              </w:rPr>
              <w:t xml:space="preserve">工业母机、机器人、智能制造、半导体设备</w:t>
            </w:r>
          </w:p>
        </w:tc>
      </w:tr>
      <w:tr>
        <w:tc>
          <w:tcPr/>
          <w:p>
            <w:pPr>
              <w:pStyle w:val="Compact"/>
            </w:pPr>
            <w:r>
              <w:rPr>
                <w:rFonts w:hint="eastAsia"/>
              </w:rPr>
              <w:t xml:space="preserve">8月26日15:00</w:t>
            </w:r>
          </w:p>
        </w:tc>
        <w:tc>
          <w:tcPr/>
          <w:p>
            <w:pPr>
              <w:pStyle w:val="Compact"/>
            </w:pPr>
            <w:r>
              <w:rPr>
                <w:rFonts w:hint="eastAsia"/>
              </w:rPr>
              <w:t xml:space="preserve">国家卫健委介绍基层卫生健康综合试验区改革创新经验</w:t>
            </w:r>
          </w:p>
        </w:tc>
        <w:tc>
          <w:tcPr/>
          <w:p>
            <w:pPr>
              <w:pStyle w:val="Compact"/>
            </w:pPr>
            <w:r>
              <w:rPr>
                <w:rFonts w:hint="eastAsia"/>
              </w:rPr>
              <w:t xml:space="preserve">医疗信息化、基层医疗、医药流通</w:t>
            </w:r>
          </w:p>
        </w:tc>
      </w:tr>
      <w:tr>
        <w:tc>
          <w:tcPr/>
          <w:p>
            <w:pPr>
              <w:pStyle w:val="Compact"/>
            </w:pPr>
            <w:r>
              <w:rPr>
                <w:rFonts w:hint="eastAsia"/>
              </w:rPr>
              <w:t xml:space="preserve">8月26日至28日</w:t>
            </w:r>
          </w:p>
        </w:tc>
        <w:tc>
          <w:tcPr/>
          <w:p>
            <w:pPr>
              <w:pStyle w:val="Compact"/>
            </w:pPr>
            <w:r>
              <w:t xml:space="preserve">2026 </w:t>
            </w:r>
            <w:r>
              <w:rPr>
                <w:rFonts w:hint="eastAsia"/>
              </w:rPr>
              <w:t xml:space="preserve">AGIC深圳国际通用人工智能产业博览会暨GERX全球具身智能机器人产业博览会</w:t>
            </w:r>
          </w:p>
        </w:tc>
        <w:tc>
          <w:tcPr/>
          <w:p>
            <w:pPr>
              <w:pStyle w:val="Compact"/>
            </w:pPr>
            <w:r>
              <w:rPr>
                <w:rFonts w:hint="eastAsia"/>
              </w:rPr>
              <w:t xml:space="preserve">具身智能、机器人、传感器、减速器</w:t>
            </w:r>
          </w:p>
        </w:tc>
      </w:tr>
      <w:tr>
        <w:tc>
          <w:tcPr/>
          <w:p>
            <w:pPr>
              <w:pStyle w:val="Compact"/>
            </w:pPr>
            <w:r>
              <w:rPr>
                <w:rFonts w:hint="eastAsia"/>
              </w:rPr>
              <w:t xml:space="preserve">当地时间8月26日至30日</w:t>
            </w:r>
          </w:p>
        </w:tc>
        <w:tc>
          <w:tcPr/>
          <w:p>
            <w:pPr>
              <w:pStyle w:val="Compact"/>
            </w:pPr>
            <w:r>
              <w:rPr>
                <w:rFonts w:hint="eastAsia"/>
              </w:rPr>
              <w:t xml:space="preserve">德国科隆游戏展，微软、任天堂、腾讯、网易等亮相</w:t>
            </w:r>
          </w:p>
        </w:tc>
        <w:tc>
          <w:tcPr/>
          <w:p>
            <w:pPr>
              <w:pStyle w:val="Compact"/>
            </w:pPr>
            <w:r>
              <w:rPr>
                <w:rFonts w:hint="eastAsia"/>
              </w:rPr>
              <w:t xml:space="preserve">游戏、传媒、AI内容</w:t>
            </w:r>
          </w:p>
        </w:tc>
      </w:tr>
      <w:tr>
        <w:tc>
          <w:tcPr/>
          <w:p>
            <w:pPr>
              <w:pStyle w:val="Compact"/>
            </w:pPr>
            <w:r>
              <w:rPr>
                <w:rFonts w:hint="eastAsia"/>
              </w:rPr>
              <w:t xml:space="preserve">当地时间8月26日盘后</w:t>
            </w:r>
          </w:p>
        </w:tc>
        <w:tc>
          <w:tcPr/>
          <w:p>
            <w:pPr>
              <w:pStyle w:val="Compact"/>
            </w:pPr>
            <w:r>
              <w:rPr>
                <w:rFonts w:hint="eastAsia"/>
              </w:rPr>
              <w:t xml:space="preserve">英伟达发布2027财年第二季度业绩</w:t>
            </w:r>
          </w:p>
        </w:tc>
        <w:tc>
          <w:tcPr/>
          <w:p>
            <w:pPr>
              <w:pStyle w:val="Compact"/>
            </w:pPr>
            <w:r>
              <w:rPr>
                <w:rFonts w:hint="eastAsia"/>
              </w:rPr>
              <w:t xml:space="preserve">AI算力链重大验证点</w:t>
            </w:r>
          </w:p>
        </w:tc>
      </w:tr>
    </w:tbl>
    <w:bookmarkEnd w:id="24"/>
    <w:bookmarkStart w:id="25" w:name="盘前动作"/>
    <w:p>
      <w:pPr>
        <w:pStyle w:val="Heading3"/>
      </w:pPr>
      <w:r>
        <w:t xml:space="preserve">💡 </w:t>
      </w:r>
      <w:r>
        <w:rPr>
          <w:rFonts w:hint="eastAsia"/>
        </w:rPr>
        <w:t xml:space="preserve">盘前动作</w:t>
      </w:r>
    </w:p>
    <w:p>
      <w:pPr>
        <w:pStyle w:val="Compact"/>
        <w:numPr>
          <w:ilvl w:val="0"/>
          <w:numId w:val="1010"/>
        </w:numPr>
      </w:pPr>
      <w:r>
        <w:rPr>
          <w:rFonts w:hint="eastAsia"/>
        </w:rPr>
        <w:t xml:space="preserve">工信部发布会若强化新型工业化、工业软件、智能制造，专用设备与自动化设备有继续扩散可能。</w:t>
      </w:r>
    </w:p>
    <w:p>
      <w:pPr>
        <w:pStyle w:val="Compact"/>
        <w:numPr>
          <w:ilvl w:val="0"/>
          <w:numId w:val="1010"/>
        </w:numPr>
      </w:pPr>
      <w:r>
        <w:rPr>
          <w:rFonts w:hint="eastAsia"/>
        </w:rPr>
        <w:t xml:space="preserve">英伟达财报前，A股AI硬件链容易出现“先涨后兑现”或“先分歧后修复”，不追开盘一致。</w:t>
      </w:r>
    </w:p>
    <w:bookmarkEnd w:id="25"/>
    <w:bookmarkEnd w:id="26"/>
    <w:bookmarkStart w:id="29" w:name="全球事件地缘扰动仍在油价下跌缓解输入压力"/>
    <w:p>
      <w:pPr>
        <w:pStyle w:val="Heading2"/>
      </w:pPr>
      <w:r>
        <w:t xml:space="preserve">🌐 </w:t>
      </w:r>
      <w:r>
        <w:rPr>
          <w:rFonts w:hint="eastAsia"/>
        </w:rPr>
        <w:t xml:space="preserve">全球事件：地缘扰动仍在，油价下跌缓解输入压力</w:t>
      </w:r>
    </w:p>
    <w:bookmarkStart w:id="27" w:name="主要风险"/>
    <w:p>
      <w:pPr>
        <w:pStyle w:val="Heading3"/>
      </w:pPr>
      <w:r>
        <w:t xml:space="preserve">⚠️ </w:t>
      </w:r>
      <w:r>
        <w:rPr>
          <w:rFonts w:hint="eastAsia"/>
        </w:rPr>
        <w:t xml:space="preserve">主要风险</w:t>
      </w:r>
    </w:p>
    <w:p>
      <w:pPr>
        <w:pStyle w:val="Compact"/>
        <w:numPr>
          <w:ilvl w:val="0"/>
          <w:numId w:val="1011"/>
        </w:numPr>
      </w:pPr>
      <w:r>
        <w:rPr>
          <w:rFonts w:hint="eastAsia"/>
        </w:rPr>
        <w:t xml:space="preserve">美国宣布对伊朗实施新一轮制裁，范围扩大至航空、数字资产、黄金、航运和技术行业。</w:t>
      </w:r>
    </w:p>
    <w:p>
      <w:pPr>
        <w:pStyle w:val="Compact"/>
        <w:numPr>
          <w:ilvl w:val="0"/>
          <w:numId w:val="1011"/>
        </w:numPr>
      </w:pPr>
      <w:r>
        <w:rPr>
          <w:rFonts w:hint="eastAsia"/>
        </w:rPr>
        <w:t xml:space="preserve">美国威胁从2027年1月1日起提高对加拿大汽车、汽车零部件和钢铁等产品关税至50%。</w:t>
      </w:r>
    </w:p>
    <w:p>
      <w:pPr>
        <w:pStyle w:val="Compact"/>
        <w:numPr>
          <w:ilvl w:val="0"/>
          <w:numId w:val="1011"/>
        </w:numPr>
      </w:pPr>
      <w:r>
        <w:rPr>
          <w:rFonts w:hint="eastAsia"/>
        </w:rPr>
        <w:t xml:space="preserve">英国批准与乌克兰分享“风暴之影”导弹制造技术，俄方称将摧毁相关目标。</w:t>
      </w:r>
    </w:p>
    <w:p>
      <w:pPr>
        <w:pStyle w:val="Compact"/>
        <w:numPr>
          <w:ilvl w:val="0"/>
          <w:numId w:val="1011"/>
        </w:numPr>
      </w:pPr>
      <w:r>
        <w:rPr>
          <w:rFonts w:hint="eastAsia"/>
        </w:rPr>
        <w:t xml:space="preserve">红海与海峡航运阻断风险仍被联合国关注。</w:t>
      </w:r>
    </w:p>
    <w:bookmarkEnd w:id="27"/>
    <w:bookmarkStart w:id="28" w:name="大宗与避险"/>
    <w:p>
      <w:pPr>
        <w:pStyle w:val="Heading3"/>
      </w:pPr>
      <w:r>
        <w:t xml:space="preserve">🛢️ </w:t>
      </w:r>
      <w:r>
        <w:rPr>
          <w:rFonts w:hint="eastAsia"/>
        </w:rPr>
        <w:t xml:space="preserve">大宗与避险</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资产</w:t>
            </w:r>
          </w:p>
        </w:tc>
        <w:tc>
          <w:tcPr/>
          <w:p>
            <w:pPr>
              <w:pStyle w:val="Compact"/>
              <w:jc w:val="right"/>
            </w:pPr>
            <w:r>
              <w:rPr>
                <w:rFonts w:hint="eastAsia"/>
              </w:rPr>
              <w:t xml:space="preserve">最新</w:t>
            </w:r>
          </w:p>
        </w:tc>
        <w:tc>
          <w:tcPr/>
          <w:p>
            <w:pPr>
              <w:pStyle w:val="Compact"/>
              <w:jc w:val="right"/>
            </w:pPr>
            <w:r>
              <w:rPr>
                <w:rFonts w:hint="eastAsia"/>
              </w:rPr>
              <w:t xml:space="preserve">涨跌幅</w:t>
            </w:r>
          </w:p>
        </w:tc>
        <w:tc>
          <w:tcPr/>
          <w:p>
            <w:pPr>
              <w:pStyle w:val="Compact"/>
            </w:pPr>
            <w:r>
              <w:rPr>
                <w:rFonts w:hint="eastAsia"/>
              </w:rPr>
              <w:t xml:space="preserve">解读</w:t>
            </w:r>
          </w:p>
        </w:tc>
      </w:tr>
      <w:tr>
        <w:tc>
          <w:tcPr/>
          <w:p>
            <w:pPr>
              <w:pStyle w:val="Compact"/>
            </w:pPr>
            <w:r>
              <w:rPr>
                <w:rFonts w:hint="eastAsia"/>
              </w:rPr>
              <w:t xml:space="preserve">COMEX黄金</w:t>
            </w:r>
          </w:p>
        </w:tc>
        <w:tc>
          <w:tcPr/>
          <w:p>
            <w:pPr>
              <w:pStyle w:val="Compact"/>
              <w:jc w:val="right"/>
            </w:pPr>
            <w:r>
              <w:t xml:space="preserve">4703.504</w:t>
            </w:r>
          </w:p>
        </w:tc>
        <w:tc>
          <w:tcPr/>
          <w:p>
            <w:pPr>
              <w:pStyle w:val="Compact"/>
              <w:jc w:val="right"/>
            </w:pPr>
            <w:r>
              <w:t xml:space="preserve">🔴 +0.19%</w:t>
            </w:r>
          </w:p>
        </w:tc>
        <w:tc>
          <w:tcPr/>
          <w:p>
            <w:pPr>
              <w:pStyle w:val="Compact"/>
            </w:pPr>
            <w:r>
              <w:rPr>
                <w:rFonts w:hint="eastAsia"/>
              </w:rPr>
              <w:t xml:space="preserve">避险温和存在</w:t>
            </w:r>
          </w:p>
        </w:tc>
      </w:tr>
      <w:tr>
        <w:tc>
          <w:tcPr/>
          <w:p>
            <w:pPr>
              <w:pStyle w:val="Compact"/>
            </w:pPr>
            <w:r>
              <w:rPr>
                <w:rFonts w:hint="eastAsia"/>
              </w:rPr>
              <w:t xml:space="preserve">WTI原油</w:t>
            </w:r>
          </w:p>
        </w:tc>
        <w:tc>
          <w:tcPr/>
          <w:p>
            <w:pPr>
              <w:pStyle w:val="Compact"/>
              <w:jc w:val="right"/>
            </w:pPr>
            <w:r>
              <w:t xml:space="preserve">80.962</w:t>
            </w:r>
          </w:p>
        </w:tc>
        <w:tc>
          <w:tcPr/>
          <w:p>
            <w:pPr>
              <w:pStyle w:val="Compact"/>
              <w:jc w:val="right"/>
            </w:pPr>
            <w:r>
              <w:t xml:space="preserve">🟢 -1.70%</w:t>
            </w:r>
          </w:p>
        </w:tc>
        <w:tc>
          <w:tcPr/>
          <w:p>
            <w:pPr>
              <w:pStyle w:val="Compact"/>
            </w:pPr>
            <w:r>
              <w:rPr>
                <w:rFonts w:hint="eastAsia"/>
              </w:rPr>
              <w:t xml:space="preserve">能源输入压力下降</w:t>
            </w:r>
          </w:p>
        </w:tc>
      </w:tr>
      <w:tr>
        <w:tc>
          <w:tcPr/>
          <w:p>
            <w:pPr>
              <w:pStyle w:val="Compact"/>
            </w:pPr>
            <w:r>
              <w:rPr>
                <w:rFonts w:hint="eastAsia"/>
              </w:rPr>
              <w:t xml:space="preserve">伦铜</w:t>
            </w:r>
          </w:p>
        </w:tc>
        <w:tc>
          <w:tcPr/>
          <w:p>
            <w:pPr>
              <w:pStyle w:val="Compact"/>
              <w:jc w:val="right"/>
            </w:pPr>
            <w:r>
              <w:t xml:space="preserve">14347.0</w:t>
            </w:r>
          </w:p>
        </w:tc>
        <w:tc>
          <w:tcPr/>
          <w:p>
            <w:pPr>
              <w:pStyle w:val="Compact"/>
              <w:jc w:val="right"/>
            </w:pPr>
            <w:r>
              <w:t xml:space="preserve">🟢 -0.02%</w:t>
            </w:r>
          </w:p>
        </w:tc>
        <w:tc>
          <w:tcPr/>
          <w:p>
            <w:pPr>
              <w:pStyle w:val="Compact"/>
            </w:pPr>
            <w:r>
              <w:rPr>
                <w:rFonts w:hint="eastAsia"/>
              </w:rPr>
              <w:t xml:space="preserve">工业金属偏平</w:t>
            </w:r>
          </w:p>
        </w:tc>
      </w:tr>
    </w:tbl>
    <w:p>
      <w:pPr>
        <w:pStyle w:val="BodyText"/>
      </w:pPr>
      <w:r>
        <w:t xml:space="preserve">💡 </w:t>
      </w:r>
      <w:r>
        <w:rPr>
          <w:rFonts w:hint="eastAsia"/>
        </w:rPr>
        <w:t xml:space="preserve">对A股影响：</w:t>
      </w:r>
    </w:p>
    <w:p>
      <w:pPr>
        <w:pStyle w:val="Compact"/>
        <w:numPr>
          <w:ilvl w:val="0"/>
          <w:numId w:val="1012"/>
        </w:numPr>
      </w:pPr>
      <w:r>
        <w:rPr>
          <w:rFonts w:hint="eastAsia"/>
        </w:rPr>
        <w:t xml:space="preserve">油价下跌利好航空、化工下游、交通运输成本端。</w:t>
      </w:r>
    </w:p>
    <w:p>
      <w:pPr>
        <w:pStyle w:val="Compact"/>
        <w:numPr>
          <w:ilvl w:val="0"/>
          <w:numId w:val="1012"/>
        </w:numPr>
      </w:pPr>
      <w:r>
        <w:rPr>
          <w:rFonts w:hint="eastAsia"/>
        </w:rPr>
        <w:t xml:space="preserve">地缘扰动对航运、黄金、军工形成脉冲，但不能替代主线确认。</w:t>
      </w:r>
    </w:p>
    <w:p>
      <w:pPr>
        <w:pStyle w:val="Compact"/>
        <w:numPr>
          <w:ilvl w:val="0"/>
          <w:numId w:val="1012"/>
        </w:numPr>
      </w:pPr>
      <w:r>
        <w:rPr>
          <w:rFonts w:hint="eastAsia"/>
        </w:rPr>
        <w:t xml:space="preserve">有色金属上一交易日主力净流出-54.99亿元，资源股短线仍是风险释放区。</w:t>
      </w:r>
    </w:p>
    <w:bookmarkEnd w:id="28"/>
    <w:bookmarkEnd w:id="29"/>
    <w:bookmarkStart w:id="32" w:name="昨日复盘缩量普反个股修复强于指数结构分化明显"/>
    <w:p>
      <w:pPr>
        <w:pStyle w:val="Heading2"/>
      </w:pPr>
      <w:r>
        <w:t xml:space="preserve">📊 </w:t>
      </w:r>
      <w:r>
        <w:rPr>
          <w:rFonts w:hint="eastAsia"/>
        </w:rPr>
        <w:t xml:space="preserve">昨日复盘：缩量普反，个股修复强于指数，结构分化明显</w:t>
      </w:r>
    </w:p>
    <w:bookmarkStart w:id="30" w:name="主要指数表现"/>
    <w:p>
      <w:pPr>
        <w:pStyle w:val="Heading3"/>
      </w:pPr>
      <w:r>
        <w:t xml:space="preserve">📈🔴🟢 </w:t>
      </w:r>
      <w:r>
        <w:rPr>
          <w:rFonts w:hint="eastAsia"/>
        </w:rPr>
        <w:t xml:space="preserve">主要指数表现</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指数</w:t>
            </w:r>
          </w:p>
        </w:tc>
        <w:tc>
          <w:tcPr/>
          <w:p>
            <w:pPr>
              <w:pStyle w:val="Compact"/>
              <w:jc w:val="right"/>
            </w:pPr>
            <w:r>
              <w:rPr>
                <w:rFonts w:hint="eastAsia"/>
              </w:rPr>
              <w:t xml:space="preserve">收盘</w:t>
            </w:r>
          </w:p>
        </w:tc>
        <w:tc>
          <w:tcPr/>
          <w:p>
            <w:pPr>
              <w:pStyle w:val="Compact"/>
              <w:jc w:val="right"/>
            </w:pPr>
            <w:r>
              <w:rPr>
                <w:rFonts w:hint="eastAsia"/>
              </w:rPr>
              <w:t xml:space="preserve">涨跌幅</w:t>
            </w:r>
          </w:p>
        </w:tc>
        <w:tc>
          <w:tcPr/>
          <w:p>
            <w:pPr>
              <w:pStyle w:val="Compact"/>
              <w:jc w:val="right"/>
            </w:pPr>
            <w:r>
              <w:rPr>
                <w:rFonts w:hint="eastAsia"/>
              </w:rPr>
              <w:t xml:space="preserve">成交额</w:t>
            </w:r>
          </w:p>
        </w:tc>
      </w:tr>
      <w:tr>
        <w:tc>
          <w:tcPr/>
          <w:p>
            <w:pPr>
              <w:pStyle w:val="Compact"/>
            </w:pPr>
            <w:r>
              <w:rPr>
                <w:rFonts w:hint="eastAsia"/>
              </w:rPr>
              <w:t xml:space="preserve">上证指数</w:t>
            </w:r>
          </w:p>
        </w:tc>
        <w:tc>
          <w:tcPr/>
          <w:p>
            <w:pPr>
              <w:pStyle w:val="Compact"/>
              <w:jc w:val="right"/>
            </w:pPr>
            <w:r>
              <w:t xml:space="preserve">3889.4449</w:t>
            </w:r>
          </w:p>
        </w:tc>
        <w:tc>
          <w:tcPr/>
          <w:p>
            <w:pPr>
              <w:pStyle w:val="Compact"/>
              <w:jc w:val="right"/>
            </w:pPr>
            <w:r>
              <w:t xml:space="preserve">🔴 +0.1916%</w:t>
            </w:r>
          </w:p>
        </w:tc>
        <w:tc>
          <w:tcPr/>
          <w:p>
            <w:pPr>
              <w:pStyle w:val="Compact"/>
              <w:jc w:val="right"/>
            </w:pPr>
            <w:r>
              <w:rPr>
                <w:rFonts w:hint="eastAsia"/>
              </w:rPr>
              <w:t xml:space="preserve">8588.74亿</w:t>
            </w:r>
          </w:p>
        </w:tc>
      </w:tr>
      <w:tr>
        <w:tc>
          <w:tcPr/>
          <w:p>
            <w:pPr>
              <w:pStyle w:val="Compact"/>
            </w:pPr>
            <w:r>
              <w:rPr>
                <w:rFonts w:hint="eastAsia"/>
              </w:rPr>
              <w:t xml:space="preserve">深证成指</w:t>
            </w:r>
          </w:p>
        </w:tc>
        <w:tc>
          <w:tcPr/>
          <w:p>
            <w:pPr>
              <w:pStyle w:val="Compact"/>
              <w:jc w:val="right"/>
            </w:pPr>
            <w:r>
              <w:t xml:space="preserve">13745.869</w:t>
            </w:r>
          </w:p>
        </w:tc>
        <w:tc>
          <w:tcPr/>
          <w:p>
            <w:pPr>
              <w:pStyle w:val="Compact"/>
              <w:jc w:val="right"/>
            </w:pPr>
            <w:r>
              <w:t xml:space="preserve">🟢 -0.3510%</w:t>
            </w:r>
          </w:p>
        </w:tc>
        <w:tc>
          <w:tcPr/>
          <w:p>
            <w:pPr>
              <w:pStyle w:val="Compact"/>
              <w:jc w:val="right"/>
            </w:pPr>
            <w:r>
              <w:rPr>
                <w:rFonts w:hint="eastAsia"/>
              </w:rPr>
              <w:t xml:space="preserve">9729.70亿</w:t>
            </w:r>
          </w:p>
        </w:tc>
      </w:tr>
      <w:tr>
        <w:tc>
          <w:tcPr/>
          <w:p>
            <w:pPr>
              <w:pStyle w:val="Compact"/>
            </w:pPr>
            <w:r>
              <w:rPr>
                <w:rFonts w:hint="eastAsia"/>
              </w:rPr>
              <w:t xml:space="preserve">创业板指</w:t>
            </w:r>
          </w:p>
        </w:tc>
        <w:tc>
          <w:tcPr/>
          <w:p>
            <w:pPr>
              <w:pStyle w:val="Compact"/>
              <w:jc w:val="right"/>
            </w:pPr>
            <w:r>
              <w:t xml:space="preserve">3397.515</w:t>
            </w:r>
          </w:p>
        </w:tc>
        <w:tc>
          <w:tcPr/>
          <w:p>
            <w:pPr>
              <w:pStyle w:val="Compact"/>
              <w:jc w:val="right"/>
            </w:pPr>
            <w:r>
              <w:t xml:space="preserve">🟢 -1.0015%</w:t>
            </w:r>
          </w:p>
        </w:tc>
        <w:tc>
          <w:tcPr/>
          <w:p>
            <w:pPr>
              <w:pStyle w:val="Compact"/>
              <w:jc w:val="right"/>
            </w:pPr>
            <w:r>
              <w:rPr>
                <w:rFonts w:hint="eastAsia"/>
              </w:rPr>
              <w:t xml:space="preserve">4639.77亿</w:t>
            </w:r>
          </w:p>
        </w:tc>
      </w:tr>
      <w:tr>
        <w:tc>
          <w:tcPr/>
          <w:p>
            <w:pPr>
              <w:pStyle w:val="Compact"/>
            </w:pPr>
            <w:r>
              <w:rPr>
                <w:rFonts w:hint="eastAsia"/>
              </w:rPr>
              <w:t xml:space="preserve">科创50</w:t>
            </w:r>
          </w:p>
        </w:tc>
        <w:tc>
          <w:tcPr/>
          <w:p>
            <w:pPr>
              <w:pStyle w:val="Compact"/>
              <w:jc w:val="right"/>
            </w:pPr>
            <w:r>
              <w:t xml:space="preserve">1604.5931</w:t>
            </w:r>
          </w:p>
        </w:tc>
        <w:tc>
          <w:tcPr/>
          <w:p>
            <w:pPr>
              <w:pStyle w:val="Compact"/>
              <w:jc w:val="right"/>
            </w:pPr>
            <w:r>
              <w:t xml:space="preserve">🔴 +0.1408%</w:t>
            </w:r>
          </w:p>
        </w:tc>
        <w:tc>
          <w:tcPr/>
          <w:p>
            <w:pPr>
              <w:pStyle w:val="Compact"/>
              <w:jc w:val="right"/>
            </w:pPr>
            <w:r>
              <w:rPr>
                <w:rFonts w:hint="eastAsia"/>
              </w:rPr>
              <w:t xml:space="preserve">752.93亿</w:t>
            </w:r>
          </w:p>
        </w:tc>
      </w:tr>
      <w:tr>
        <w:tc>
          <w:tcPr/>
          <w:p>
            <w:pPr>
              <w:pStyle w:val="Compact"/>
            </w:pPr>
            <w:r>
              <w:rPr>
                <w:rFonts w:hint="eastAsia"/>
              </w:rPr>
              <w:t xml:space="preserve">沪深300</w:t>
            </w:r>
          </w:p>
        </w:tc>
        <w:tc>
          <w:tcPr/>
          <w:p>
            <w:pPr>
              <w:pStyle w:val="Compact"/>
              <w:jc w:val="right"/>
            </w:pPr>
            <w:r>
              <w:t xml:space="preserve">4552.0326</w:t>
            </w:r>
          </w:p>
        </w:tc>
        <w:tc>
          <w:tcPr/>
          <w:p>
            <w:pPr>
              <w:pStyle w:val="Compact"/>
              <w:jc w:val="right"/>
            </w:pPr>
            <w:r>
              <w:t xml:space="preserve">🟢 -0.2431%</w:t>
            </w:r>
          </w:p>
        </w:tc>
        <w:tc>
          <w:tcPr/>
          <w:p>
            <w:pPr>
              <w:pStyle w:val="Compact"/>
              <w:jc w:val="right"/>
            </w:pPr>
            <w:r>
              <w:rPr>
                <w:rFonts w:hint="eastAsia"/>
              </w:rPr>
              <w:t xml:space="preserve">4804.22亿</w:t>
            </w:r>
          </w:p>
        </w:tc>
      </w:tr>
    </w:tbl>
    <w:bookmarkEnd w:id="30"/>
    <w:bookmarkStart w:id="31" w:name="宽度与成交额"/>
    <w:p>
      <w:pPr>
        <w:pStyle w:val="Heading3"/>
      </w:pPr>
      <w:r>
        <w:t xml:space="preserve">📌 </w:t>
      </w:r>
      <w:r>
        <w:rPr>
          <w:rFonts w:hint="eastAsia"/>
        </w:rPr>
        <w:t xml:space="preserve">宽度与成交额</w:t>
      </w:r>
    </w:p>
    <w:p>
      <w:pPr>
        <w:pStyle w:val="Compact"/>
        <w:numPr>
          <w:ilvl w:val="0"/>
          <w:numId w:val="1013"/>
        </w:numPr>
      </w:pPr>
      <w:r>
        <w:rPr>
          <w:rFonts w:hint="eastAsia"/>
        </w:rPr>
        <w:t xml:space="preserve">同花顺涨跌分布：上涨4234家，下跌1245家，平盘67家，停牌4家。</w:t>
      </w:r>
    </w:p>
    <w:p>
      <w:pPr>
        <w:pStyle w:val="Compact"/>
        <w:numPr>
          <w:ilvl w:val="0"/>
          <w:numId w:val="1013"/>
        </w:numPr>
      </w:pPr>
      <w:r>
        <w:rPr>
          <w:rFonts w:hint="eastAsia"/>
        </w:rPr>
        <w:t xml:space="preserve">TickFlow全市场日线：上涨4205家，下跌1274家，平盘67家；上涨占比75.8204%。</w:t>
      </w:r>
    </w:p>
    <w:p>
      <w:pPr>
        <w:pStyle w:val="Compact"/>
        <w:numPr>
          <w:ilvl w:val="0"/>
          <w:numId w:val="1013"/>
        </w:numPr>
      </w:pPr>
      <w:r>
        <w:rPr>
          <w:rFonts w:hint="eastAsia"/>
        </w:rPr>
        <w:t xml:space="preserve">全市场成交额：18442.78亿元，前一交易日20212.14亿元，减少1769.37亿元，变化-8.75%。</w:t>
      </w:r>
    </w:p>
    <w:p>
      <w:pPr>
        <w:pStyle w:val="Compact"/>
        <w:numPr>
          <w:ilvl w:val="0"/>
          <w:numId w:val="1013"/>
        </w:numPr>
      </w:pPr>
      <w:r>
        <w:rPr>
          <w:rFonts w:hint="eastAsia"/>
        </w:rPr>
        <w:t xml:space="preserve">成交额状态：温和缩量。</w:t>
      </w:r>
    </w:p>
    <w:p>
      <w:pPr>
        <w:pStyle w:val="FirstParagraph"/>
      </w:pPr>
      <w:r>
        <w:t xml:space="preserve">💡 </w:t>
      </w:r>
      <w:r>
        <w:rPr>
          <w:rFonts w:hint="eastAsia"/>
        </w:rPr>
        <w:t xml:space="preserve">解读：</w:t>
      </w:r>
    </w:p>
    <w:p>
      <w:pPr>
        <w:pStyle w:val="Compact"/>
        <w:numPr>
          <w:ilvl w:val="0"/>
          <w:numId w:val="1014"/>
        </w:numPr>
      </w:pPr>
      <w:r>
        <w:rPr>
          <w:rFonts w:hint="eastAsia"/>
        </w:rPr>
        <w:t xml:space="preserve">昨日是“缩量修复”，不是放量反攻。</w:t>
      </w:r>
    </w:p>
    <w:p>
      <w:pPr>
        <w:pStyle w:val="Compact"/>
        <w:numPr>
          <w:ilvl w:val="0"/>
          <w:numId w:val="1014"/>
        </w:numPr>
      </w:pPr>
      <w:r>
        <w:rPr>
          <w:rFonts w:hint="eastAsia"/>
        </w:rPr>
        <w:t xml:space="preserve">个股修复面较宽，但资金没有同步放大，说明短线追涨容错率一般。</w:t>
      </w:r>
    </w:p>
    <w:p>
      <w:pPr>
        <w:pStyle w:val="Compact"/>
        <w:numPr>
          <w:ilvl w:val="0"/>
          <w:numId w:val="1014"/>
        </w:numPr>
      </w:pPr>
      <w:r>
        <w:rPr>
          <w:rFonts w:hint="eastAsia"/>
        </w:rPr>
        <w:t xml:space="preserve">今日关键不是红盘数量，而是成交额能否回到20212.14亿元附近或至少止住缩量。</w:t>
      </w:r>
    </w:p>
    <w:bookmarkEnd w:id="31"/>
    <w:bookmarkEnd w:id="32"/>
    <w:bookmarkStart w:id="38" w:name="上一交易日收盘资金四榜"/>
    <w:p>
      <w:pPr>
        <w:pStyle w:val="Heading2"/>
      </w:pPr>
      <w:r>
        <w:t xml:space="preserve">💰 </w:t>
      </w:r>
      <w:r>
        <w:rPr>
          <w:rFonts w:hint="eastAsia"/>
        </w:rPr>
        <w:t xml:space="preserve">上一交易日收盘资金四榜</w:t>
      </w:r>
    </w:p>
    <w:p>
      <w:pPr>
        <w:pStyle w:val="FirstParagraph"/>
      </w:pPr>
      <w:r>
        <w:rPr>
          <w:rFonts w:hint="eastAsia"/>
        </w:rPr>
        <w:t xml:space="preserve">资金口径：2026-08-25，15:00，previous_close，申万二级行业，来源：华泰。</w:t>
      </w:r>
      <w:r>
        <w:br/>
      </w:r>
      <w:r>
        <w:rPr>
          <w:rFonts w:hint="eastAsia"/>
        </w:rPr>
        <w:t xml:space="preserve">展示字段仅含排名、板块/股票名称、代码、上一交易日主力净流入/净流出金额；不展示最新价和最新涨跌幅。</w:t>
      </w:r>
    </w:p>
    <w:bookmarkStart w:id="33" w:name="流出top10板块"/>
    <w:p>
      <w:pPr>
        <w:pStyle w:val="Heading3"/>
      </w:pPr>
      <w:r>
        <w:t xml:space="preserve">💰 </w:t>
      </w:r>
      <w:r>
        <w:rPr>
          <w:rFonts w:hint="eastAsia"/>
        </w:rPr>
        <w:t xml:space="preserve">流出TOP10板块</w:t>
      </w:r>
    </w:p>
    <w:p>
      <w:pPr>
        <w:pStyle w:val="Compact"/>
        <w:numPr>
          <w:ilvl w:val="0"/>
          <w:numId w:val="1015"/>
        </w:numPr>
      </w:pPr>
      <w:r>
        <w:rPr>
          <w:rFonts w:hint="eastAsia"/>
        </w:rPr>
        <w:t xml:space="preserve">有色金属（代码：—）：-54.99亿元</w:t>
      </w:r>
    </w:p>
    <w:p>
      <w:pPr>
        <w:pStyle w:val="Compact"/>
        <w:numPr>
          <w:ilvl w:val="0"/>
          <w:numId w:val="1015"/>
        </w:numPr>
      </w:pPr>
      <w:r>
        <w:rPr>
          <w:rFonts w:hint="eastAsia"/>
        </w:rPr>
        <w:t xml:space="preserve">电力设备（代码：—）：-27.07亿元</w:t>
      </w:r>
    </w:p>
    <w:p>
      <w:pPr>
        <w:pStyle w:val="Compact"/>
        <w:numPr>
          <w:ilvl w:val="0"/>
          <w:numId w:val="1015"/>
        </w:numPr>
      </w:pPr>
      <w:r>
        <w:rPr>
          <w:rFonts w:hint="eastAsia"/>
        </w:rPr>
        <w:t xml:space="preserve">工业金属（代码：—）：-25.64亿元</w:t>
      </w:r>
    </w:p>
    <w:p>
      <w:pPr>
        <w:pStyle w:val="Compact"/>
        <w:numPr>
          <w:ilvl w:val="0"/>
          <w:numId w:val="1015"/>
        </w:numPr>
      </w:pPr>
      <w:r>
        <w:rPr>
          <w:rFonts w:hint="eastAsia"/>
        </w:rPr>
        <w:t xml:space="preserve">半导体（代码：—）：-20.76亿元</w:t>
      </w:r>
    </w:p>
    <w:p>
      <w:pPr>
        <w:pStyle w:val="Compact"/>
        <w:numPr>
          <w:ilvl w:val="0"/>
          <w:numId w:val="1015"/>
        </w:numPr>
      </w:pPr>
      <w:r>
        <w:rPr>
          <w:rFonts w:hint="eastAsia"/>
        </w:rPr>
        <w:t xml:space="preserve">电池（代码：—）：-20.49亿元</w:t>
      </w:r>
    </w:p>
    <w:p>
      <w:pPr>
        <w:pStyle w:val="Compact"/>
        <w:numPr>
          <w:ilvl w:val="0"/>
          <w:numId w:val="1015"/>
        </w:numPr>
      </w:pPr>
      <w:r>
        <w:rPr>
          <w:rFonts w:hint="eastAsia"/>
        </w:rPr>
        <w:t xml:space="preserve">通信网络设备及器件（代码：—）：-16.86亿元</w:t>
      </w:r>
    </w:p>
    <w:p>
      <w:pPr>
        <w:pStyle w:val="Compact"/>
        <w:numPr>
          <w:ilvl w:val="0"/>
          <w:numId w:val="1015"/>
        </w:numPr>
      </w:pPr>
      <w:r>
        <w:rPr>
          <w:rFonts w:hint="eastAsia"/>
        </w:rPr>
        <w:t xml:space="preserve">铜（代码：—）：-16.56亿元</w:t>
      </w:r>
    </w:p>
    <w:p>
      <w:pPr>
        <w:pStyle w:val="Compact"/>
        <w:numPr>
          <w:ilvl w:val="0"/>
          <w:numId w:val="1015"/>
        </w:numPr>
      </w:pPr>
      <w:r>
        <w:rPr>
          <w:rFonts w:hint="eastAsia"/>
        </w:rPr>
        <w:t xml:space="preserve">半导体设备（代码：—）：-16.11亿元</w:t>
      </w:r>
    </w:p>
    <w:p>
      <w:pPr>
        <w:pStyle w:val="Compact"/>
        <w:numPr>
          <w:ilvl w:val="0"/>
          <w:numId w:val="1015"/>
        </w:numPr>
      </w:pPr>
      <w:r>
        <w:rPr>
          <w:rFonts w:hint="eastAsia"/>
        </w:rPr>
        <w:t xml:space="preserve">小金属（代码：—）：-13.41亿元</w:t>
      </w:r>
    </w:p>
    <w:p>
      <w:pPr>
        <w:pStyle w:val="Compact"/>
        <w:numPr>
          <w:ilvl w:val="0"/>
          <w:numId w:val="1015"/>
        </w:numPr>
      </w:pPr>
      <w:r>
        <w:rPr>
          <w:rFonts w:hint="eastAsia"/>
        </w:rPr>
        <w:t xml:space="preserve">能源金属（代码：—）：-9.83亿元</w:t>
      </w:r>
    </w:p>
    <w:bookmarkEnd w:id="33"/>
    <w:bookmarkStart w:id="34" w:name="流出top10个股"/>
    <w:p>
      <w:pPr>
        <w:pStyle w:val="Heading3"/>
      </w:pPr>
      <w:r>
        <w:t xml:space="preserve">💰 </w:t>
      </w:r>
      <w:r>
        <w:rPr>
          <w:rFonts w:hint="eastAsia"/>
        </w:rPr>
        <w:t xml:space="preserve">流出TOP10个股</w:t>
      </w:r>
    </w:p>
    <w:p>
      <w:pPr>
        <w:pStyle w:val="Compact"/>
        <w:numPr>
          <w:ilvl w:val="0"/>
          <w:numId w:val="1016"/>
        </w:numPr>
      </w:pPr>
      <w:r>
        <w:rPr>
          <w:rFonts w:hint="eastAsia"/>
        </w:rPr>
        <w:t xml:space="preserve">中际旭创（300308）：主力净流出-168.08亿</w:t>
      </w:r>
    </w:p>
    <w:p>
      <w:pPr>
        <w:pStyle w:val="Compact"/>
        <w:numPr>
          <w:ilvl w:val="0"/>
          <w:numId w:val="1016"/>
        </w:numPr>
      </w:pPr>
      <w:r>
        <w:rPr>
          <w:rFonts w:hint="eastAsia"/>
        </w:rPr>
        <w:t xml:space="preserve">寒武纪（688256）：主力净流出-100.83亿</w:t>
      </w:r>
    </w:p>
    <w:p>
      <w:pPr>
        <w:pStyle w:val="Compact"/>
        <w:numPr>
          <w:ilvl w:val="0"/>
          <w:numId w:val="1016"/>
        </w:numPr>
      </w:pPr>
      <w:r>
        <w:rPr>
          <w:rFonts w:hint="eastAsia"/>
        </w:rPr>
        <w:t xml:space="preserve">长鑫科技（688825）：主力净流出-83.53亿</w:t>
      </w:r>
    </w:p>
    <w:p>
      <w:pPr>
        <w:pStyle w:val="Compact"/>
        <w:numPr>
          <w:ilvl w:val="0"/>
          <w:numId w:val="1016"/>
        </w:numPr>
      </w:pPr>
      <w:r>
        <w:rPr>
          <w:rFonts w:hint="eastAsia"/>
        </w:rPr>
        <w:t xml:space="preserve">新易盛（300502）：主力净流出-81.71亿</w:t>
      </w:r>
    </w:p>
    <w:p>
      <w:pPr>
        <w:pStyle w:val="Compact"/>
        <w:numPr>
          <w:ilvl w:val="0"/>
          <w:numId w:val="1016"/>
        </w:numPr>
      </w:pPr>
      <w:r>
        <w:rPr>
          <w:rFonts w:hint="eastAsia"/>
        </w:rPr>
        <w:t xml:space="preserve">兆易创新（603986）：主力净流出-59.27亿</w:t>
      </w:r>
    </w:p>
    <w:p>
      <w:pPr>
        <w:pStyle w:val="Compact"/>
        <w:numPr>
          <w:ilvl w:val="0"/>
          <w:numId w:val="1016"/>
        </w:numPr>
      </w:pPr>
      <w:r>
        <w:rPr>
          <w:rFonts w:hint="eastAsia"/>
        </w:rPr>
        <w:t xml:space="preserve">宁德时代（300750）：主力净流出-55.69亿</w:t>
      </w:r>
    </w:p>
    <w:p>
      <w:pPr>
        <w:pStyle w:val="Compact"/>
        <w:numPr>
          <w:ilvl w:val="0"/>
          <w:numId w:val="1016"/>
        </w:numPr>
      </w:pPr>
      <w:r>
        <w:rPr>
          <w:rFonts w:hint="eastAsia"/>
        </w:rPr>
        <w:t xml:space="preserve">亨通光电（600487）：主力净流出-54.46亿</w:t>
      </w:r>
    </w:p>
    <w:p>
      <w:pPr>
        <w:pStyle w:val="Compact"/>
        <w:numPr>
          <w:ilvl w:val="0"/>
          <w:numId w:val="1016"/>
        </w:numPr>
      </w:pPr>
      <w:r>
        <w:rPr>
          <w:rFonts w:hint="eastAsia"/>
        </w:rPr>
        <w:t xml:space="preserve">天孚通信（300394）：主力净流出-53.94亿</w:t>
      </w:r>
    </w:p>
    <w:p>
      <w:pPr>
        <w:pStyle w:val="Compact"/>
        <w:numPr>
          <w:ilvl w:val="0"/>
          <w:numId w:val="1016"/>
        </w:numPr>
      </w:pPr>
      <w:r>
        <w:rPr>
          <w:rFonts w:hint="eastAsia"/>
        </w:rPr>
        <w:t xml:space="preserve">源杰科技（688498）：主力净流出-45.33亿</w:t>
      </w:r>
    </w:p>
    <w:p>
      <w:pPr>
        <w:pStyle w:val="Compact"/>
        <w:numPr>
          <w:ilvl w:val="0"/>
          <w:numId w:val="1016"/>
        </w:numPr>
      </w:pPr>
      <w:r>
        <w:rPr>
          <w:rFonts w:hint="eastAsia"/>
        </w:rPr>
        <w:t xml:space="preserve">东山精密（002384）：主力净流出-40.30亿</w:t>
      </w:r>
    </w:p>
    <w:bookmarkEnd w:id="34"/>
    <w:bookmarkStart w:id="35" w:name="流入top10板块"/>
    <w:p>
      <w:pPr>
        <w:pStyle w:val="Heading3"/>
      </w:pPr>
      <w:r>
        <w:t xml:space="preserve">💰 </w:t>
      </w:r>
      <w:r>
        <w:rPr>
          <w:rFonts w:hint="eastAsia"/>
        </w:rPr>
        <w:t xml:space="preserve">流入TOP10板块</w:t>
      </w:r>
    </w:p>
    <w:p>
      <w:pPr>
        <w:pStyle w:val="Compact"/>
        <w:numPr>
          <w:ilvl w:val="0"/>
          <w:numId w:val="1017"/>
        </w:numPr>
      </w:pPr>
      <w:r>
        <w:rPr>
          <w:rFonts w:hint="eastAsia"/>
        </w:rPr>
        <w:t xml:space="preserve">专用设备（代码：—）：+41.54亿元</w:t>
      </w:r>
    </w:p>
    <w:p>
      <w:pPr>
        <w:pStyle w:val="Compact"/>
        <w:numPr>
          <w:ilvl w:val="0"/>
          <w:numId w:val="1017"/>
        </w:numPr>
      </w:pPr>
      <w:r>
        <w:rPr>
          <w:rFonts w:hint="eastAsia"/>
        </w:rPr>
        <w:t xml:space="preserve">通信设备（代码：—）：+24.15亿元</w:t>
      </w:r>
    </w:p>
    <w:p>
      <w:pPr>
        <w:pStyle w:val="Compact"/>
        <w:numPr>
          <w:ilvl w:val="0"/>
          <w:numId w:val="1017"/>
        </w:numPr>
      </w:pPr>
      <w:r>
        <w:rPr>
          <w:rFonts w:hint="eastAsia"/>
        </w:rPr>
        <w:t xml:space="preserve">元件（代码：—）：+18.95亿元</w:t>
      </w:r>
    </w:p>
    <w:p>
      <w:pPr>
        <w:pStyle w:val="Compact"/>
        <w:numPr>
          <w:ilvl w:val="0"/>
          <w:numId w:val="1017"/>
        </w:numPr>
      </w:pPr>
      <w:r>
        <w:rPr>
          <w:rFonts w:hint="eastAsia"/>
        </w:rPr>
        <w:t xml:space="preserve">医疗服务（代码：—）：+18.34亿元</w:t>
      </w:r>
    </w:p>
    <w:p>
      <w:pPr>
        <w:pStyle w:val="Compact"/>
        <w:numPr>
          <w:ilvl w:val="0"/>
          <w:numId w:val="1017"/>
        </w:numPr>
      </w:pPr>
      <w:r>
        <w:rPr>
          <w:rFonts w:hint="eastAsia"/>
        </w:rPr>
        <w:t xml:space="preserve">消费电子（代码：—）：+16.52亿元</w:t>
      </w:r>
    </w:p>
    <w:p>
      <w:pPr>
        <w:pStyle w:val="Compact"/>
        <w:numPr>
          <w:ilvl w:val="0"/>
          <w:numId w:val="1017"/>
        </w:numPr>
      </w:pPr>
      <w:r>
        <w:rPr>
          <w:rFonts w:hint="eastAsia"/>
        </w:rPr>
        <w:t xml:space="preserve">自动化设备（代码：—）：+12.63亿元</w:t>
      </w:r>
    </w:p>
    <w:p>
      <w:pPr>
        <w:pStyle w:val="Compact"/>
        <w:numPr>
          <w:ilvl w:val="0"/>
          <w:numId w:val="1017"/>
        </w:numPr>
      </w:pPr>
      <w:r>
        <w:rPr>
          <w:rFonts w:hint="eastAsia"/>
        </w:rPr>
        <w:t xml:space="preserve">通用设备（代码：—）：+10.82亿元</w:t>
      </w:r>
    </w:p>
    <w:p>
      <w:pPr>
        <w:pStyle w:val="Compact"/>
        <w:numPr>
          <w:ilvl w:val="0"/>
          <w:numId w:val="1017"/>
        </w:numPr>
      </w:pPr>
      <w:r>
        <w:rPr>
          <w:rFonts w:hint="eastAsia"/>
        </w:rPr>
        <w:t xml:space="preserve">化学制药（代码：—）：+9.78亿元</w:t>
      </w:r>
    </w:p>
    <w:p>
      <w:pPr>
        <w:pStyle w:val="Compact"/>
        <w:numPr>
          <w:ilvl w:val="0"/>
          <w:numId w:val="1017"/>
        </w:numPr>
      </w:pPr>
      <w:r>
        <w:rPr>
          <w:rFonts w:hint="eastAsia"/>
        </w:rPr>
        <w:t xml:space="preserve">汽车零部件（代码：—）：+8.47亿元</w:t>
      </w:r>
    </w:p>
    <w:p>
      <w:pPr>
        <w:pStyle w:val="Compact"/>
        <w:numPr>
          <w:ilvl w:val="0"/>
          <w:numId w:val="1017"/>
        </w:numPr>
      </w:pPr>
      <w:r>
        <w:rPr>
          <w:rFonts w:hint="eastAsia"/>
        </w:rPr>
        <w:t xml:space="preserve">软件开发（代码：—）：+8.39亿元</w:t>
      </w:r>
    </w:p>
    <w:bookmarkEnd w:id="35"/>
    <w:bookmarkStart w:id="36" w:name="流入top10个股"/>
    <w:p>
      <w:pPr>
        <w:pStyle w:val="Heading3"/>
      </w:pPr>
      <w:r>
        <w:t xml:space="preserve">💰 </w:t>
      </w:r>
      <w:r>
        <w:rPr>
          <w:rFonts w:hint="eastAsia"/>
        </w:rPr>
        <w:t xml:space="preserve">流入TOP10个股</w:t>
      </w:r>
    </w:p>
    <w:p>
      <w:pPr>
        <w:pStyle w:val="Compact"/>
        <w:numPr>
          <w:ilvl w:val="0"/>
          <w:numId w:val="1018"/>
        </w:numPr>
      </w:pPr>
      <w:r>
        <w:rPr>
          <w:rFonts w:hint="eastAsia"/>
        </w:rPr>
        <w:t xml:space="preserve">N高凯（688835）：+20.83亿</w:t>
      </w:r>
    </w:p>
    <w:p>
      <w:pPr>
        <w:pStyle w:val="Compact"/>
        <w:numPr>
          <w:ilvl w:val="0"/>
          <w:numId w:val="1018"/>
        </w:numPr>
      </w:pPr>
      <w:r>
        <w:rPr>
          <w:rFonts w:hint="eastAsia"/>
        </w:rPr>
        <w:t xml:space="preserve">亨通光电（600487）：+18.99亿</w:t>
      </w:r>
    </w:p>
    <w:p>
      <w:pPr>
        <w:pStyle w:val="Compact"/>
        <w:numPr>
          <w:ilvl w:val="0"/>
          <w:numId w:val="1018"/>
        </w:numPr>
      </w:pPr>
      <w:r>
        <w:rPr>
          <w:rFonts w:hint="eastAsia"/>
        </w:rPr>
        <w:t xml:space="preserve">英维克（002837）：+17.11亿</w:t>
      </w:r>
    </w:p>
    <w:p>
      <w:pPr>
        <w:pStyle w:val="Compact"/>
        <w:numPr>
          <w:ilvl w:val="0"/>
          <w:numId w:val="1018"/>
        </w:numPr>
      </w:pPr>
      <w:r>
        <w:rPr>
          <w:rFonts w:hint="eastAsia"/>
        </w:rPr>
        <w:t xml:space="preserve">兆易创新（603986）：+12.56亿</w:t>
      </w:r>
    </w:p>
    <w:p>
      <w:pPr>
        <w:pStyle w:val="Compact"/>
        <w:numPr>
          <w:ilvl w:val="0"/>
          <w:numId w:val="1018"/>
        </w:numPr>
      </w:pPr>
      <w:r>
        <w:rPr>
          <w:rFonts w:hint="eastAsia"/>
        </w:rPr>
        <w:t xml:space="preserve">中天科技（600522）：+8.97亿</w:t>
      </w:r>
    </w:p>
    <w:p>
      <w:pPr>
        <w:pStyle w:val="Compact"/>
        <w:numPr>
          <w:ilvl w:val="0"/>
          <w:numId w:val="1018"/>
        </w:numPr>
      </w:pPr>
      <w:r>
        <w:rPr>
          <w:rFonts w:hint="eastAsia"/>
        </w:rPr>
        <w:t xml:space="preserve">长飞光纤（601869）：+7.02亿</w:t>
      </w:r>
    </w:p>
    <w:p>
      <w:pPr>
        <w:pStyle w:val="Compact"/>
        <w:numPr>
          <w:ilvl w:val="0"/>
          <w:numId w:val="1018"/>
        </w:numPr>
      </w:pPr>
      <w:r>
        <w:rPr>
          <w:rFonts w:hint="eastAsia"/>
        </w:rPr>
        <w:t xml:space="preserve">寒武纪（688256）：+6.75亿</w:t>
      </w:r>
    </w:p>
    <w:p>
      <w:pPr>
        <w:pStyle w:val="Compact"/>
        <w:numPr>
          <w:ilvl w:val="0"/>
          <w:numId w:val="1018"/>
        </w:numPr>
      </w:pPr>
      <w:r>
        <w:rPr>
          <w:rFonts w:hint="eastAsia"/>
        </w:rPr>
        <w:t xml:space="preserve">生益科技（600183）：+5.79亿</w:t>
      </w:r>
    </w:p>
    <w:p>
      <w:pPr>
        <w:pStyle w:val="Compact"/>
        <w:numPr>
          <w:ilvl w:val="0"/>
          <w:numId w:val="1018"/>
        </w:numPr>
      </w:pPr>
      <w:r>
        <w:rPr>
          <w:rFonts w:hint="eastAsia"/>
        </w:rPr>
        <w:t xml:space="preserve">黄河旋风（600172）：+5.25亿</w:t>
      </w:r>
    </w:p>
    <w:p>
      <w:pPr>
        <w:pStyle w:val="Compact"/>
        <w:numPr>
          <w:ilvl w:val="0"/>
          <w:numId w:val="1018"/>
        </w:numPr>
      </w:pPr>
      <w:r>
        <w:rPr>
          <w:rFonts w:hint="eastAsia"/>
        </w:rPr>
        <w:t xml:space="preserve">光智科技（300489）：+4.88亿</w:t>
      </w:r>
    </w:p>
    <w:bookmarkEnd w:id="36"/>
    <w:bookmarkStart w:id="37" w:name="资金榜核心结论"/>
    <w:p>
      <w:pPr>
        <w:pStyle w:val="Heading3"/>
      </w:pPr>
      <w:r>
        <w:t xml:space="preserve">💡 </w:t>
      </w:r>
      <w:r>
        <w:rPr>
          <w:rFonts w:hint="eastAsia"/>
        </w:rPr>
        <w:t xml:space="preserve">资金榜核心结论</w:t>
      </w:r>
    </w:p>
    <w:p>
      <w:pPr>
        <w:pStyle w:val="Compact"/>
        <w:numPr>
          <w:ilvl w:val="0"/>
          <w:numId w:val="1019"/>
        </w:numPr>
      </w:pPr>
      <w:r>
        <w:rPr>
          <w:rFonts w:hint="eastAsia"/>
        </w:rPr>
        <w:t xml:space="preserve">资金最明确流入：专用设备、通信设备、元件、医疗服务、消费电子。</w:t>
      </w:r>
    </w:p>
    <w:p>
      <w:pPr>
        <w:pStyle w:val="Compact"/>
        <w:numPr>
          <w:ilvl w:val="0"/>
          <w:numId w:val="1019"/>
        </w:numPr>
      </w:pPr>
      <w:r>
        <w:rPr>
          <w:rFonts w:hint="eastAsia"/>
        </w:rPr>
        <w:t xml:space="preserve">资金最明确流出：有色金属、电力设备、半导体、电池、通信网络设备及器件。</w:t>
      </w:r>
    </w:p>
    <w:p>
      <w:pPr>
        <w:pStyle w:val="Compact"/>
        <w:numPr>
          <w:ilvl w:val="0"/>
          <w:numId w:val="1019"/>
        </w:numPr>
      </w:pPr>
      <w:r>
        <w:rPr>
          <w:rFonts w:hint="eastAsia"/>
        </w:rPr>
        <w:t xml:space="preserve">AI算力核心股出现“成交额巨大</w:t>
      </w:r>
      <w:r>
        <w:t xml:space="preserve"> + </w:t>
      </w:r>
      <w:r>
        <w:rPr>
          <w:rFonts w:hint="eastAsia"/>
        </w:rPr>
        <w:t xml:space="preserve">多只个股大额流出</w:t>
      </w:r>
      <w:r>
        <w:t xml:space="preserve"> + </w:t>
      </w:r>
      <w:r>
        <w:rPr>
          <w:rFonts w:hint="eastAsia"/>
        </w:rPr>
        <w:t xml:space="preserve">少数个股仍有流入”的分歧结构。</w:t>
      </w:r>
    </w:p>
    <w:p>
      <w:pPr>
        <w:pStyle w:val="Compact"/>
        <w:numPr>
          <w:ilvl w:val="0"/>
          <w:numId w:val="1019"/>
        </w:numPr>
      </w:pPr>
      <w:r>
        <w:rPr>
          <w:rFonts w:hint="eastAsia"/>
        </w:rPr>
        <w:t xml:space="preserve">亨通光电、兆易创新、寒武纪同时出现在流入与流出榜，说明不是单边买入，而是高换手换手博弈。</w:t>
      </w:r>
    </w:p>
    <w:bookmarkEnd w:id="37"/>
    <w:bookmarkEnd w:id="38"/>
    <w:bookmarkStart w:id="43" w:name="两融宽基etf成交额恐慌联合信号"/>
    <w:p>
      <w:pPr>
        <w:pStyle w:val="Heading2"/>
      </w:pPr>
      <w:r>
        <w:t xml:space="preserve">💧 </w:t>
      </w:r>
      <w:r>
        <w:rPr>
          <w:rFonts w:hint="eastAsia"/>
        </w:rPr>
        <w:t xml:space="preserve">两融·宽基ETF·成交额·恐慌联合信号</w:t>
      </w:r>
    </w:p>
    <w:bookmarkStart w:id="39" w:name="两融余额t1滞后报告日当日两融尚未发布"/>
    <w:p>
      <w:pPr>
        <w:pStyle w:val="Heading3"/>
      </w:pPr>
      <w:r>
        <w:t xml:space="preserve">🧮 </w:t>
      </w:r>
      <w:r>
        <w:rPr>
          <w:rFonts w:hint="eastAsia"/>
        </w:rPr>
        <w:t xml:space="preserve">两融余额：T+1滞后，报告日当日两融尚未发布</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项目</w:t>
            </w:r>
          </w:p>
        </w:tc>
        <w:tc>
          <w:tcPr/>
          <w:p>
            <w:pPr>
              <w:pStyle w:val="Compact"/>
              <w:jc w:val="right"/>
            </w:pPr>
            <w:r>
              <w:rPr>
                <w:rFonts w:hint="eastAsia"/>
              </w:rPr>
              <w:t xml:space="preserve">最新结算日</w:t>
            </w:r>
            <w:r>
              <w:t xml:space="preserve"> 2026-08-24</w:t>
            </w:r>
          </w:p>
        </w:tc>
        <w:tc>
          <w:tcPr/>
          <w:p>
            <w:pPr>
              <w:pStyle w:val="Compact"/>
              <w:jc w:val="right"/>
            </w:pPr>
            <w:r>
              <w:rPr>
                <w:rFonts w:hint="eastAsia"/>
              </w:rPr>
              <w:t xml:space="preserve">前一结算日</w:t>
            </w:r>
            <w:r>
              <w:t xml:space="preserve"> 2026-08-21</w:t>
            </w:r>
          </w:p>
        </w:tc>
        <w:tc>
          <w:tcPr/>
          <w:p>
            <w:pPr>
              <w:pStyle w:val="Compact"/>
              <w:jc w:val="right"/>
            </w:pPr>
            <w:r>
              <w:rPr>
                <w:rFonts w:hint="eastAsia"/>
              </w:rPr>
              <w:t xml:space="preserve">变化</w:t>
            </w:r>
          </w:p>
        </w:tc>
      </w:tr>
      <w:tr>
        <w:tc>
          <w:tcPr/>
          <w:p>
            <w:pPr>
              <w:pStyle w:val="Compact"/>
            </w:pPr>
            <w:r>
              <w:rPr>
                <w:rFonts w:hint="eastAsia"/>
              </w:rPr>
              <w:t xml:space="preserve">两融余额</w:t>
            </w:r>
          </w:p>
        </w:tc>
        <w:tc>
          <w:tcPr/>
          <w:p>
            <w:pPr>
              <w:pStyle w:val="Compact"/>
              <w:jc w:val="right"/>
            </w:pPr>
            <w:r>
              <w:rPr>
                <w:rFonts w:hint="eastAsia"/>
              </w:rPr>
              <w:t xml:space="preserve">26564.9425亿元</w:t>
            </w:r>
          </w:p>
        </w:tc>
        <w:tc>
          <w:tcPr/>
          <w:p>
            <w:pPr>
              <w:pStyle w:val="Compact"/>
              <w:jc w:val="right"/>
            </w:pPr>
            <w:r>
              <w:rPr>
                <w:rFonts w:hint="eastAsia"/>
              </w:rPr>
              <w:t xml:space="preserve">26603.6960亿元</w:t>
            </w:r>
          </w:p>
        </w:tc>
        <w:tc>
          <w:tcPr/>
          <w:p>
            <w:pPr>
              <w:pStyle w:val="Compact"/>
              <w:jc w:val="right"/>
            </w:pPr>
            <w:r>
              <w:t xml:space="preserve">🟢 </w:t>
            </w:r>
            <w:r>
              <w:rPr>
                <w:rFonts w:hint="eastAsia"/>
              </w:rPr>
              <w:t xml:space="preserve">-38.7535亿元</w:t>
            </w:r>
          </w:p>
        </w:tc>
      </w:tr>
      <w:tr>
        <w:tc>
          <w:tcPr/>
          <w:p>
            <w:pPr>
              <w:pStyle w:val="Compact"/>
            </w:pPr>
            <w:r>
              <w:rPr>
                <w:rFonts w:hint="eastAsia"/>
              </w:rPr>
              <w:t xml:space="preserve">融资余额</w:t>
            </w:r>
          </w:p>
        </w:tc>
        <w:tc>
          <w:tcPr/>
          <w:p>
            <w:pPr>
              <w:pStyle w:val="Compact"/>
              <w:jc w:val="right"/>
            </w:pPr>
            <w:r>
              <w:rPr>
                <w:rFonts w:hint="eastAsia"/>
              </w:rPr>
              <w:t xml:space="preserve">26290.7491亿元</w:t>
            </w:r>
          </w:p>
        </w:tc>
        <w:tc>
          <w:tcPr/>
          <w:p>
            <w:pPr>
              <w:pStyle w:val="Compact"/>
              <w:jc w:val="right"/>
            </w:pPr>
            <w:r>
              <w:rPr>
                <w:rFonts w:hint="eastAsia"/>
              </w:rPr>
              <w:t xml:space="preserve">26333.1527亿元</w:t>
            </w:r>
          </w:p>
        </w:tc>
        <w:tc>
          <w:tcPr/>
          <w:p>
            <w:pPr>
              <w:pStyle w:val="Compact"/>
              <w:jc w:val="right"/>
            </w:pPr>
            <w:r>
              <w:t xml:space="preserve">🟢 </w:t>
            </w:r>
            <w:r>
              <w:rPr>
                <w:rFonts w:hint="eastAsia"/>
              </w:rPr>
              <w:t xml:space="preserve">-42.4036亿元</w:t>
            </w:r>
          </w:p>
        </w:tc>
      </w:tr>
      <w:tr>
        <w:tc>
          <w:tcPr/>
          <w:p>
            <w:pPr>
              <w:pStyle w:val="Compact"/>
            </w:pPr>
            <w:r>
              <w:rPr>
                <w:rFonts w:hint="eastAsia"/>
              </w:rPr>
              <w:t xml:space="preserve">融券余额</w:t>
            </w:r>
          </w:p>
        </w:tc>
        <w:tc>
          <w:tcPr/>
          <w:p>
            <w:pPr>
              <w:pStyle w:val="Compact"/>
              <w:jc w:val="right"/>
            </w:pPr>
            <w:r>
              <w:rPr>
                <w:rFonts w:hint="eastAsia"/>
              </w:rPr>
              <w:t xml:space="preserve">274.1934亿元</w:t>
            </w:r>
          </w:p>
        </w:tc>
        <w:tc>
          <w:tcPr/>
          <w:p>
            <w:pPr>
              <w:pStyle w:val="Compact"/>
              <w:jc w:val="right"/>
            </w:pPr>
            <w:r>
              <w:rPr>
                <w:rFonts w:hint="eastAsia"/>
              </w:rPr>
              <w:t xml:space="preserve">270.5433亿元</w:t>
            </w:r>
          </w:p>
        </w:tc>
        <w:tc>
          <w:tcPr/>
          <w:p>
            <w:pPr>
              <w:pStyle w:val="Compact"/>
              <w:jc w:val="right"/>
            </w:pPr>
            <w:r>
              <w:t xml:space="preserve">🔴 </w:t>
            </w:r>
            <w:r>
              <w:rPr>
                <w:rFonts w:hint="eastAsia"/>
              </w:rPr>
              <w:t xml:space="preserve">+3.6501亿元</w:t>
            </w:r>
          </w:p>
        </w:tc>
      </w:tr>
    </w:tbl>
    <w:p>
      <w:pPr>
        <w:pStyle w:val="BodyText"/>
      </w:pPr>
      <w:r>
        <w:t xml:space="preserve">💡 </w:t>
      </w:r>
      <w:r>
        <w:rPr>
          <w:rFonts w:hint="eastAsia"/>
        </w:rPr>
        <w:t xml:space="preserve">解读：</w:t>
      </w:r>
    </w:p>
    <w:p>
      <w:pPr>
        <w:pStyle w:val="Compact"/>
        <w:numPr>
          <w:ilvl w:val="0"/>
          <w:numId w:val="1020"/>
        </w:numPr>
      </w:pPr>
      <w:r>
        <w:rPr>
          <w:rFonts w:hint="eastAsia"/>
        </w:rPr>
        <w:t xml:space="preserve">本轮两融余额下降主要由融资余额减少驱动。</w:t>
      </w:r>
    </w:p>
    <w:p>
      <w:pPr>
        <w:pStyle w:val="Compact"/>
        <w:numPr>
          <w:ilvl w:val="0"/>
          <w:numId w:val="1020"/>
        </w:numPr>
      </w:pPr>
      <w:r>
        <w:rPr>
          <w:rFonts w:hint="eastAsia"/>
        </w:rPr>
        <w:t xml:space="preserve">融资减少42.4036亿元，融券增加3.6501亿元，说明杠杆多头风险偏好降温。</w:t>
      </w:r>
    </w:p>
    <w:p>
      <w:pPr>
        <w:pStyle w:val="Compact"/>
        <w:numPr>
          <w:ilvl w:val="0"/>
          <w:numId w:val="1020"/>
        </w:numPr>
      </w:pPr>
      <w:r>
        <w:rPr>
          <w:rFonts w:hint="eastAsia"/>
        </w:rPr>
        <w:t xml:space="preserve">由于最新实际结算日为2026-08-24，早于报告日2026-08-26，必须按“T+1滞后”处理，不能写成报告日当日两融增减。</w:t>
      </w:r>
    </w:p>
    <w:bookmarkEnd w:id="39"/>
    <w:bookmarkStart w:id="40" w:name="宽基etf份额与净申购估算"/>
    <w:p>
      <w:pPr>
        <w:pStyle w:val="Heading3"/>
      </w:pPr>
      <w:r>
        <w:t xml:space="preserve">🧺 </w:t>
      </w:r>
      <w:r>
        <w:rPr>
          <w:rFonts w:hint="eastAsia"/>
        </w:rPr>
        <w:t xml:space="preserve">宽基ETF份额与净申购估算</w:t>
      </w:r>
    </w:p>
    <w:tbl>
      <w:tblPr>
        <w:tblStyle w:val="Table"/>
        <w:tblW w:type="pct" w:w="5000"/>
        <w:tblLayout w:type="fixed"/>
        <w:tblLook w:firstRow="1" w:lastRow="0" w:firstColumn="0" w:lastColumn="0" w:noHBand="0" w:noVBand="0" w:val="0020"/>
      </w:tblPr>
      <w:tblGrid>
        <w:gridCol w:w="1320"/>
        <w:gridCol w:w="1760"/>
        <w:gridCol w:w="1760"/>
        <w:gridCol w:w="1760"/>
        <w:gridCol w:w="1320"/>
      </w:tblGrid>
      <w:tr>
        <w:trPr>
          <w:tblHeader w:val="on"/>
        </w:trPr>
        <w:tc>
          <w:tcPr/>
          <w:p>
            <w:pPr>
              <w:pStyle w:val="Compact"/>
            </w:pPr>
            <w:r>
              <w:t xml:space="preserve">ETF</w:t>
            </w:r>
          </w:p>
        </w:tc>
        <w:tc>
          <w:tcPr/>
          <w:p>
            <w:pPr>
              <w:pStyle w:val="Compact"/>
              <w:jc w:val="right"/>
            </w:pPr>
            <w:r>
              <w:rPr>
                <w:rFonts w:hint="eastAsia"/>
              </w:rPr>
              <w:t xml:space="preserve">最新日期</w:t>
            </w:r>
          </w:p>
        </w:tc>
        <w:tc>
          <w:tcPr/>
          <w:p>
            <w:pPr>
              <w:pStyle w:val="Compact"/>
              <w:jc w:val="right"/>
            </w:pPr>
            <w:r>
              <w:rPr>
                <w:rFonts w:hint="eastAsia"/>
              </w:rPr>
              <w:t xml:space="preserve">最新份额变化</w:t>
            </w:r>
          </w:p>
        </w:tc>
        <w:tc>
          <w:tcPr/>
          <w:p>
            <w:pPr>
              <w:pStyle w:val="Compact"/>
              <w:jc w:val="right"/>
            </w:pPr>
            <w:r>
              <w:rPr>
                <w:rFonts w:hint="eastAsia"/>
              </w:rPr>
              <w:t xml:space="preserve">估算净申购</w:t>
            </w:r>
          </w:p>
        </w:tc>
        <w:tc>
          <w:tcPr/>
          <w:p>
            <w:pPr>
              <w:pStyle w:val="Compact"/>
            </w:pPr>
            <w:r>
              <w:rPr>
                <w:rFonts w:hint="eastAsia"/>
              </w:rPr>
              <w:t xml:space="preserve">连续流入</w:t>
            </w:r>
          </w:p>
        </w:tc>
      </w:tr>
      <w:tr>
        <w:tc>
          <w:tcPr/>
          <w:p>
            <w:pPr>
              <w:pStyle w:val="Compact"/>
            </w:pPr>
            <w:r>
              <w:rPr>
                <w:rFonts w:hint="eastAsia"/>
              </w:rPr>
              <w:t xml:space="preserve">沪深300ETF</w:t>
            </w:r>
          </w:p>
        </w:tc>
        <w:tc>
          <w:tcPr/>
          <w:p>
            <w:pPr>
              <w:pStyle w:val="Compact"/>
              <w:jc w:val="right"/>
            </w:pPr>
            <w:r>
              <w:t xml:space="preserve">2026-08-25</w:t>
            </w:r>
          </w:p>
        </w:tc>
        <w:tc>
          <w:tcPr/>
          <w:p>
            <w:pPr>
              <w:pStyle w:val="Compact"/>
              <w:jc w:val="right"/>
            </w:pPr>
            <w:r>
              <w:rPr>
                <w:rFonts w:hint="eastAsia"/>
              </w:rPr>
              <w:t xml:space="preserve">+243900000份</w:t>
            </w:r>
          </w:p>
        </w:tc>
        <w:tc>
          <w:tcPr/>
          <w:p>
            <w:pPr>
              <w:pStyle w:val="Compact"/>
              <w:jc w:val="right"/>
            </w:pPr>
            <w:r>
              <w:rPr>
                <w:rFonts w:hint="eastAsia"/>
              </w:rPr>
              <w:t xml:space="preserve">+11.258424亿元</w:t>
            </w:r>
          </w:p>
        </w:tc>
        <w:tc>
          <w:tcPr/>
          <w:p>
            <w:pPr>
              <w:pStyle w:val="Compact"/>
            </w:pPr>
            <w:r>
              <w:rPr>
                <w:rFonts w:hint="eastAsia"/>
              </w:rPr>
              <w:t xml:space="preserve">是，连续2区间</w:t>
            </w:r>
          </w:p>
        </w:tc>
      </w:tr>
      <w:tr>
        <w:tc>
          <w:tcPr/>
          <w:p>
            <w:pPr>
              <w:pStyle w:val="Compact"/>
            </w:pPr>
            <w:r>
              <w:rPr>
                <w:rFonts w:hint="eastAsia"/>
              </w:rPr>
              <w:t xml:space="preserve">科创50ETF</w:t>
            </w:r>
          </w:p>
        </w:tc>
        <w:tc>
          <w:tcPr/>
          <w:p>
            <w:pPr>
              <w:pStyle w:val="Compact"/>
              <w:jc w:val="right"/>
            </w:pPr>
            <w:r>
              <w:t xml:space="preserve">2026-08-25</w:t>
            </w:r>
          </w:p>
        </w:tc>
        <w:tc>
          <w:tcPr/>
          <w:p>
            <w:pPr>
              <w:pStyle w:val="Compact"/>
              <w:jc w:val="right"/>
            </w:pPr>
            <w:r>
              <w:rPr>
                <w:rFonts w:hint="eastAsia"/>
              </w:rPr>
              <w:t xml:space="preserve">+738000000份</w:t>
            </w:r>
          </w:p>
        </w:tc>
        <w:tc>
          <w:tcPr/>
          <w:p>
            <w:pPr>
              <w:pStyle w:val="Compact"/>
              <w:jc w:val="right"/>
            </w:pPr>
            <w:r>
              <w:rPr>
                <w:rFonts w:hint="eastAsia"/>
              </w:rPr>
              <w:t xml:space="preserve">+12.49434亿元</w:t>
            </w:r>
          </w:p>
        </w:tc>
        <w:tc>
          <w:tcPr/>
          <w:p>
            <w:pPr>
              <w:pStyle w:val="Compact"/>
            </w:pPr>
            <w:r>
              <w:rPr>
                <w:rFonts w:hint="eastAsia"/>
              </w:rPr>
              <w:t xml:space="preserve">是，连续2区间</w:t>
            </w:r>
          </w:p>
        </w:tc>
      </w:tr>
      <w:tr>
        <w:tc>
          <w:tcPr/>
          <w:p>
            <w:pPr>
              <w:pStyle w:val="Compact"/>
            </w:pPr>
            <w:r>
              <w:rPr>
                <w:rFonts w:hint="eastAsia"/>
              </w:rPr>
              <w:t xml:space="preserve">创业板ETF</w:t>
            </w:r>
          </w:p>
        </w:tc>
        <w:tc>
          <w:tcPr/>
          <w:p>
            <w:pPr>
              <w:pStyle w:val="Compact"/>
              <w:jc w:val="right"/>
            </w:pPr>
            <w:r>
              <w:t xml:space="preserve">2026-08-25</w:t>
            </w:r>
          </w:p>
        </w:tc>
        <w:tc>
          <w:tcPr/>
          <w:p>
            <w:pPr>
              <w:pStyle w:val="Compact"/>
              <w:jc w:val="right"/>
            </w:pPr>
            <w:r>
              <w:rPr>
                <w:rFonts w:hint="eastAsia"/>
              </w:rPr>
              <w:t xml:space="preserve">+688000000份</w:t>
            </w:r>
          </w:p>
        </w:tc>
        <w:tc>
          <w:tcPr/>
          <w:p>
            <w:pPr>
              <w:pStyle w:val="Compact"/>
              <w:jc w:val="right"/>
            </w:pPr>
            <w:r>
              <w:rPr>
                <w:rFonts w:hint="eastAsia"/>
              </w:rPr>
              <w:t xml:space="preserve">+23.52272亿元</w:t>
            </w:r>
          </w:p>
        </w:tc>
        <w:tc>
          <w:tcPr/>
          <w:p>
            <w:pPr>
              <w:pStyle w:val="Compact"/>
            </w:pPr>
            <w:r>
              <w:rPr>
                <w:rFonts w:hint="eastAsia"/>
              </w:rPr>
              <w:t xml:space="preserve">是，连续2区间</w:t>
            </w:r>
          </w:p>
        </w:tc>
      </w:tr>
      <w:tr>
        <w:tc>
          <w:tcPr/>
          <w:p>
            <w:pPr>
              <w:pStyle w:val="Compact"/>
            </w:pPr>
            <w:r>
              <w:rPr>
                <w:rFonts w:hint="eastAsia"/>
              </w:rPr>
              <w:t xml:space="preserve">上证50ETF</w:t>
            </w:r>
          </w:p>
        </w:tc>
        <w:tc>
          <w:tcPr/>
          <w:p>
            <w:pPr>
              <w:pStyle w:val="Compact"/>
              <w:jc w:val="right"/>
            </w:pPr>
            <w:r>
              <w:t xml:space="preserve">2026-08-25</w:t>
            </w:r>
          </w:p>
        </w:tc>
        <w:tc>
          <w:tcPr/>
          <w:p>
            <w:pPr>
              <w:pStyle w:val="Compact"/>
              <w:jc w:val="right"/>
            </w:pPr>
            <w:r>
              <w:rPr>
                <w:rFonts w:hint="eastAsia"/>
              </w:rPr>
              <w:t xml:space="preserve">+112500000份</w:t>
            </w:r>
          </w:p>
        </w:tc>
        <w:tc>
          <w:tcPr/>
          <w:p>
            <w:pPr>
              <w:pStyle w:val="Compact"/>
              <w:jc w:val="right"/>
            </w:pPr>
            <w:r>
              <w:rPr>
                <w:rFonts w:hint="eastAsia"/>
              </w:rPr>
              <w:t xml:space="preserve">+3.35475亿元</w:t>
            </w:r>
          </w:p>
        </w:tc>
        <w:tc>
          <w:tcPr/>
          <w:p>
            <w:pPr>
              <w:pStyle w:val="Compact"/>
            </w:pPr>
            <w:r>
              <w:rPr>
                <w:rFonts w:hint="eastAsia"/>
              </w:rPr>
              <w:t xml:space="preserve">是，连续3区间</w:t>
            </w:r>
          </w:p>
        </w:tc>
      </w:tr>
      <w:tr>
        <w:tc>
          <w:tcPr/>
          <w:p>
            <w:pPr>
              <w:pStyle w:val="Compact"/>
            </w:pPr>
            <w:r>
              <w:rPr>
                <w:rFonts w:hint="eastAsia"/>
              </w:rPr>
              <w:t xml:space="preserve">创业板50ETF</w:t>
            </w:r>
          </w:p>
        </w:tc>
        <w:tc>
          <w:tcPr/>
          <w:p>
            <w:pPr>
              <w:pStyle w:val="Compact"/>
              <w:jc w:val="right"/>
            </w:pPr>
            <w:r>
              <w:t xml:space="preserve">2026-08-25</w:t>
            </w:r>
          </w:p>
        </w:tc>
        <w:tc>
          <w:tcPr/>
          <w:p>
            <w:pPr>
              <w:pStyle w:val="Compact"/>
              <w:jc w:val="right"/>
            </w:pPr>
            <w:r>
              <w:rPr>
                <w:rFonts w:hint="eastAsia"/>
              </w:rPr>
              <w:t xml:space="preserve">+336000000份</w:t>
            </w:r>
          </w:p>
        </w:tc>
        <w:tc>
          <w:tcPr/>
          <w:p>
            <w:pPr>
              <w:pStyle w:val="Compact"/>
              <w:jc w:val="right"/>
            </w:pPr>
            <w:r>
              <w:rPr>
                <w:rFonts w:hint="eastAsia"/>
              </w:rPr>
              <w:t xml:space="preserve">+5.38272亿元</w:t>
            </w:r>
          </w:p>
        </w:tc>
        <w:tc>
          <w:tcPr/>
          <w:p>
            <w:pPr>
              <w:pStyle w:val="Compact"/>
            </w:pPr>
            <w:r>
              <w:rPr>
                <w:rFonts w:hint="eastAsia"/>
              </w:rPr>
              <w:t xml:space="preserve">是，连续2区间</w:t>
            </w:r>
          </w:p>
        </w:tc>
      </w:tr>
    </w:tbl>
    <w:p>
      <w:pPr>
        <w:pStyle w:val="BodyText"/>
      </w:pPr>
      <w:r>
        <w:rPr>
          <w:rFonts w:hint="eastAsia"/>
        </w:rPr>
        <w:t xml:space="preserve">补充：</w:t>
      </w:r>
    </w:p>
    <w:p>
      <w:pPr>
        <w:pStyle w:val="Compact"/>
        <w:numPr>
          <w:ilvl w:val="0"/>
          <w:numId w:val="1021"/>
        </w:numPr>
      </w:pPr>
      <w:r>
        <w:rPr>
          <w:rFonts w:hint="eastAsia"/>
        </w:rPr>
        <w:t xml:space="preserve">连续净申购宽基ETF共7只：上证50ETF、沪深300ETF、科创50ETF、科创板50ETF、创业板ETF、创业板50ETF、深证100ETF。</w:t>
      </w:r>
    </w:p>
    <w:p>
      <w:pPr>
        <w:pStyle w:val="Compact"/>
        <w:numPr>
          <w:ilvl w:val="0"/>
          <w:numId w:val="1021"/>
        </w:numPr>
      </w:pPr>
      <w:r>
        <w:rPr>
          <w:rFonts w:hint="eastAsia"/>
        </w:rPr>
        <w:t xml:space="preserve">连续大额净申购名单：沪深300ETF、科创50ETF、创业板ETF、创业板50ETF。</w:t>
      </w:r>
    </w:p>
    <w:p>
      <w:pPr>
        <w:pStyle w:val="Compact"/>
        <w:numPr>
          <w:ilvl w:val="0"/>
          <w:numId w:val="1021"/>
        </w:numPr>
      </w:pPr>
      <w:r>
        <w:rPr>
          <w:rFonts w:hint="eastAsia"/>
        </w:rPr>
        <w:t xml:space="preserve">大额阈值：5.0亿元。</w:t>
      </w:r>
    </w:p>
    <w:bookmarkEnd w:id="40"/>
    <w:bookmarkStart w:id="41" w:name="成交额与恐慌代理"/>
    <w:p>
      <w:pPr>
        <w:pStyle w:val="Heading3"/>
      </w:pPr>
      <w:r>
        <w:t xml:space="preserve">📉 </w:t>
      </w:r>
      <w:r>
        <w:rPr>
          <w:rFonts w:hint="eastAsia"/>
        </w:rPr>
        <w:t xml:space="preserve">成交额与恐慌代理</w:t>
      </w:r>
    </w:p>
    <w:p>
      <w:pPr>
        <w:pStyle w:val="Compact"/>
        <w:numPr>
          <w:ilvl w:val="0"/>
          <w:numId w:val="1022"/>
        </w:numPr>
      </w:pPr>
      <w:r>
        <w:rPr>
          <w:rFonts w:hint="eastAsia"/>
        </w:rPr>
        <w:t xml:space="preserve">全市场成交额：18442.78亿元。</w:t>
      </w:r>
    </w:p>
    <w:p>
      <w:pPr>
        <w:pStyle w:val="Compact"/>
        <w:numPr>
          <w:ilvl w:val="0"/>
          <w:numId w:val="1022"/>
        </w:numPr>
      </w:pPr>
      <w:r>
        <w:rPr>
          <w:rFonts w:hint="eastAsia"/>
        </w:rPr>
        <w:t xml:space="preserve">前一交易日成交额：20212.14亿元。</w:t>
      </w:r>
    </w:p>
    <w:p>
      <w:pPr>
        <w:pStyle w:val="Compact"/>
        <w:numPr>
          <w:ilvl w:val="0"/>
          <w:numId w:val="1022"/>
        </w:numPr>
      </w:pPr>
      <w:r>
        <w:rPr>
          <w:rFonts w:hint="eastAsia"/>
        </w:rPr>
        <w:t xml:space="preserve">成交额减少：1769.37亿元。</w:t>
      </w:r>
    </w:p>
    <w:p>
      <w:pPr>
        <w:pStyle w:val="Compact"/>
        <w:numPr>
          <w:ilvl w:val="0"/>
          <w:numId w:val="1022"/>
        </w:numPr>
      </w:pPr>
      <w:r>
        <w:rPr>
          <w:rFonts w:hint="eastAsia"/>
        </w:rPr>
        <w:t xml:space="preserve">成交额变化：-8.75%。</w:t>
      </w:r>
    </w:p>
    <w:p>
      <w:pPr>
        <w:pStyle w:val="Compact"/>
        <w:numPr>
          <w:ilvl w:val="0"/>
          <w:numId w:val="1022"/>
        </w:numPr>
      </w:pPr>
      <w:r>
        <w:t xml:space="preserve">300ETF </w:t>
      </w:r>
      <w:r>
        <w:rPr>
          <w:rFonts w:hint="eastAsia"/>
        </w:rPr>
        <w:t xml:space="preserve">QVIX最新结算值：20.37。</w:t>
      </w:r>
    </w:p>
    <w:p>
      <w:pPr>
        <w:pStyle w:val="Compact"/>
        <w:numPr>
          <w:ilvl w:val="0"/>
          <w:numId w:val="1022"/>
        </w:numPr>
      </w:pPr>
      <w:r>
        <w:t xml:space="preserve">300ETF </w:t>
      </w:r>
      <w:r>
        <w:rPr>
          <w:rFonts w:hint="eastAsia"/>
        </w:rPr>
        <w:t xml:space="preserve">QVIX前收盘：20.52。</w:t>
      </w:r>
    </w:p>
    <w:p>
      <w:pPr>
        <w:pStyle w:val="Compact"/>
        <w:numPr>
          <w:ilvl w:val="0"/>
          <w:numId w:val="1022"/>
        </w:numPr>
      </w:pPr>
      <w:r>
        <w:t xml:space="preserve">300ETF </w:t>
      </w:r>
      <w:r>
        <w:rPr>
          <w:rFonts w:hint="eastAsia"/>
        </w:rPr>
        <w:t xml:space="preserve">QVIX变化：-0.15，变化-0.730994%。</w:t>
      </w:r>
    </w:p>
    <w:p>
      <w:pPr>
        <w:pStyle w:val="Compact"/>
        <w:numPr>
          <w:ilvl w:val="0"/>
          <w:numId w:val="1022"/>
        </w:numPr>
      </w:pPr>
      <w:r>
        <w:rPr>
          <w:rFonts w:hint="eastAsia"/>
        </w:rPr>
        <w:t xml:space="preserve">20日峰值：2026-07-30的27.14。</w:t>
      </w:r>
    </w:p>
    <w:p>
      <w:pPr>
        <w:pStyle w:val="Compact"/>
        <w:numPr>
          <w:ilvl w:val="0"/>
          <w:numId w:val="1022"/>
        </w:numPr>
      </w:pPr>
      <w:r>
        <w:rPr>
          <w:rFonts w:hint="eastAsia"/>
        </w:rPr>
        <w:t xml:space="preserve">较20日峰值回落：24.944731%。</w:t>
      </w:r>
    </w:p>
    <w:bookmarkEnd w:id="41"/>
    <w:bookmarkStart w:id="42" w:name="联合信号结论"/>
    <w:p>
      <w:pPr>
        <w:pStyle w:val="Heading3"/>
      </w:pPr>
      <w:r>
        <w:t xml:space="preserve">✅ </w:t>
      </w:r>
      <w:r>
        <w:rPr>
          <w:rFonts w:hint="eastAsia"/>
        </w:rPr>
        <w:t xml:space="preserve">联合信号结论</w:t>
      </w:r>
    </w:p>
    <w:p>
      <w:pPr>
        <w:pStyle w:val="FirstParagraph"/>
      </w:pPr>
      <w:r>
        <w:t xml:space="preserve">derived.liquidity_panic_signal.status = confirmed。</w:t>
      </w:r>
      <w:r>
        <w:br/>
      </w:r>
      <w:r>
        <w:rPr>
          <w:rFonts w:hint="eastAsia"/>
        </w:rPr>
        <w:t xml:space="preserve">因此，本轮可以明确写：恐慌高位降温且宽基ETF持续流入已确认。</w:t>
      </w:r>
    </w:p>
    <w:p>
      <w:pPr>
        <w:pStyle w:val="BodyText"/>
      </w:pPr>
      <w:r>
        <w:t xml:space="preserve">💡 </w:t>
      </w:r>
      <w:r>
        <w:rPr>
          <w:rFonts w:hint="eastAsia"/>
        </w:rPr>
        <w:t xml:space="preserve">交易含义：</w:t>
      </w:r>
    </w:p>
    <w:p>
      <w:pPr>
        <w:pStyle w:val="Compact"/>
        <w:numPr>
          <w:ilvl w:val="0"/>
          <w:numId w:val="1023"/>
        </w:numPr>
      </w:pPr>
      <w:r>
        <w:rPr>
          <w:rFonts w:hint="eastAsia"/>
        </w:rPr>
        <w:t xml:space="preserve">底部承接力量存在，指数系统性下杀风险下降。</w:t>
      </w:r>
    </w:p>
    <w:p>
      <w:pPr>
        <w:pStyle w:val="Compact"/>
        <w:numPr>
          <w:ilvl w:val="0"/>
          <w:numId w:val="1023"/>
        </w:numPr>
      </w:pPr>
      <w:r>
        <w:rPr>
          <w:rFonts w:hint="eastAsia"/>
        </w:rPr>
        <w:t xml:space="preserve">但两融融资余额下降、成交额缩量，说明主动进攻资金仍不够强。</w:t>
      </w:r>
    </w:p>
    <w:p>
      <w:pPr>
        <w:pStyle w:val="Compact"/>
        <w:numPr>
          <w:ilvl w:val="0"/>
          <w:numId w:val="1023"/>
        </w:numPr>
      </w:pPr>
      <w:r>
        <w:rPr>
          <w:rFonts w:hint="eastAsia"/>
        </w:rPr>
        <w:t xml:space="preserve">今日策略应是“确认后加，不确认不追”，不是无脑提高仓位。</w:t>
      </w:r>
    </w:p>
    <w:bookmarkEnd w:id="42"/>
    <w:bookmarkEnd w:id="43"/>
    <w:bookmarkStart w:id="46" w:name="今日操作策略三档仓位等量能确认"/>
    <w:p>
      <w:pPr>
        <w:pStyle w:val="Heading2"/>
      </w:pPr>
      <w:r>
        <w:t xml:space="preserve">🧭 </w:t>
      </w:r>
      <w:r>
        <w:rPr>
          <w:rFonts w:hint="eastAsia"/>
        </w:rPr>
        <w:t xml:space="preserve">今日操作策略：三档仓位，等量能确认</w:t>
      </w:r>
    </w:p>
    <w:bookmarkStart w:id="44" w:name="三档仓位"/>
    <w:p>
      <w:pPr>
        <w:pStyle w:val="Heading3"/>
      </w:pPr>
      <w:r>
        <w:t xml:space="preserve">💡 </w:t>
      </w:r>
      <w:r>
        <w:rPr>
          <w:rFonts w:hint="eastAsia"/>
        </w:rPr>
        <w:t xml:space="preserve">三档仓位</w:t>
      </w:r>
    </w:p>
    <w:tbl>
      <w:tblPr>
        <w:tblStyle w:val="Table"/>
        <w:tblW w:type="pct" w:w="5000"/>
        <w:tblLayout w:type="fixed"/>
        <w:tblLook w:firstRow="1" w:lastRow="0" w:firstColumn="0" w:lastColumn="0" w:noHBand="0" w:noVBand="0" w:val="0020"/>
      </w:tblPr>
      <w:tblGrid>
        <w:gridCol w:w="2376"/>
        <w:gridCol w:w="2376"/>
        <w:gridCol w:w="3168"/>
      </w:tblGrid>
      <w:tr>
        <w:trPr>
          <w:tblHeader w:val="on"/>
        </w:trPr>
        <w:tc>
          <w:tcPr/>
          <w:p>
            <w:pPr>
              <w:pStyle w:val="Compact"/>
            </w:pPr>
            <w:r>
              <w:rPr>
                <w:rFonts w:hint="eastAsia"/>
              </w:rPr>
              <w:t xml:space="preserve">场景</w:t>
            </w:r>
          </w:p>
        </w:tc>
        <w:tc>
          <w:tcPr/>
          <w:p>
            <w:pPr>
              <w:pStyle w:val="Compact"/>
            </w:pPr>
            <w:r>
              <w:rPr>
                <w:rFonts w:hint="eastAsia"/>
              </w:rPr>
              <w:t xml:space="preserve">条件</w:t>
            </w:r>
          </w:p>
        </w:tc>
        <w:tc>
          <w:tcPr/>
          <w:p>
            <w:pPr>
              <w:pStyle w:val="Compact"/>
              <w:jc w:val="right"/>
            </w:pPr>
            <w:r>
              <w:rPr>
                <w:rFonts w:hint="eastAsia"/>
              </w:rPr>
              <w:t xml:space="preserve">仓位</w:t>
            </w:r>
          </w:p>
        </w:tc>
      </w:tr>
      <w:tr>
        <w:tc>
          <w:tcPr/>
          <w:p>
            <w:pPr>
              <w:pStyle w:val="Compact"/>
            </w:pPr>
            <w:r>
              <w:rPr>
                <w:rFonts w:hint="eastAsia"/>
              </w:rPr>
              <w:t xml:space="preserve">进攻档</w:t>
            </w:r>
          </w:p>
        </w:tc>
        <w:tc>
          <w:tcPr/>
          <w:p>
            <w:pPr>
              <w:pStyle w:val="Compact"/>
            </w:pPr>
            <w:r>
              <w:rPr>
                <w:rFonts w:hint="eastAsia"/>
              </w:rPr>
              <w:t xml:space="preserve">指数红盘，成交额放大，资金回流专用设备/通信设备/元件，核心股不冲高回落</w:t>
            </w:r>
          </w:p>
        </w:tc>
        <w:tc>
          <w:tcPr/>
          <w:p>
            <w:pPr>
              <w:pStyle w:val="Compact"/>
              <w:jc w:val="right"/>
            </w:pPr>
            <w:r>
              <w:t xml:space="preserve">50%</w:t>
            </w:r>
          </w:p>
        </w:tc>
      </w:tr>
      <w:tr>
        <w:tc>
          <w:tcPr/>
          <w:p>
            <w:pPr>
              <w:pStyle w:val="Compact"/>
            </w:pPr>
            <w:r>
              <w:rPr>
                <w:rFonts w:hint="eastAsia"/>
              </w:rPr>
              <w:t xml:space="preserve">平衡档</w:t>
            </w:r>
          </w:p>
        </w:tc>
        <w:tc>
          <w:tcPr/>
          <w:p>
            <w:pPr>
              <w:pStyle w:val="Compact"/>
            </w:pPr>
            <w:r>
              <w:rPr>
                <w:rFonts w:hint="eastAsia"/>
              </w:rPr>
              <w:t xml:space="preserve">指数震荡，成交额仍温和缩量，板块轮动但无单一强主线</w:t>
            </w:r>
          </w:p>
        </w:tc>
        <w:tc>
          <w:tcPr/>
          <w:p>
            <w:pPr>
              <w:pStyle w:val="Compact"/>
              <w:jc w:val="right"/>
            </w:pPr>
            <w:r>
              <w:t xml:space="preserve">46%</w:t>
            </w:r>
          </w:p>
        </w:tc>
      </w:tr>
      <w:tr>
        <w:tc>
          <w:tcPr/>
          <w:p>
            <w:pPr>
              <w:pStyle w:val="Compact"/>
            </w:pPr>
            <w:r>
              <w:rPr>
                <w:rFonts w:hint="eastAsia"/>
              </w:rPr>
              <w:t xml:space="preserve">防守档</w:t>
            </w:r>
          </w:p>
        </w:tc>
        <w:tc>
          <w:tcPr/>
          <w:p>
            <w:pPr>
              <w:pStyle w:val="Compact"/>
            </w:pPr>
            <w:r>
              <w:rPr>
                <w:rFonts w:hint="eastAsia"/>
              </w:rPr>
              <w:t xml:space="preserve">AI硬件高开低走，成交额继续低于18442.78亿元节奏，宽基ETF承接减弱</w:t>
            </w:r>
          </w:p>
        </w:tc>
        <w:tc>
          <w:tcPr/>
          <w:p>
            <w:pPr>
              <w:pStyle w:val="Compact"/>
              <w:jc w:val="right"/>
            </w:pPr>
            <w:r>
              <w:t xml:space="preserve">31%</w:t>
            </w:r>
          </w:p>
        </w:tc>
      </w:tr>
    </w:tbl>
    <w:bookmarkEnd w:id="44"/>
    <w:bookmarkStart w:id="45" w:name="仓位模型依据"/>
    <w:p>
      <w:pPr>
        <w:pStyle w:val="Heading3"/>
      </w:pPr>
      <w:r>
        <w:t xml:space="preserve">🧮 </w:t>
      </w:r>
      <w:r>
        <w:rPr>
          <w:rFonts w:hint="eastAsia"/>
        </w:rPr>
        <w:t xml:space="preserve">仓位模型依据</w:t>
      </w:r>
    </w:p>
    <w:p>
      <w:pPr>
        <w:pStyle w:val="FirstParagraph"/>
      </w:pPr>
      <w:r>
        <w:t xml:space="preserve">derived.position_model </w:t>
      </w:r>
      <w:r>
        <w:rPr>
          <w:rFonts w:hint="eastAsia"/>
        </w:rPr>
        <w:t xml:space="preserve">给出：</w:t>
      </w:r>
    </w:p>
    <w:p>
      <w:pPr>
        <w:pStyle w:val="Compact"/>
        <w:numPr>
          <w:ilvl w:val="0"/>
          <w:numId w:val="1024"/>
        </w:numPr>
      </w:pPr>
      <w:r>
        <w:rPr>
          <w:rFonts w:hint="eastAsia"/>
        </w:rPr>
        <w:t xml:space="preserve">max_position_pct：50。</w:t>
      </w:r>
    </w:p>
    <w:p>
      <w:pPr>
        <w:pStyle w:val="Compact"/>
        <w:numPr>
          <w:ilvl w:val="0"/>
          <w:numId w:val="1024"/>
        </w:numPr>
      </w:pPr>
      <w:r>
        <w:rPr>
          <w:rFonts w:hint="eastAsia"/>
        </w:rPr>
        <w:t xml:space="preserve">aggressive_pct：50。</w:t>
      </w:r>
    </w:p>
    <w:p>
      <w:pPr>
        <w:pStyle w:val="Compact"/>
        <w:numPr>
          <w:ilvl w:val="0"/>
          <w:numId w:val="1024"/>
        </w:numPr>
      </w:pPr>
      <w:r>
        <w:rPr>
          <w:rFonts w:hint="eastAsia"/>
        </w:rPr>
        <w:t xml:space="preserve">balanced_pct：46。</w:t>
      </w:r>
    </w:p>
    <w:p>
      <w:pPr>
        <w:pStyle w:val="Compact"/>
        <w:numPr>
          <w:ilvl w:val="0"/>
          <w:numId w:val="1024"/>
        </w:numPr>
      </w:pPr>
      <w:r>
        <w:rPr>
          <w:rFonts w:hint="eastAsia"/>
        </w:rPr>
        <w:t xml:space="preserve">conservative_pct：31。</w:t>
      </w:r>
    </w:p>
    <w:p>
      <w:pPr>
        <w:pStyle w:val="Compact"/>
        <w:numPr>
          <w:ilvl w:val="0"/>
          <w:numId w:val="1024"/>
        </w:numPr>
      </w:pPr>
      <w:r>
        <w:rPr>
          <w:rFonts w:hint="eastAsia"/>
        </w:rPr>
        <w:t xml:space="preserve">涨跌比：3.401，对仓位加分+10。</w:t>
      </w:r>
    </w:p>
    <w:p>
      <w:pPr>
        <w:pStyle w:val="Compact"/>
        <w:numPr>
          <w:ilvl w:val="0"/>
          <w:numId w:val="1024"/>
        </w:numPr>
      </w:pPr>
      <w:r>
        <w:rPr>
          <w:rFonts w:hint="eastAsia"/>
        </w:rPr>
        <w:t xml:space="preserve">跌停数：4，对仓位影响0。</w:t>
      </w:r>
    </w:p>
    <w:p>
      <w:pPr>
        <w:pStyle w:val="Compact"/>
        <w:numPr>
          <w:ilvl w:val="0"/>
          <w:numId w:val="1024"/>
        </w:numPr>
      </w:pPr>
      <w:r>
        <w:rPr>
          <w:rFonts w:hint="eastAsia"/>
        </w:rPr>
        <w:t xml:space="preserve">全市场成交额变化：-8.75%，对仓位扣分-4。</w:t>
      </w:r>
    </w:p>
    <w:p>
      <w:pPr>
        <w:pStyle w:val="Compact"/>
        <w:numPr>
          <w:ilvl w:val="0"/>
          <w:numId w:val="1024"/>
        </w:numPr>
      </w:pPr>
      <w:r>
        <w:rPr>
          <w:rFonts w:hint="eastAsia"/>
        </w:rPr>
        <w:t xml:space="preserve">成交额状态：温和缩量。</w:t>
      </w:r>
    </w:p>
    <w:p>
      <w:pPr>
        <w:pStyle w:val="FirstParagraph"/>
      </w:pPr>
      <w:r>
        <w:t xml:space="preserve">💡 </w:t>
      </w:r>
      <w:r>
        <w:rPr>
          <w:rFonts w:hint="eastAsia"/>
        </w:rPr>
        <w:t xml:space="preserve">最终执行：</w:t>
      </w:r>
    </w:p>
    <w:p>
      <w:pPr>
        <w:pStyle w:val="Compact"/>
        <w:numPr>
          <w:ilvl w:val="0"/>
          <w:numId w:val="1025"/>
        </w:numPr>
      </w:pPr>
      <w:r>
        <w:rPr>
          <w:rFonts w:hint="eastAsia"/>
        </w:rPr>
        <w:t xml:space="preserve">基准仓位采用46%。</w:t>
      </w:r>
    </w:p>
    <w:p>
      <w:pPr>
        <w:pStyle w:val="Compact"/>
        <w:numPr>
          <w:ilvl w:val="0"/>
          <w:numId w:val="1025"/>
        </w:numPr>
      </w:pPr>
      <w:r>
        <w:rPr>
          <w:rFonts w:hint="eastAsia"/>
        </w:rPr>
        <w:t xml:space="preserve">只有当成交额修复并且主线资金回流，才允许向50%靠近。</w:t>
      </w:r>
    </w:p>
    <w:p>
      <w:pPr>
        <w:pStyle w:val="Compact"/>
        <w:numPr>
          <w:ilvl w:val="0"/>
          <w:numId w:val="1025"/>
        </w:numPr>
      </w:pPr>
      <w:r>
        <w:rPr>
          <w:rFonts w:hint="eastAsia"/>
        </w:rPr>
        <w:t xml:space="preserve">若AI算力高位股继续大额流出，仓位下调至31%。</w:t>
      </w:r>
    </w:p>
    <w:bookmarkEnd w:id="45"/>
    <w:bookmarkEnd w:id="46"/>
    <w:bookmarkStart w:id="49" w:name="市场风格预判偏权重偏机构中军题材需服从成交额"/>
    <w:p>
      <w:pPr>
        <w:pStyle w:val="Heading2"/>
      </w:pPr>
      <w:r>
        <w:t xml:space="preserve">🧱 </w:t>
      </w:r>
      <w:r>
        <w:rPr>
          <w:rFonts w:hint="eastAsia"/>
        </w:rPr>
        <w:t xml:space="preserve">市场风格预判：偏权重、偏机构中军，题材需服从成交额</w:t>
      </w:r>
    </w:p>
    <w:bookmarkStart w:id="47" w:name="风格仪表"/>
    <w:p>
      <w:pPr>
        <w:pStyle w:val="Heading3"/>
      </w:pPr>
      <w:r>
        <w:t xml:space="preserve">📌 </w:t>
      </w:r>
      <w:r>
        <w:rPr>
          <w:rFonts w:hint="eastAsia"/>
        </w:rPr>
        <w:t xml:space="preserve">风格仪表</w:t>
      </w:r>
    </w:p>
    <w:p>
      <w:pPr>
        <w:pStyle w:val="Compact"/>
        <w:numPr>
          <w:ilvl w:val="0"/>
          <w:numId w:val="1026"/>
        </w:numPr>
      </w:pPr>
      <w:r>
        <w:rPr>
          <w:rFonts w:hint="eastAsia"/>
        </w:rPr>
        <w:t xml:space="preserve">large_vs_small：偏权重。</w:t>
      </w:r>
    </w:p>
    <w:p>
      <w:pPr>
        <w:pStyle w:val="Compact"/>
        <w:numPr>
          <w:ilvl w:val="0"/>
          <w:numId w:val="1026"/>
        </w:numPr>
      </w:pPr>
      <w:r>
        <w:rPr>
          <w:rFonts w:hint="eastAsia"/>
        </w:rPr>
        <w:t xml:space="preserve">growth_vs_value：偏价值/权重。</w:t>
      </w:r>
    </w:p>
    <w:p>
      <w:pPr>
        <w:pStyle w:val="Compact"/>
        <w:numPr>
          <w:ilvl w:val="0"/>
          <w:numId w:val="1026"/>
        </w:numPr>
      </w:pPr>
      <w:r>
        <w:rPr>
          <w:rFonts w:hint="eastAsia"/>
        </w:rPr>
        <w:t xml:space="preserve">theme_vs_institution：机构/成交额核心主导。</w:t>
      </w:r>
    </w:p>
    <w:p>
      <w:pPr>
        <w:pStyle w:val="Compact"/>
        <w:numPr>
          <w:ilvl w:val="0"/>
          <w:numId w:val="1026"/>
        </w:numPr>
      </w:pPr>
      <w:r>
        <w:rPr>
          <w:rFonts w:hint="eastAsia"/>
        </w:rPr>
        <w:t xml:space="preserve">defense_vs_attack：进攻。</w:t>
      </w:r>
    </w:p>
    <w:p>
      <w:pPr>
        <w:pStyle w:val="Compact"/>
        <w:numPr>
          <w:ilvl w:val="0"/>
          <w:numId w:val="1026"/>
        </w:numPr>
      </w:pPr>
      <w:r>
        <w:rPr>
          <w:rFonts w:hint="eastAsia"/>
        </w:rPr>
        <w:t xml:space="preserve">上涨/下跌比：3.401。</w:t>
      </w:r>
    </w:p>
    <w:p>
      <w:pPr>
        <w:pStyle w:val="Compact"/>
        <w:numPr>
          <w:ilvl w:val="0"/>
          <w:numId w:val="1026"/>
        </w:numPr>
      </w:pPr>
      <w:r>
        <w:rPr>
          <w:rFonts w:hint="eastAsia"/>
        </w:rPr>
        <w:t xml:space="preserve">行为金融信号：中性，risk_score=1。</w:t>
      </w:r>
    </w:p>
    <w:bookmarkEnd w:id="47"/>
    <w:bookmarkStart w:id="48" w:name="盘前风格判断"/>
    <w:p>
      <w:pPr>
        <w:pStyle w:val="Heading3"/>
      </w:pPr>
      <w:r>
        <w:t xml:space="preserve">💡 </w:t>
      </w:r>
      <w:r>
        <w:rPr>
          <w:rFonts w:hint="eastAsia"/>
        </w:rPr>
        <w:t xml:space="preserve">盘前风格判断</w:t>
      </w:r>
    </w:p>
    <w:p>
      <w:pPr>
        <w:pStyle w:val="Compact"/>
        <w:numPr>
          <w:ilvl w:val="0"/>
          <w:numId w:val="1027"/>
        </w:numPr>
      </w:pPr>
      <w:r>
        <w:rPr>
          <w:rFonts w:hint="eastAsia"/>
        </w:rPr>
        <w:t xml:space="preserve">市场不是冰点修复后的无脑题材期，而是“宽基ETF承接</w:t>
      </w:r>
      <w:r>
        <w:t xml:space="preserve"> + </w:t>
      </w:r>
      <w:r>
        <w:rPr>
          <w:rFonts w:hint="eastAsia"/>
        </w:rPr>
        <w:t xml:space="preserve">核心成交额博弈</w:t>
      </w:r>
      <w:r>
        <w:t xml:space="preserve"> + </w:t>
      </w:r>
      <w:r>
        <w:rPr>
          <w:rFonts w:hint="eastAsia"/>
        </w:rPr>
        <w:t xml:space="preserve">高位分歧”的混合状态。</w:t>
      </w:r>
    </w:p>
    <w:p>
      <w:pPr>
        <w:pStyle w:val="Compact"/>
        <w:numPr>
          <w:ilvl w:val="0"/>
          <w:numId w:val="1027"/>
        </w:numPr>
      </w:pPr>
      <w:r>
        <w:rPr>
          <w:rFonts w:hint="eastAsia"/>
        </w:rPr>
        <w:t xml:space="preserve">资金更愿意在机构中军、成交额前排、政策可验证方向之间切换。</w:t>
      </w:r>
    </w:p>
    <w:p>
      <w:pPr>
        <w:pStyle w:val="Compact"/>
        <w:numPr>
          <w:ilvl w:val="0"/>
          <w:numId w:val="1027"/>
        </w:numPr>
      </w:pPr>
      <w:r>
        <w:rPr>
          <w:rFonts w:hint="eastAsia"/>
        </w:rPr>
        <w:t xml:space="preserve">小票题材若没有成交额支持，只能快进快出，不适合加仓追高。</w:t>
      </w:r>
    </w:p>
    <w:bookmarkEnd w:id="48"/>
    <w:bookmarkEnd w:id="49"/>
    <w:bookmarkStart w:id="51" w:name="行为金融信号未触发fomo但高位锚定风险仍在"/>
    <w:p>
      <w:pPr>
        <w:pStyle w:val="Heading2"/>
      </w:pPr>
      <w:r>
        <w:t xml:space="preserve">🧠 </w:t>
      </w:r>
      <w:r>
        <w:rPr>
          <w:rFonts w:hint="eastAsia"/>
        </w:rPr>
        <w:t xml:space="preserve">行为金融信号：未触发FOMO，但高位锚定风险仍在</w:t>
      </w:r>
    </w:p>
    <w:p>
      <w:pPr>
        <w:pStyle w:val="FirstParagraph"/>
      </w:pPr>
      <w:r>
        <w:rPr>
          <w:rFonts w:hint="eastAsia"/>
        </w:rPr>
        <w:t xml:space="preserve">derived.behavioral_finance_signals：</w:t>
      </w:r>
    </w:p>
    <w:p>
      <w:pPr>
        <w:pStyle w:val="Compact"/>
        <w:numPr>
          <w:ilvl w:val="0"/>
          <w:numId w:val="1028"/>
        </w:numPr>
      </w:pPr>
      <w:r>
        <w:rPr>
          <w:rFonts w:hint="eastAsia"/>
        </w:rPr>
        <w:t xml:space="preserve">信号：行为金融信号中性。</w:t>
      </w:r>
    </w:p>
    <w:p>
      <w:pPr>
        <w:pStyle w:val="Compact"/>
        <w:numPr>
          <w:ilvl w:val="0"/>
          <w:numId w:val="1028"/>
        </w:numPr>
      </w:pPr>
      <w:r>
        <w:rPr>
          <w:rFonts w:hint="eastAsia"/>
        </w:rPr>
        <w:t xml:space="preserve">level：low。</w:t>
      </w:r>
    </w:p>
    <w:p>
      <w:pPr>
        <w:pStyle w:val="Compact"/>
        <w:numPr>
          <w:ilvl w:val="0"/>
          <w:numId w:val="1028"/>
        </w:numPr>
      </w:pPr>
      <w:r>
        <w:rPr>
          <w:rFonts w:hint="eastAsia"/>
        </w:rPr>
        <w:t xml:space="preserve">证据：未触发FOMO、拥挤或亏损厌恶阈值。</w:t>
      </w:r>
    </w:p>
    <w:p>
      <w:pPr>
        <w:pStyle w:val="Compact"/>
        <w:numPr>
          <w:ilvl w:val="0"/>
          <w:numId w:val="1028"/>
        </w:numPr>
      </w:pPr>
      <w:r>
        <w:rPr>
          <w:rFonts w:hint="eastAsia"/>
        </w:rPr>
        <w:t xml:space="preserve">risk_score：1。</w:t>
      </w:r>
    </w:p>
    <w:p>
      <w:pPr>
        <w:pStyle w:val="Compact"/>
        <w:numPr>
          <w:ilvl w:val="0"/>
          <w:numId w:val="1028"/>
        </w:numPr>
      </w:pPr>
      <w:r>
        <w:rPr>
          <w:rFonts w:hint="eastAsia"/>
        </w:rPr>
        <w:t xml:space="preserve">stance：按原仓位模型执行，避免无依据扩大仓位。</w:t>
      </w:r>
    </w:p>
    <w:bookmarkStart w:id="50" w:name="需要警惕的交易偏差"/>
    <w:p>
      <w:pPr>
        <w:pStyle w:val="Heading3"/>
      </w:pPr>
      <w:r>
        <w:t xml:space="preserve">⚠️ </w:t>
      </w:r>
      <w:r>
        <w:rPr>
          <w:rFonts w:hint="eastAsia"/>
        </w:rPr>
        <w:t xml:space="preserve">需要警惕的交易偏差</w:t>
      </w:r>
    </w:p>
    <w:p>
      <w:pPr>
        <w:pStyle w:val="Compact"/>
        <w:numPr>
          <w:ilvl w:val="0"/>
          <w:numId w:val="1029"/>
        </w:numPr>
      </w:pPr>
      <w:r>
        <w:rPr>
          <w:rFonts w:hint="eastAsia"/>
        </w:rPr>
        <w:t xml:space="preserve">FOMO追涨：英伟达财报前，A股AI硬件若高开，容易被外盘上涨锚定。</w:t>
      </w:r>
    </w:p>
    <w:p>
      <w:pPr>
        <w:pStyle w:val="Compact"/>
        <w:numPr>
          <w:ilvl w:val="0"/>
          <w:numId w:val="1029"/>
        </w:numPr>
      </w:pPr>
      <w:r>
        <w:rPr>
          <w:rFonts w:hint="eastAsia"/>
        </w:rPr>
        <w:t xml:space="preserve">锚定偏差：中际旭创、新易盛、寒武纪等此前高点距离较远，不能因“跌多了”自动判断安全。</w:t>
      </w:r>
    </w:p>
    <w:p>
      <w:pPr>
        <w:pStyle w:val="Compact"/>
        <w:numPr>
          <w:ilvl w:val="0"/>
          <w:numId w:val="1029"/>
        </w:numPr>
      </w:pPr>
      <w:r>
        <w:rPr>
          <w:rFonts w:hint="eastAsia"/>
        </w:rPr>
        <w:t xml:space="preserve">确认偏误：只看业绩高增，不看资金流出与MA20/MA60破位，会放大亏损。</w:t>
      </w:r>
    </w:p>
    <w:p>
      <w:pPr>
        <w:pStyle w:val="Compact"/>
        <w:numPr>
          <w:ilvl w:val="0"/>
          <w:numId w:val="1029"/>
        </w:numPr>
      </w:pPr>
      <w:r>
        <w:rPr>
          <w:rFonts w:hint="eastAsia"/>
        </w:rPr>
        <w:t xml:space="preserve">处置效应：高位核心股若反弹，应先处理破位仓，而不是继续摊平。</w:t>
      </w:r>
    </w:p>
    <w:bookmarkEnd w:id="50"/>
    <w:bookmarkEnd w:id="51"/>
    <w:bookmarkStart w:id="59" w:name="投资方向分层"/>
    <w:p>
      <w:pPr>
        <w:pStyle w:val="Heading2"/>
      </w:pPr>
      <w:r>
        <w:t xml:space="preserve">🧩 </w:t>
      </w:r>
      <w:r>
        <w:rPr>
          <w:rFonts w:hint="eastAsia"/>
        </w:rPr>
        <w:t xml:space="preserve">投资方向分层</w:t>
      </w:r>
    </w:p>
    <w:bookmarkStart w:id="52" w:name="可参与方向一专用设备自动化设备通用设备"/>
    <w:p>
      <w:pPr>
        <w:pStyle w:val="Heading3"/>
      </w:pPr>
      <w:r>
        <w:t xml:space="preserve">✅ </w:t>
      </w:r>
      <w:r>
        <w:rPr>
          <w:rFonts w:hint="eastAsia"/>
        </w:rPr>
        <w:t xml:space="preserve">可参与方向一：专用设备/自动化设备/通用设备</w:t>
      </w:r>
    </w:p>
    <w:p>
      <w:pPr>
        <w:pStyle w:val="FirstParagraph"/>
      </w:pPr>
      <w:r>
        <w:rPr>
          <w:rFonts w:hint="eastAsia"/>
        </w:rPr>
        <w:t xml:space="preserve">证据链：</w:t>
      </w:r>
    </w:p>
    <w:p>
      <w:pPr>
        <w:pStyle w:val="Compact"/>
        <w:numPr>
          <w:ilvl w:val="0"/>
          <w:numId w:val="1030"/>
        </w:numPr>
      </w:pPr>
      <w:r>
        <w:rPr>
          <w:rFonts w:hint="eastAsia"/>
        </w:rPr>
        <w:t xml:space="preserve">专用设备主力净流入+41.54亿元，排名流入板块第1。</w:t>
      </w:r>
    </w:p>
    <w:p>
      <w:pPr>
        <w:pStyle w:val="Compact"/>
        <w:numPr>
          <w:ilvl w:val="0"/>
          <w:numId w:val="1030"/>
        </w:numPr>
      </w:pPr>
      <w:r>
        <w:rPr>
          <w:rFonts w:hint="eastAsia"/>
        </w:rPr>
        <w:t xml:space="preserve">自动化设备主力净流入+12.63亿元。</w:t>
      </w:r>
    </w:p>
    <w:p>
      <w:pPr>
        <w:pStyle w:val="Compact"/>
        <w:numPr>
          <w:ilvl w:val="0"/>
          <w:numId w:val="1030"/>
        </w:numPr>
      </w:pPr>
      <w:r>
        <w:rPr>
          <w:rFonts w:hint="eastAsia"/>
        </w:rPr>
        <w:t xml:space="preserve">通用设备主力净流入+10.82亿元。</w:t>
      </w:r>
    </w:p>
    <w:p>
      <w:pPr>
        <w:pStyle w:val="Compact"/>
        <w:numPr>
          <w:ilvl w:val="0"/>
          <w:numId w:val="1030"/>
        </w:numPr>
      </w:pPr>
      <w:r>
        <w:rPr>
          <w:rFonts w:hint="eastAsia"/>
        </w:rPr>
        <w:t xml:space="preserve">今日工信部新型工业化发布会提供事件窗口。</w:t>
      </w:r>
    </w:p>
    <w:p>
      <w:pPr>
        <w:pStyle w:val="FirstParagraph"/>
      </w:pPr>
      <w:r>
        <w:rPr>
          <w:rFonts w:hint="eastAsia"/>
        </w:rPr>
        <w:t xml:space="preserve">核心标的：</w:t>
      </w:r>
    </w:p>
    <w:p>
      <w:pPr>
        <w:pStyle w:val="Compact"/>
        <w:numPr>
          <w:ilvl w:val="0"/>
          <w:numId w:val="1031"/>
        </w:numPr>
      </w:pPr>
      <w:r>
        <w:rPr>
          <w:rFonts w:hint="eastAsia"/>
        </w:rPr>
        <w:t xml:space="preserve">N高凯（688835）：主力净流入+20.83亿。</w:t>
      </w:r>
    </w:p>
    <w:p>
      <w:pPr>
        <w:pStyle w:val="Compact"/>
        <w:numPr>
          <w:ilvl w:val="0"/>
          <w:numId w:val="1031"/>
        </w:numPr>
      </w:pPr>
      <w:r>
        <w:rPr>
          <w:rFonts w:hint="eastAsia"/>
        </w:rPr>
        <w:t xml:space="preserve">黄河旋风（600172）：主力净流入+5.25亿。</w:t>
      </w:r>
    </w:p>
    <w:p>
      <w:pPr>
        <w:pStyle w:val="Compact"/>
        <w:numPr>
          <w:ilvl w:val="0"/>
          <w:numId w:val="1031"/>
        </w:numPr>
      </w:pPr>
      <w:r>
        <w:rPr>
          <w:rFonts w:hint="eastAsia"/>
        </w:rPr>
        <w:t xml:space="preserve">若机器人/工业母机/装备方向盘中放量，可在前排分歧低吸。</w:t>
      </w:r>
    </w:p>
    <w:p>
      <w:pPr>
        <w:pStyle w:val="FirstParagraph"/>
      </w:pPr>
      <w:r>
        <w:rPr>
          <w:rFonts w:hint="eastAsia"/>
        </w:rPr>
        <w:t xml:space="preserve">触发条件：</w:t>
      </w:r>
    </w:p>
    <w:p>
      <w:pPr>
        <w:pStyle w:val="Compact"/>
        <w:numPr>
          <w:ilvl w:val="0"/>
          <w:numId w:val="1032"/>
        </w:numPr>
      </w:pPr>
      <w:r>
        <w:rPr>
          <w:rFonts w:hint="eastAsia"/>
        </w:rPr>
        <w:t xml:space="preserve">板块成交额放大。</w:t>
      </w:r>
    </w:p>
    <w:p>
      <w:pPr>
        <w:pStyle w:val="Compact"/>
        <w:numPr>
          <w:ilvl w:val="0"/>
          <w:numId w:val="1032"/>
        </w:numPr>
      </w:pPr>
      <w:r>
        <w:rPr>
          <w:rFonts w:hint="eastAsia"/>
        </w:rPr>
        <w:t xml:space="preserve">前排个股不炸板、不长上影。</w:t>
      </w:r>
    </w:p>
    <w:p>
      <w:pPr>
        <w:pStyle w:val="Compact"/>
        <w:numPr>
          <w:ilvl w:val="0"/>
          <w:numId w:val="1032"/>
        </w:numPr>
      </w:pPr>
      <w:r>
        <w:rPr>
          <w:rFonts w:hint="eastAsia"/>
        </w:rPr>
        <w:t xml:space="preserve">工信部发布会强化新型工业化、智能制造、产业升级。</w:t>
      </w:r>
    </w:p>
    <w:p>
      <w:pPr>
        <w:pStyle w:val="FirstParagraph"/>
      </w:pPr>
      <w:r>
        <w:rPr>
          <w:rFonts w:hint="eastAsia"/>
        </w:rPr>
        <w:t xml:space="preserve">失效条件：</w:t>
      </w:r>
    </w:p>
    <w:p>
      <w:pPr>
        <w:pStyle w:val="Compact"/>
        <w:numPr>
          <w:ilvl w:val="0"/>
          <w:numId w:val="1033"/>
        </w:numPr>
      </w:pPr>
      <w:r>
        <w:rPr>
          <w:rFonts w:hint="eastAsia"/>
        </w:rPr>
        <w:t xml:space="preserve">专用设备板块冲高回落。</w:t>
      </w:r>
    </w:p>
    <w:p>
      <w:pPr>
        <w:pStyle w:val="Compact"/>
        <w:numPr>
          <w:ilvl w:val="0"/>
          <w:numId w:val="1033"/>
        </w:numPr>
      </w:pPr>
      <w:r>
        <w:rPr>
          <w:rFonts w:hint="eastAsia"/>
        </w:rPr>
        <w:t xml:space="preserve">成交额继续较18442.78亿元缩量。</w:t>
      </w:r>
    </w:p>
    <w:p>
      <w:pPr>
        <w:pStyle w:val="Compact"/>
        <w:numPr>
          <w:ilvl w:val="0"/>
          <w:numId w:val="1033"/>
        </w:numPr>
      </w:pPr>
      <w:r>
        <w:rPr>
          <w:rFonts w:hint="eastAsia"/>
        </w:rPr>
        <w:t xml:space="preserve">高位设备股出现集体放量下跌。</w:t>
      </w:r>
    </w:p>
    <w:bookmarkEnd w:id="52"/>
    <w:bookmarkStart w:id="53" w:name="可参与方向二医药服务化学制药右侧优先看药明康德"/>
    <w:p>
      <w:pPr>
        <w:pStyle w:val="Heading3"/>
      </w:pPr>
      <w:r>
        <w:t xml:space="preserve">✅ </w:t>
      </w:r>
      <w:r>
        <w:rPr>
          <w:rFonts w:hint="eastAsia"/>
        </w:rPr>
        <w:t xml:space="preserve">可参与方向二：医药服务/化学制药，右侧优先看药明康德</w:t>
      </w:r>
    </w:p>
    <w:p>
      <w:pPr>
        <w:pStyle w:val="FirstParagraph"/>
      </w:pPr>
      <w:r>
        <w:rPr>
          <w:rFonts w:hint="eastAsia"/>
        </w:rPr>
        <w:t xml:space="preserve">证据链：</w:t>
      </w:r>
    </w:p>
    <w:p>
      <w:pPr>
        <w:pStyle w:val="Compact"/>
        <w:numPr>
          <w:ilvl w:val="0"/>
          <w:numId w:val="1034"/>
        </w:numPr>
      </w:pPr>
      <w:r>
        <w:rPr>
          <w:rFonts w:hint="eastAsia"/>
        </w:rPr>
        <w:t xml:space="preserve">医疗服务主力净流入+18.34亿元。</w:t>
      </w:r>
    </w:p>
    <w:p>
      <w:pPr>
        <w:pStyle w:val="Compact"/>
        <w:numPr>
          <w:ilvl w:val="0"/>
          <w:numId w:val="1034"/>
        </w:numPr>
      </w:pPr>
      <w:r>
        <w:rPr>
          <w:rFonts w:hint="eastAsia"/>
        </w:rPr>
        <w:t xml:space="preserve">化学制药主力净流入+9.78亿元。</w:t>
      </w:r>
    </w:p>
    <w:p>
      <w:pPr>
        <w:pStyle w:val="Compact"/>
        <w:numPr>
          <w:ilvl w:val="0"/>
          <w:numId w:val="1034"/>
        </w:numPr>
      </w:pPr>
      <w:r>
        <w:rPr>
          <w:rFonts w:hint="eastAsia"/>
        </w:rPr>
        <w:t xml:space="preserve">药明康德成交额93.57亿元，涨幅3.31%，进入核心成交额榜。</w:t>
      </w:r>
    </w:p>
    <w:p>
      <w:pPr>
        <w:pStyle w:val="Compact"/>
        <w:numPr>
          <w:ilvl w:val="0"/>
          <w:numId w:val="1034"/>
        </w:numPr>
      </w:pPr>
      <w:r>
        <w:rPr>
          <w:rFonts w:hint="eastAsia"/>
        </w:rPr>
        <w:t xml:space="preserve">TickFlow技术评级：药明康德为A，右侧趋势确认。</w:t>
      </w:r>
    </w:p>
    <w:p>
      <w:pPr>
        <w:pStyle w:val="FirstParagraph"/>
      </w:pPr>
      <w:r>
        <w:rPr>
          <w:rFonts w:hint="eastAsia"/>
        </w:rPr>
        <w:t xml:space="preserve">核心标的：</w:t>
      </w:r>
    </w:p>
    <w:p>
      <w:pPr>
        <w:pStyle w:val="Compact"/>
        <w:numPr>
          <w:ilvl w:val="0"/>
          <w:numId w:val="1035"/>
        </w:numPr>
      </w:pPr>
      <w:r>
        <w:rPr>
          <w:rFonts w:hint="eastAsia"/>
        </w:rPr>
        <w:t xml:space="preserve">药明康德（603259）：收盘161.0，MA20为152.1555，MA60为126.7315，60日高点167.9，距离60日高点-4.11%。</w:t>
      </w:r>
    </w:p>
    <w:p>
      <w:pPr>
        <w:pStyle w:val="Compact"/>
        <w:numPr>
          <w:ilvl w:val="0"/>
          <w:numId w:val="1035"/>
        </w:numPr>
      </w:pPr>
      <w:r>
        <w:rPr>
          <w:rFonts w:hint="eastAsia"/>
        </w:rPr>
        <w:t xml:space="preserve">技术动作：不追高；等收盘站稳167.9且量比≥1.2，或缩量回踩MA20不破后再放量确认。</w:t>
      </w:r>
    </w:p>
    <w:p>
      <w:pPr>
        <w:pStyle w:val="Compact"/>
        <w:numPr>
          <w:ilvl w:val="0"/>
          <w:numId w:val="1035"/>
        </w:numPr>
      </w:pPr>
      <w:r>
        <w:rPr>
          <w:rFonts w:hint="eastAsia"/>
        </w:rPr>
        <w:t xml:space="preserve">证伪参考：148.447。</w:t>
      </w:r>
    </w:p>
    <w:p>
      <w:pPr>
        <w:pStyle w:val="FirstParagraph"/>
      </w:pPr>
      <w:r>
        <w:rPr>
          <w:rFonts w:hint="eastAsia"/>
        </w:rPr>
        <w:t xml:space="preserve">触发条件：</w:t>
      </w:r>
    </w:p>
    <w:p>
      <w:pPr>
        <w:pStyle w:val="Compact"/>
        <w:numPr>
          <w:ilvl w:val="0"/>
          <w:numId w:val="1036"/>
        </w:numPr>
      </w:pPr>
      <w:r>
        <w:rPr>
          <w:rFonts w:hint="eastAsia"/>
        </w:rPr>
        <w:t xml:space="preserve">医药服务继续净流入。</w:t>
      </w:r>
    </w:p>
    <w:p>
      <w:pPr>
        <w:pStyle w:val="Compact"/>
        <w:numPr>
          <w:ilvl w:val="0"/>
          <w:numId w:val="1036"/>
        </w:numPr>
      </w:pPr>
      <w:r>
        <w:rPr>
          <w:rFonts w:hint="eastAsia"/>
        </w:rPr>
        <w:t xml:space="preserve">药明康德站稳前高167.9或缩量回踩MA20后再放量。</w:t>
      </w:r>
    </w:p>
    <w:p>
      <w:pPr>
        <w:pStyle w:val="Compact"/>
        <w:numPr>
          <w:ilvl w:val="0"/>
          <w:numId w:val="1036"/>
        </w:numPr>
      </w:pPr>
      <w:r>
        <w:rPr>
          <w:rFonts w:hint="eastAsia"/>
        </w:rPr>
        <w:t xml:space="preserve">板块不是单点上涨，而是CRO/创新药/医疗服务扩散。</w:t>
      </w:r>
    </w:p>
    <w:p>
      <w:pPr>
        <w:pStyle w:val="FirstParagraph"/>
      </w:pPr>
      <w:r>
        <w:rPr>
          <w:rFonts w:hint="eastAsia"/>
        </w:rPr>
        <w:t xml:space="preserve">失效条件：</w:t>
      </w:r>
    </w:p>
    <w:p>
      <w:pPr>
        <w:pStyle w:val="Compact"/>
        <w:numPr>
          <w:ilvl w:val="0"/>
          <w:numId w:val="1037"/>
        </w:numPr>
      </w:pPr>
      <w:r>
        <w:rPr>
          <w:rFonts w:hint="eastAsia"/>
        </w:rPr>
        <w:t xml:space="preserve">药明康德跌破148.447参考线。</w:t>
      </w:r>
    </w:p>
    <w:p>
      <w:pPr>
        <w:pStyle w:val="Compact"/>
        <w:numPr>
          <w:ilvl w:val="0"/>
          <w:numId w:val="1037"/>
        </w:numPr>
      </w:pPr>
      <w:r>
        <w:rPr>
          <w:rFonts w:hint="eastAsia"/>
        </w:rPr>
        <w:t xml:space="preserve">医疗服务资金转为净流出。</w:t>
      </w:r>
    </w:p>
    <w:p>
      <w:pPr>
        <w:pStyle w:val="Compact"/>
        <w:numPr>
          <w:ilvl w:val="0"/>
          <w:numId w:val="1037"/>
        </w:numPr>
      </w:pPr>
      <w:r>
        <w:rPr>
          <w:rFonts w:hint="eastAsia"/>
        </w:rPr>
        <w:t xml:space="preserve">高位医药股出现业绩兑现式下跌。</w:t>
      </w:r>
    </w:p>
    <w:bookmarkEnd w:id="53"/>
    <w:bookmarkStart w:id="54" w:name="可参与方向三通信设备光纤光缆但只做分歧转强"/>
    <w:p>
      <w:pPr>
        <w:pStyle w:val="Heading3"/>
      </w:pPr>
      <w:r>
        <w:t xml:space="preserve">✅ </w:t>
      </w:r>
      <w:r>
        <w:rPr>
          <w:rFonts w:hint="eastAsia"/>
        </w:rPr>
        <w:t xml:space="preserve">可参与方向三：通信设备/光纤光缆，但只做分歧转强</w:t>
      </w:r>
    </w:p>
    <w:p>
      <w:pPr>
        <w:pStyle w:val="FirstParagraph"/>
      </w:pPr>
      <w:r>
        <w:rPr>
          <w:rFonts w:hint="eastAsia"/>
        </w:rPr>
        <w:t xml:space="preserve">证据链：</w:t>
      </w:r>
    </w:p>
    <w:p>
      <w:pPr>
        <w:pStyle w:val="Compact"/>
        <w:numPr>
          <w:ilvl w:val="0"/>
          <w:numId w:val="1038"/>
        </w:numPr>
      </w:pPr>
      <w:r>
        <w:rPr>
          <w:rFonts w:hint="eastAsia"/>
        </w:rPr>
        <w:t xml:space="preserve">通信设备主力净流入+24.15亿元，排名流入板块第2。</w:t>
      </w:r>
    </w:p>
    <w:p>
      <w:pPr>
        <w:pStyle w:val="Compact"/>
        <w:numPr>
          <w:ilvl w:val="0"/>
          <w:numId w:val="1038"/>
        </w:numPr>
      </w:pPr>
      <w:r>
        <w:rPr>
          <w:rFonts w:hint="eastAsia"/>
        </w:rPr>
        <w:t xml:space="preserve">亨通光电主力净流入+18.99亿，同时主力净流出-54.46亿，显示高换手博弈。</w:t>
      </w:r>
    </w:p>
    <w:p>
      <w:pPr>
        <w:pStyle w:val="Compact"/>
        <w:numPr>
          <w:ilvl w:val="0"/>
          <w:numId w:val="1038"/>
        </w:numPr>
      </w:pPr>
      <w:r>
        <w:rPr>
          <w:rFonts w:hint="eastAsia"/>
        </w:rPr>
        <w:t xml:space="preserve">中天科技主力净流入+8.97亿。</w:t>
      </w:r>
    </w:p>
    <w:p>
      <w:pPr>
        <w:pStyle w:val="Compact"/>
        <w:numPr>
          <w:ilvl w:val="0"/>
          <w:numId w:val="1038"/>
        </w:numPr>
      </w:pPr>
      <w:r>
        <w:rPr>
          <w:rFonts w:hint="eastAsia"/>
        </w:rPr>
        <w:t xml:space="preserve">长飞光纤主力净流入+7.02亿。</w:t>
      </w:r>
    </w:p>
    <w:p>
      <w:pPr>
        <w:pStyle w:val="Compact"/>
        <w:numPr>
          <w:ilvl w:val="0"/>
          <w:numId w:val="1038"/>
        </w:numPr>
      </w:pPr>
      <w:r>
        <w:rPr>
          <w:rFonts w:hint="eastAsia"/>
        </w:rPr>
        <w:t xml:space="preserve">新闻联播“公共数据开放共享”、交通数据增长，以及市场消息中的六网协同方向，对通信基础设施有映射。</w:t>
      </w:r>
    </w:p>
    <w:p>
      <w:pPr>
        <w:pStyle w:val="FirstParagraph"/>
      </w:pPr>
      <w:r>
        <w:rPr>
          <w:rFonts w:hint="eastAsia"/>
        </w:rPr>
        <w:t xml:space="preserve">核心标的：</w:t>
      </w:r>
    </w:p>
    <w:p>
      <w:pPr>
        <w:pStyle w:val="Compact"/>
        <w:numPr>
          <w:ilvl w:val="0"/>
          <w:numId w:val="1039"/>
        </w:numPr>
      </w:pPr>
      <w:r>
        <w:rPr>
          <w:rFonts w:hint="eastAsia"/>
        </w:rPr>
        <w:t xml:space="preserve">亨通光电（600487）：成交额162.73亿元，涨幅6.90%，市值1593亿元，PE</w:t>
      </w:r>
      <w:r>
        <w:t xml:space="preserve"> </w:t>
      </w:r>
      <w:r>
        <w:rPr>
          <w:rFonts w:hint="eastAsia"/>
        </w:rPr>
        <w:t xml:space="preserve">49.35，PB</w:t>
      </w:r>
      <w:r>
        <w:t xml:space="preserve"> </w:t>
      </w:r>
      <w:r>
        <w:rPr>
          <w:rFonts w:hint="eastAsia"/>
        </w:rPr>
        <w:t xml:space="preserve">4.916，换手率10.6%。</w:t>
      </w:r>
    </w:p>
    <w:p>
      <w:pPr>
        <w:pStyle w:val="Compact"/>
        <w:numPr>
          <w:ilvl w:val="0"/>
          <w:numId w:val="1039"/>
        </w:numPr>
      </w:pPr>
      <w:r>
        <w:rPr>
          <w:rFonts w:hint="eastAsia"/>
        </w:rPr>
        <w:t xml:space="preserve">但TickFlow技术评级为D：收盘64.6，MA20为57.383，MA60为77.8147，仍未站回MA60。</w:t>
      </w:r>
    </w:p>
    <w:p>
      <w:pPr>
        <w:pStyle w:val="Compact"/>
        <w:numPr>
          <w:ilvl w:val="0"/>
          <w:numId w:val="1039"/>
        </w:numPr>
      </w:pPr>
      <w:r>
        <w:rPr>
          <w:rFonts w:hint="eastAsia"/>
        </w:rPr>
        <w:t xml:space="preserve">行动：只看分歧转强，不追高。</w:t>
      </w:r>
    </w:p>
    <w:p>
      <w:pPr>
        <w:pStyle w:val="FirstParagraph"/>
      </w:pPr>
      <w:r>
        <w:rPr>
          <w:rFonts w:hint="eastAsia"/>
        </w:rPr>
        <w:t xml:space="preserve">触发条件：</w:t>
      </w:r>
    </w:p>
    <w:p>
      <w:pPr>
        <w:pStyle w:val="Compact"/>
        <w:numPr>
          <w:ilvl w:val="0"/>
          <w:numId w:val="1040"/>
        </w:numPr>
      </w:pPr>
      <w:r>
        <w:rPr>
          <w:rFonts w:hint="eastAsia"/>
        </w:rPr>
        <w:t xml:space="preserve">放量站回MA60</w:t>
      </w:r>
      <w:r>
        <w:t xml:space="preserve"> </w:t>
      </w:r>
      <w:r>
        <w:rPr>
          <w:rFonts w:hint="eastAsia"/>
        </w:rPr>
        <w:t xml:space="preserve">77.8147并稳定。</w:t>
      </w:r>
    </w:p>
    <w:p>
      <w:pPr>
        <w:pStyle w:val="Compact"/>
        <w:numPr>
          <w:ilvl w:val="0"/>
          <w:numId w:val="1040"/>
        </w:numPr>
      </w:pPr>
      <w:r>
        <w:rPr>
          <w:rFonts w:hint="eastAsia"/>
        </w:rPr>
        <w:t xml:space="preserve">通信设备板块继续净流入。</w:t>
      </w:r>
    </w:p>
    <w:p>
      <w:pPr>
        <w:pStyle w:val="Compact"/>
        <w:numPr>
          <w:ilvl w:val="0"/>
          <w:numId w:val="1040"/>
        </w:numPr>
      </w:pPr>
      <w:r>
        <w:rPr>
          <w:rFonts w:hint="eastAsia"/>
        </w:rPr>
        <w:t xml:space="preserve">光纤光缆方向不是单日脉冲。</w:t>
      </w:r>
    </w:p>
    <w:p>
      <w:pPr>
        <w:pStyle w:val="FirstParagraph"/>
      </w:pPr>
      <w:r>
        <w:rPr>
          <w:rFonts w:hint="eastAsia"/>
        </w:rPr>
        <w:t xml:space="preserve">失效条件：</w:t>
      </w:r>
    </w:p>
    <w:p>
      <w:pPr>
        <w:pStyle w:val="Compact"/>
        <w:numPr>
          <w:ilvl w:val="0"/>
          <w:numId w:val="1041"/>
        </w:numPr>
      </w:pPr>
      <w:r>
        <w:rPr>
          <w:rFonts w:hint="eastAsia"/>
        </w:rPr>
        <w:t xml:space="preserve">亨通光电跌破54.897参考线。</w:t>
      </w:r>
    </w:p>
    <w:p>
      <w:pPr>
        <w:pStyle w:val="Compact"/>
        <w:numPr>
          <w:ilvl w:val="0"/>
          <w:numId w:val="1041"/>
        </w:numPr>
      </w:pPr>
      <w:r>
        <w:rPr>
          <w:rFonts w:hint="eastAsia"/>
        </w:rPr>
        <w:t xml:space="preserve">通信设备转弱，且资金从通信网络设备及器件继续流出。</w:t>
      </w:r>
    </w:p>
    <w:p>
      <w:pPr>
        <w:pStyle w:val="Compact"/>
        <w:numPr>
          <w:ilvl w:val="0"/>
          <w:numId w:val="1041"/>
        </w:numPr>
      </w:pPr>
      <w:r>
        <w:rPr>
          <w:rFonts w:hint="eastAsia"/>
        </w:rPr>
        <w:t xml:space="preserve">高开低走且成交额异常放大。</w:t>
      </w:r>
    </w:p>
    <w:bookmarkEnd w:id="54"/>
    <w:bookmarkStart w:id="55" w:name="只观察方向一ai算力硬件光模块cpo半导体"/>
    <w:p>
      <w:pPr>
        <w:pStyle w:val="Heading3"/>
      </w:pPr>
      <w:r>
        <w:t xml:space="preserve">👀 </w:t>
      </w:r>
      <w:r>
        <w:rPr>
          <w:rFonts w:hint="eastAsia"/>
        </w:rPr>
        <w:t xml:space="preserve">只观察方向一：AI算力硬件/光模块/CPO/半导体</w:t>
      </w:r>
    </w:p>
    <w:p>
      <w:pPr>
        <w:pStyle w:val="FirstParagraph"/>
      </w:pPr>
      <w:r>
        <w:rPr>
          <w:rFonts w:hint="eastAsia"/>
        </w:rPr>
        <w:t xml:space="preserve">证据链：</w:t>
      </w:r>
    </w:p>
    <w:p>
      <w:pPr>
        <w:pStyle w:val="Compact"/>
        <w:numPr>
          <w:ilvl w:val="0"/>
          <w:numId w:val="1042"/>
        </w:numPr>
      </w:pPr>
      <w:r>
        <w:rPr>
          <w:rFonts w:hint="eastAsia"/>
        </w:rPr>
        <w:t xml:space="preserve">外盘英伟达+2.19%、AMD+4.91%、美光+2.48%，情绪偏正面。</w:t>
      </w:r>
    </w:p>
    <w:p>
      <w:pPr>
        <w:pStyle w:val="Compact"/>
        <w:numPr>
          <w:ilvl w:val="0"/>
          <w:numId w:val="1042"/>
        </w:numPr>
      </w:pPr>
      <w:r>
        <w:rPr>
          <w:rFonts w:hint="eastAsia"/>
        </w:rPr>
        <w:t xml:space="preserve">但A股上一交易日资金流出集中：半导体-20.76亿元、半导体设备-16.11亿元、通信网络设备及器件-16.86亿元。</w:t>
      </w:r>
    </w:p>
    <w:p>
      <w:pPr>
        <w:pStyle w:val="Compact"/>
        <w:numPr>
          <w:ilvl w:val="0"/>
          <w:numId w:val="1042"/>
        </w:numPr>
      </w:pPr>
      <w:r>
        <w:rPr>
          <w:rFonts w:hint="eastAsia"/>
        </w:rPr>
        <w:t xml:space="preserve">中际旭创、新易盛、寒武纪、天孚通信、东山精密等多只高位核心股出现大额流出。</w:t>
      </w:r>
    </w:p>
    <w:p>
      <w:pPr>
        <w:pStyle w:val="Compact"/>
        <w:numPr>
          <w:ilvl w:val="0"/>
          <w:numId w:val="1042"/>
        </w:numPr>
      </w:pPr>
      <w:r>
        <w:rPr>
          <w:rFonts w:hint="eastAsia"/>
        </w:rPr>
        <w:t xml:space="preserve">TickFlow重点股样本中，A/B级仅1只，D级8只；trend_breadth仅为focus_stock_sample，不能写成全A股宽度。</w:t>
      </w:r>
    </w:p>
    <w:p>
      <w:pPr>
        <w:pStyle w:val="FirstParagraph"/>
      </w:pPr>
      <w:r>
        <w:rPr>
          <w:rFonts w:hint="eastAsia"/>
        </w:rPr>
        <w:t xml:space="preserve">核心标的与技术约束：</w:t>
      </w:r>
    </w:p>
    <w:p>
      <w:pPr>
        <w:pStyle w:val="Compact"/>
        <w:numPr>
          <w:ilvl w:val="0"/>
          <w:numId w:val="1043"/>
        </w:numPr>
      </w:pPr>
      <w:r>
        <w:rPr>
          <w:rFonts w:hint="eastAsia"/>
        </w:rPr>
        <w:t xml:space="preserve">中际旭创（300308）：D，收盘846.0，MA20</w:t>
      </w:r>
      <w:r>
        <w:t xml:space="preserve"> </w:t>
      </w:r>
      <w:r>
        <w:rPr>
          <w:rFonts w:hint="eastAsia"/>
        </w:rPr>
        <w:t xml:space="preserve">922.442，MA60</w:t>
      </w:r>
      <w:r>
        <w:t xml:space="preserve"> </w:t>
      </w:r>
      <w:r>
        <w:rPr>
          <w:rFonts w:hint="eastAsia"/>
        </w:rPr>
        <w:t xml:space="preserve">1088.648，距离60日高点-38.8%，行动为回避。</w:t>
      </w:r>
    </w:p>
    <w:p>
      <w:pPr>
        <w:pStyle w:val="Compact"/>
        <w:numPr>
          <w:ilvl w:val="0"/>
          <w:numId w:val="1043"/>
        </w:numPr>
      </w:pPr>
      <w:r>
        <w:rPr>
          <w:rFonts w:hint="eastAsia"/>
        </w:rPr>
        <w:t xml:space="preserve">新易盛（300502）：D，收盘400.87，MA20</w:t>
      </w:r>
      <w:r>
        <w:t xml:space="preserve"> </w:t>
      </w:r>
      <w:r>
        <w:rPr>
          <w:rFonts w:hint="eastAsia"/>
        </w:rPr>
        <w:t xml:space="preserve">420.8935，MA60</w:t>
      </w:r>
      <w:r>
        <w:t xml:space="preserve"> </w:t>
      </w:r>
      <w:r>
        <w:rPr>
          <w:rFonts w:hint="eastAsia"/>
        </w:rPr>
        <w:t xml:space="preserve">522.5808，行动为回避。</w:t>
      </w:r>
    </w:p>
    <w:p>
      <w:pPr>
        <w:pStyle w:val="Compact"/>
        <w:numPr>
          <w:ilvl w:val="0"/>
          <w:numId w:val="1043"/>
        </w:numPr>
      </w:pPr>
      <w:r>
        <w:rPr>
          <w:rFonts w:hint="eastAsia"/>
        </w:rPr>
        <w:t xml:space="preserve">寒武纪（688256）：D，收盘1010.48，MA20</w:t>
      </w:r>
      <w:r>
        <w:t xml:space="preserve"> </w:t>
      </w:r>
      <w:r>
        <w:rPr>
          <w:rFonts w:hint="eastAsia"/>
        </w:rPr>
        <w:t xml:space="preserve">1090.972，MA60</w:t>
      </w:r>
      <w:r>
        <w:t xml:space="preserve"> </w:t>
      </w:r>
      <w:r>
        <w:rPr>
          <w:rFonts w:hint="eastAsia"/>
        </w:rPr>
        <w:t xml:space="preserve">1264.1073，行动为回避。</w:t>
      </w:r>
    </w:p>
    <w:p>
      <w:pPr>
        <w:pStyle w:val="Compact"/>
        <w:numPr>
          <w:ilvl w:val="0"/>
          <w:numId w:val="1043"/>
        </w:numPr>
      </w:pPr>
      <w:r>
        <w:rPr>
          <w:rFonts w:hint="eastAsia"/>
        </w:rPr>
        <w:t xml:space="preserve">天孚通信（300394）：D，收盘257.1，MA20</w:t>
      </w:r>
      <w:r>
        <w:t xml:space="preserve"> </w:t>
      </w:r>
      <w:r>
        <w:rPr>
          <w:rFonts w:hint="eastAsia"/>
        </w:rPr>
        <w:t xml:space="preserve">235.014，MA60</w:t>
      </w:r>
      <w:r>
        <w:t xml:space="preserve"> </w:t>
      </w:r>
      <w:r>
        <w:rPr>
          <w:rFonts w:hint="eastAsia"/>
        </w:rPr>
        <w:t xml:space="preserve">280.8802，未站回MA60。</w:t>
      </w:r>
    </w:p>
    <w:p>
      <w:pPr>
        <w:pStyle w:val="Compact"/>
        <w:numPr>
          <w:ilvl w:val="0"/>
          <w:numId w:val="1043"/>
        </w:numPr>
      </w:pPr>
      <w:r>
        <w:rPr>
          <w:rFonts w:hint="eastAsia"/>
        </w:rPr>
        <w:t xml:space="preserve">东山精密（002384）：D，收盘190.84，MA20</w:t>
      </w:r>
      <w:r>
        <w:t xml:space="preserve"> </w:t>
      </w:r>
      <w:r>
        <w:rPr>
          <w:rFonts w:hint="eastAsia"/>
        </w:rPr>
        <w:t xml:space="preserve">191.2905，MA60</w:t>
      </w:r>
      <w:r>
        <w:t xml:space="preserve"> </w:t>
      </w:r>
      <w:r>
        <w:rPr>
          <w:rFonts w:hint="eastAsia"/>
        </w:rPr>
        <w:t xml:space="preserve">221.5897，行动为回避。</w:t>
      </w:r>
    </w:p>
    <w:p>
      <w:pPr>
        <w:pStyle w:val="FirstParagraph"/>
      </w:pPr>
      <w:r>
        <w:rPr>
          <w:rFonts w:hint="eastAsia"/>
        </w:rPr>
        <w:t xml:space="preserve">观察条件：</w:t>
      </w:r>
    </w:p>
    <w:p>
      <w:pPr>
        <w:pStyle w:val="Compact"/>
        <w:numPr>
          <w:ilvl w:val="0"/>
          <w:numId w:val="1044"/>
        </w:numPr>
      </w:pPr>
      <w:r>
        <w:rPr>
          <w:rFonts w:hint="eastAsia"/>
        </w:rPr>
        <w:t xml:space="preserve">先站回MA20，再看MA60。</w:t>
      </w:r>
    </w:p>
    <w:p>
      <w:pPr>
        <w:pStyle w:val="Compact"/>
        <w:numPr>
          <w:ilvl w:val="0"/>
          <w:numId w:val="1044"/>
        </w:numPr>
      </w:pPr>
      <w:r>
        <w:rPr>
          <w:rFonts w:hint="eastAsia"/>
        </w:rPr>
        <w:t xml:space="preserve">英伟达财报后不出现利好兑现。</w:t>
      </w:r>
    </w:p>
    <w:p>
      <w:pPr>
        <w:pStyle w:val="Compact"/>
        <w:numPr>
          <w:ilvl w:val="0"/>
          <w:numId w:val="1044"/>
        </w:numPr>
      </w:pPr>
      <w:r>
        <w:rPr>
          <w:rFonts w:hint="eastAsia"/>
        </w:rPr>
        <w:t xml:space="preserve">A股核心股从大额流出转为持续净流入。</w:t>
      </w:r>
    </w:p>
    <w:bookmarkEnd w:id="55"/>
    <w:bookmarkStart w:id="56" w:name="只观察方向二消费电子元件"/>
    <w:p>
      <w:pPr>
        <w:pStyle w:val="Heading3"/>
      </w:pPr>
      <w:r>
        <w:t xml:space="preserve">👀 </w:t>
      </w:r>
      <w:r>
        <w:rPr>
          <w:rFonts w:hint="eastAsia"/>
        </w:rPr>
        <w:t xml:space="preserve">只观察方向二：消费电子/元件</w:t>
      </w:r>
    </w:p>
    <w:p>
      <w:pPr>
        <w:pStyle w:val="FirstParagraph"/>
      </w:pPr>
      <w:r>
        <w:rPr>
          <w:rFonts w:hint="eastAsia"/>
        </w:rPr>
        <w:t xml:space="preserve">证据链：</w:t>
      </w:r>
    </w:p>
    <w:p>
      <w:pPr>
        <w:pStyle w:val="Compact"/>
        <w:numPr>
          <w:ilvl w:val="0"/>
          <w:numId w:val="1045"/>
        </w:numPr>
      </w:pPr>
      <w:r>
        <w:rPr>
          <w:rFonts w:hint="eastAsia"/>
        </w:rPr>
        <w:t xml:space="preserve">元件主力净流入+18.95亿元。</w:t>
      </w:r>
    </w:p>
    <w:p>
      <w:pPr>
        <w:pStyle w:val="Compact"/>
        <w:numPr>
          <w:ilvl w:val="0"/>
          <w:numId w:val="1045"/>
        </w:numPr>
      </w:pPr>
      <w:r>
        <w:rPr>
          <w:rFonts w:hint="eastAsia"/>
        </w:rPr>
        <w:t xml:space="preserve">消费电子主力净流入+16.52亿元。</w:t>
      </w:r>
    </w:p>
    <w:p>
      <w:pPr>
        <w:pStyle w:val="Compact"/>
        <w:numPr>
          <w:ilvl w:val="0"/>
          <w:numId w:val="1045"/>
        </w:numPr>
      </w:pPr>
      <w:r>
        <w:rPr>
          <w:rFonts w:hint="eastAsia"/>
        </w:rPr>
        <w:t xml:space="preserve">生益科技主力净流入+5.79亿。</w:t>
      </w:r>
    </w:p>
    <w:p>
      <w:pPr>
        <w:pStyle w:val="Compact"/>
        <w:numPr>
          <w:ilvl w:val="0"/>
          <w:numId w:val="1045"/>
        </w:numPr>
      </w:pPr>
      <w:r>
        <w:rPr>
          <w:rFonts w:hint="eastAsia"/>
        </w:rPr>
        <w:t xml:space="preserve">但东山精密技术评级D，且资金流出-40.30亿，说明PCB/AI硬件相关个股分歧仍大。</w:t>
      </w:r>
    </w:p>
    <w:p>
      <w:pPr>
        <w:pStyle w:val="FirstParagraph"/>
      </w:pPr>
      <w:r>
        <w:rPr>
          <w:rFonts w:hint="eastAsia"/>
        </w:rPr>
        <w:t xml:space="preserve">触发条件：</w:t>
      </w:r>
    </w:p>
    <w:p>
      <w:pPr>
        <w:pStyle w:val="Compact"/>
        <w:numPr>
          <w:ilvl w:val="0"/>
          <w:numId w:val="1046"/>
        </w:numPr>
      </w:pPr>
      <w:r>
        <w:rPr>
          <w:rFonts w:hint="eastAsia"/>
        </w:rPr>
        <w:t xml:space="preserve">元件和消费电子继续放量。</w:t>
      </w:r>
    </w:p>
    <w:p>
      <w:pPr>
        <w:pStyle w:val="Compact"/>
        <w:numPr>
          <w:ilvl w:val="0"/>
          <w:numId w:val="1046"/>
        </w:numPr>
      </w:pPr>
      <w:r>
        <w:rPr>
          <w:rFonts w:hint="eastAsia"/>
        </w:rPr>
        <w:t xml:space="preserve">生益科技、东山精密等中军承接不破位。</w:t>
      </w:r>
    </w:p>
    <w:p>
      <w:pPr>
        <w:pStyle w:val="Compact"/>
        <w:numPr>
          <w:ilvl w:val="0"/>
          <w:numId w:val="1046"/>
        </w:numPr>
      </w:pPr>
      <w:r>
        <w:rPr>
          <w:rFonts w:hint="eastAsia"/>
        </w:rPr>
        <w:t xml:space="preserve">板块不被AI硬件高位兑现拖累。</w:t>
      </w:r>
    </w:p>
    <w:p>
      <w:pPr>
        <w:pStyle w:val="FirstParagraph"/>
      </w:pPr>
      <w:r>
        <w:rPr>
          <w:rFonts w:hint="eastAsia"/>
        </w:rPr>
        <w:t xml:space="preserve">失效条件：</w:t>
      </w:r>
    </w:p>
    <w:p>
      <w:pPr>
        <w:pStyle w:val="Compact"/>
        <w:numPr>
          <w:ilvl w:val="0"/>
          <w:numId w:val="1047"/>
        </w:numPr>
      </w:pPr>
      <w:r>
        <w:rPr>
          <w:rFonts w:hint="eastAsia"/>
        </w:rPr>
        <w:t xml:space="preserve">东山精密跌破183.057参考线。</w:t>
      </w:r>
    </w:p>
    <w:p>
      <w:pPr>
        <w:pStyle w:val="Compact"/>
        <w:numPr>
          <w:ilvl w:val="0"/>
          <w:numId w:val="1047"/>
        </w:numPr>
      </w:pPr>
      <w:r>
        <w:rPr>
          <w:rFonts w:hint="eastAsia"/>
        </w:rPr>
        <w:t xml:space="preserve">元件板块冲高回落。</w:t>
      </w:r>
    </w:p>
    <w:p>
      <w:pPr>
        <w:pStyle w:val="Compact"/>
        <w:numPr>
          <w:ilvl w:val="0"/>
          <w:numId w:val="1047"/>
        </w:numPr>
      </w:pPr>
      <w:r>
        <w:rPr>
          <w:rFonts w:hint="eastAsia"/>
        </w:rPr>
        <w:t xml:space="preserve">半导体和通信网络设备继续大额流出。</w:t>
      </w:r>
    </w:p>
    <w:bookmarkEnd w:id="56"/>
    <w:bookmarkStart w:id="57" w:name="应回避方向一有色金属工业金属小金属能源金属"/>
    <w:p>
      <w:pPr>
        <w:pStyle w:val="Heading3"/>
      </w:pPr>
      <w:r>
        <w:t xml:space="preserve">🚫 </w:t>
      </w:r>
      <w:r>
        <w:rPr>
          <w:rFonts w:hint="eastAsia"/>
        </w:rPr>
        <w:t xml:space="preserve">应回避方向一：有色金属/工业金属/小金属/能源金属</w:t>
      </w:r>
    </w:p>
    <w:p>
      <w:pPr>
        <w:pStyle w:val="FirstParagraph"/>
      </w:pPr>
      <w:r>
        <w:rPr>
          <w:rFonts w:hint="eastAsia"/>
        </w:rPr>
        <w:t xml:space="preserve">证据链：</w:t>
      </w:r>
    </w:p>
    <w:p>
      <w:pPr>
        <w:pStyle w:val="Compact"/>
        <w:numPr>
          <w:ilvl w:val="0"/>
          <w:numId w:val="1048"/>
        </w:numPr>
      </w:pPr>
      <w:r>
        <w:rPr>
          <w:rFonts w:hint="eastAsia"/>
        </w:rPr>
        <w:t xml:space="preserve">有色金属主力净流出-54.99亿元，流出板块第1。</w:t>
      </w:r>
    </w:p>
    <w:p>
      <w:pPr>
        <w:pStyle w:val="Compact"/>
        <w:numPr>
          <w:ilvl w:val="0"/>
          <w:numId w:val="1048"/>
        </w:numPr>
      </w:pPr>
      <w:r>
        <w:rPr>
          <w:rFonts w:hint="eastAsia"/>
        </w:rPr>
        <w:t xml:space="preserve">工业金属主力净流出-25.64亿元。</w:t>
      </w:r>
    </w:p>
    <w:p>
      <w:pPr>
        <w:pStyle w:val="Compact"/>
        <w:numPr>
          <w:ilvl w:val="0"/>
          <w:numId w:val="1048"/>
        </w:numPr>
      </w:pPr>
      <w:r>
        <w:rPr>
          <w:rFonts w:hint="eastAsia"/>
        </w:rPr>
        <w:t xml:space="preserve">铜主力净流出-16.56亿元。</w:t>
      </w:r>
    </w:p>
    <w:p>
      <w:pPr>
        <w:pStyle w:val="Compact"/>
        <w:numPr>
          <w:ilvl w:val="0"/>
          <w:numId w:val="1048"/>
        </w:numPr>
      </w:pPr>
      <w:r>
        <w:rPr>
          <w:rFonts w:hint="eastAsia"/>
        </w:rPr>
        <w:t xml:space="preserve">小金属主力净流出-13.41亿元。</w:t>
      </w:r>
    </w:p>
    <w:p>
      <w:pPr>
        <w:pStyle w:val="Compact"/>
        <w:numPr>
          <w:ilvl w:val="0"/>
          <w:numId w:val="1048"/>
        </w:numPr>
      </w:pPr>
      <w:r>
        <w:rPr>
          <w:rFonts w:hint="eastAsia"/>
        </w:rPr>
        <w:t xml:space="preserve">能源金属主力净流出-9.83亿元。</w:t>
      </w:r>
    </w:p>
    <w:p>
      <w:pPr>
        <w:pStyle w:val="FirstParagraph"/>
      </w:pPr>
      <w:r>
        <w:rPr>
          <w:rFonts w:hint="eastAsia"/>
        </w:rPr>
        <w:t xml:space="preserve">回避理由：</w:t>
      </w:r>
    </w:p>
    <w:p>
      <w:pPr>
        <w:pStyle w:val="Compact"/>
        <w:numPr>
          <w:ilvl w:val="0"/>
          <w:numId w:val="1049"/>
        </w:numPr>
      </w:pPr>
      <w:r>
        <w:rPr>
          <w:rFonts w:hint="eastAsia"/>
        </w:rPr>
        <w:t xml:space="preserve">资金退潮非常明确。</w:t>
      </w:r>
    </w:p>
    <w:p>
      <w:pPr>
        <w:pStyle w:val="Compact"/>
        <w:numPr>
          <w:ilvl w:val="0"/>
          <w:numId w:val="1049"/>
        </w:numPr>
      </w:pPr>
      <w:r>
        <w:rPr>
          <w:rFonts w:hint="eastAsia"/>
        </w:rPr>
        <w:t xml:space="preserve">伦铜最新-0.02%，外盘没有给出足够强的修复信号。</w:t>
      </w:r>
    </w:p>
    <w:p>
      <w:pPr>
        <w:pStyle w:val="Compact"/>
        <w:numPr>
          <w:ilvl w:val="0"/>
          <w:numId w:val="1049"/>
        </w:numPr>
      </w:pPr>
      <w:r>
        <w:rPr>
          <w:rFonts w:hint="eastAsia"/>
        </w:rPr>
        <w:t xml:space="preserve">资源股容易从“拥挤交易”转为“杀估值</w:t>
      </w:r>
      <w:r>
        <w:t xml:space="preserve"> + </w:t>
      </w:r>
      <w:r>
        <w:rPr>
          <w:rFonts w:hint="eastAsia"/>
        </w:rPr>
        <w:t xml:space="preserve">杀趋势”。</w:t>
      </w:r>
    </w:p>
    <w:p>
      <w:pPr>
        <w:pStyle w:val="FirstParagraph"/>
      </w:pPr>
      <w:r>
        <w:rPr>
          <w:rFonts w:hint="eastAsia"/>
        </w:rPr>
        <w:t xml:space="preserve">重新观察条件：</w:t>
      </w:r>
    </w:p>
    <w:p>
      <w:pPr>
        <w:pStyle w:val="Compact"/>
        <w:numPr>
          <w:ilvl w:val="0"/>
          <w:numId w:val="1050"/>
        </w:numPr>
      </w:pPr>
      <w:r>
        <w:rPr>
          <w:rFonts w:hint="eastAsia"/>
        </w:rPr>
        <w:t xml:space="preserve">有色金属从流出榜消失。</w:t>
      </w:r>
    </w:p>
    <w:p>
      <w:pPr>
        <w:pStyle w:val="Compact"/>
        <w:numPr>
          <w:ilvl w:val="0"/>
          <w:numId w:val="1050"/>
        </w:numPr>
      </w:pPr>
      <w:r>
        <w:rPr>
          <w:rFonts w:hint="eastAsia"/>
        </w:rPr>
        <w:t xml:space="preserve">工业金属出现连续2日净流入。</w:t>
      </w:r>
    </w:p>
    <w:p>
      <w:pPr>
        <w:pStyle w:val="Compact"/>
        <w:numPr>
          <w:ilvl w:val="0"/>
          <w:numId w:val="1050"/>
        </w:numPr>
      </w:pPr>
      <w:r>
        <w:rPr>
          <w:rFonts w:hint="eastAsia"/>
        </w:rPr>
        <w:t xml:space="preserve">资源品价格与板块成交额同步放大。</w:t>
      </w:r>
    </w:p>
    <w:bookmarkEnd w:id="57"/>
    <w:bookmarkStart w:id="58" w:name="应回避方向二电力设备电池"/>
    <w:p>
      <w:pPr>
        <w:pStyle w:val="Heading3"/>
      </w:pPr>
      <w:r>
        <w:t xml:space="preserve">🚫 </w:t>
      </w:r>
      <w:r>
        <w:rPr>
          <w:rFonts w:hint="eastAsia"/>
        </w:rPr>
        <w:t xml:space="preserve">应回避方向二：电力设备/电池</w:t>
      </w:r>
    </w:p>
    <w:p>
      <w:pPr>
        <w:pStyle w:val="FirstParagraph"/>
      </w:pPr>
      <w:r>
        <w:rPr>
          <w:rFonts w:hint="eastAsia"/>
        </w:rPr>
        <w:t xml:space="preserve">证据链：</w:t>
      </w:r>
    </w:p>
    <w:p>
      <w:pPr>
        <w:pStyle w:val="Compact"/>
        <w:numPr>
          <w:ilvl w:val="0"/>
          <w:numId w:val="1051"/>
        </w:numPr>
      </w:pPr>
      <w:r>
        <w:rPr>
          <w:rFonts w:hint="eastAsia"/>
        </w:rPr>
        <w:t xml:space="preserve">电力设备主力净流出-27.07亿元。</w:t>
      </w:r>
    </w:p>
    <w:p>
      <w:pPr>
        <w:pStyle w:val="Compact"/>
        <w:numPr>
          <w:ilvl w:val="0"/>
          <w:numId w:val="1051"/>
        </w:numPr>
      </w:pPr>
      <w:r>
        <w:rPr>
          <w:rFonts w:hint="eastAsia"/>
        </w:rPr>
        <w:t xml:space="preserve">电池主力净流出-20.49亿元。</w:t>
      </w:r>
    </w:p>
    <w:p>
      <w:pPr>
        <w:pStyle w:val="Compact"/>
        <w:numPr>
          <w:ilvl w:val="0"/>
          <w:numId w:val="1051"/>
        </w:numPr>
      </w:pPr>
      <w:r>
        <w:rPr>
          <w:rFonts w:hint="eastAsia"/>
        </w:rPr>
        <w:t xml:space="preserve">宁德时代主力净流出-55.69亿。</w:t>
      </w:r>
    </w:p>
    <w:p>
      <w:pPr>
        <w:pStyle w:val="Compact"/>
        <w:numPr>
          <w:ilvl w:val="0"/>
          <w:numId w:val="1051"/>
        </w:numPr>
      </w:pPr>
      <w:r>
        <w:rPr>
          <w:rFonts w:hint="eastAsia"/>
        </w:rPr>
        <w:t xml:space="preserve">宁德时代TickFlow评级D，收盘376.73，MA20</w:t>
      </w:r>
      <w:r>
        <w:t xml:space="preserve"> </w:t>
      </w:r>
      <w:r>
        <w:rPr>
          <w:rFonts w:hint="eastAsia"/>
        </w:rPr>
        <w:t xml:space="preserve">392.9615，MA60</w:t>
      </w:r>
      <w:r>
        <w:t xml:space="preserve"> </w:t>
      </w:r>
      <w:r>
        <w:rPr>
          <w:rFonts w:hint="eastAsia"/>
        </w:rPr>
        <w:t xml:space="preserve">388.9597，仍处趋势破位。</w:t>
      </w:r>
    </w:p>
    <w:p>
      <w:pPr>
        <w:pStyle w:val="FirstParagraph"/>
      </w:pPr>
      <w:r>
        <w:rPr>
          <w:rFonts w:hint="eastAsia"/>
        </w:rPr>
        <w:t xml:space="preserve">回避理由：</w:t>
      </w:r>
    </w:p>
    <w:p>
      <w:pPr>
        <w:pStyle w:val="Compact"/>
        <w:numPr>
          <w:ilvl w:val="0"/>
          <w:numId w:val="1052"/>
        </w:numPr>
      </w:pPr>
      <w:r>
        <w:rPr>
          <w:rFonts w:hint="eastAsia"/>
        </w:rPr>
        <w:t xml:space="preserve">充电基础设施数据同比高增不等于电池链立即走强。</w:t>
      </w:r>
    </w:p>
    <w:p>
      <w:pPr>
        <w:pStyle w:val="Compact"/>
        <w:numPr>
          <w:ilvl w:val="0"/>
          <w:numId w:val="1052"/>
        </w:numPr>
      </w:pPr>
      <w:r>
        <w:rPr>
          <w:rFonts w:hint="eastAsia"/>
        </w:rPr>
        <w:t xml:space="preserve">宁德时代未重新站回MA20/MA60前，只能看作修复，不是右侧买点。</w:t>
      </w:r>
    </w:p>
    <w:p>
      <w:pPr>
        <w:pStyle w:val="Compact"/>
        <w:numPr>
          <w:ilvl w:val="0"/>
          <w:numId w:val="1052"/>
        </w:numPr>
      </w:pPr>
      <w:r>
        <w:rPr>
          <w:rFonts w:hint="eastAsia"/>
        </w:rPr>
        <w:t xml:space="preserve">证伪参考：387.196，若无法站回，继续回避。</w:t>
      </w:r>
    </w:p>
    <w:bookmarkEnd w:id="58"/>
    <w:bookmarkEnd w:id="59"/>
    <w:bookmarkStart w:id="62" w:name="核心股质量与技术校验"/>
    <w:p>
      <w:pPr>
        <w:pStyle w:val="Heading2"/>
      </w:pPr>
      <w:r>
        <w:t xml:space="preserve">🧮 </w:t>
      </w:r>
      <w:r>
        <w:rPr>
          <w:rFonts w:hint="eastAsia"/>
        </w:rPr>
        <w:t xml:space="preserve">核心股质量与技术校验</w:t>
      </w:r>
    </w:p>
    <w:bookmarkStart w:id="60" w:name="基本面与估值"/>
    <w:p>
      <w:pPr>
        <w:pStyle w:val="Heading3"/>
      </w:pPr>
      <w:r>
        <w:t xml:space="preserve">📌 </w:t>
      </w:r>
      <w:r>
        <w:rPr>
          <w:rFonts w:hint="eastAsia"/>
        </w:rPr>
        <w:t xml:space="preserve">基本面与估值</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rPr>
                <w:rFonts w:hint="eastAsia"/>
              </w:rPr>
              <w:t xml:space="preserve">个股</w:t>
            </w:r>
          </w:p>
        </w:tc>
        <w:tc>
          <w:tcPr/>
          <w:p>
            <w:pPr>
              <w:pStyle w:val="Compact"/>
            </w:pPr>
            <w:r>
              <w:rPr>
                <w:rFonts w:hint="eastAsia"/>
              </w:rPr>
              <w:t xml:space="preserve">最新报告</w:t>
            </w:r>
          </w:p>
        </w:tc>
        <w:tc>
          <w:tcPr/>
          <w:p>
            <w:pPr>
              <w:pStyle w:val="Compact"/>
              <w:jc w:val="right"/>
            </w:pPr>
            <w:r>
              <w:rPr>
                <w:rFonts w:hint="eastAsia"/>
              </w:rPr>
              <w:t xml:space="preserve">营收同比</w:t>
            </w:r>
          </w:p>
        </w:tc>
        <w:tc>
          <w:tcPr/>
          <w:p>
            <w:pPr>
              <w:pStyle w:val="Compact"/>
              <w:jc w:val="right"/>
            </w:pPr>
            <w:r>
              <w:rPr>
                <w:rFonts w:hint="eastAsia"/>
              </w:rPr>
              <w:t xml:space="preserve">净利同比</w:t>
            </w:r>
          </w:p>
        </w:tc>
        <w:tc>
          <w:tcPr/>
          <w:p>
            <w:pPr>
              <w:pStyle w:val="Compact"/>
            </w:pPr>
            <w:r>
              <w:t xml:space="preserve">PE/PB</w:t>
            </w:r>
          </w:p>
        </w:tc>
      </w:tr>
      <w:tr>
        <w:tc>
          <w:tcPr/>
          <w:p>
            <w:pPr>
              <w:pStyle w:val="Compact"/>
            </w:pPr>
            <w:r>
              <w:rPr>
                <w:rFonts w:hint="eastAsia"/>
              </w:rPr>
              <w:t xml:space="preserve">中际旭创</w:t>
            </w:r>
          </w:p>
        </w:tc>
        <w:tc>
          <w:tcPr/>
          <w:p>
            <w:pPr>
              <w:pStyle w:val="Compact"/>
            </w:pPr>
            <w:r>
              <w:rPr>
                <w:rFonts w:hint="eastAsia"/>
              </w:rPr>
              <w:t xml:space="preserve">2026中报</w:t>
            </w:r>
          </w:p>
        </w:tc>
        <w:tc>
          <w:tcPr/>
          <w:p>
            <w:pPr>
              <w:pStyle w:val="Compact"/>
              <w:jc w:val="right"/>
            </w:pPr>
            <w:r>
              <w:t xml:space="preserve">182.5%</w:t>
            </w:r>
          </w:p>
        </w:tc>
        <w:tc>
          <w:tcPr/>
          <w:p>
            <w:pPr>
              <w:pStyle w:val="Compact"/>
              <w:jc w:val="right"/>
            </w:pPr>
            <w:r>
              <w:t xml:space="preserve">247.3%</w:t>
            </w:r>
          </w:p>
        </w:tc>
        <w:tc>
          <w:tcPr/>
          <w:p>
            <w:pPr>
              <w:pStyle w:val="Compact"/>
            </w:pPr>
            <w:r>
              <w:t xml:space="preserve">PE 48.38 / PB 24.83</w:t>
            </w:r>
          </w:p>
        </w:tc>
      </w:tr>
      <w:tr>
        <w:tc>
          <w:tcPr/>
          <w:p>
            <w:pPr>
              <w:pStyle w:val="Compact"/>
            </w:pPr>
            <w:r>
              <w:rPr>
                <w:rFonts w:hint="eastAsia"/>
              </w:rPr>
              <w:t xml:space="preserve">亨通光电</w:t>
            </w:r>
          </w:p>
        </w:tc>
        <w:tc>
          <w:tcPr/>
          <w:p>
            <w:pPr>
              <w:pStyle w:val="Compact"/>
            </w:pPr>
            <w:r>
              <w:rPr>
                <w:rFonts w:hint="eastAsia"/>
              </w:rPr>
              <w:t xml:space="preserve">2026一季报</w:t>
            </w:r>
          </w:p>
        </w:tc>
        <w:tc>
          <w:tcPr/>
          <w:p>
            <w:pPr>
              <w:pStyle w:val="Compact"/>
              <w:jc w:val="right"/>
            </w:pPr>
            <w:r>
              <w:t xml:space="preserve">34.09%</w:t>
            </w:r>
          </w:p>
        </w:tc>
        <w:tc>
          <w:tcPr/>
          <w:p>
            <w:pPr>
              <w:pStyle w:val="Compact"/>
              <w:jc w:val="right"/>
            </w:pPr>
            <w:r>
              <w:t xml:space="preserve">99.38%</w:t>
            </w:r>
          </w:p>
        </w:tc>
        <w:tc>
          <w:tcPr/>
          <w:p>
            <w:pPr>
              <w:pStyle w:val="Compact"/>
            </w:pPr>
            <w:r>
              <w:t xml:space="preserve">PE 49.35 / PB 4.916</w:t>
            </w:r>
          </w:p>
        </w:tc>
      </w:tr>
      <w:tr>
        <w:tc>
          <w:tcPr/>
          <w:p>
            <w:pPr>
              <w:pStyle w:val="Compact"/>
            </w:pPr>
            <w:r>
              <w:rPr>
                <w:rFonts w:hint="eastAsia"/>
              </w:rPr>
              <w:t xml:space="preserve">兆易创新</w:t>
            </w:r>
          </w:p>
        </w:tc>
        <w:tc>
          <w:tcPr/>
          <w:p>
            <w:pPr>
              <w:pStyle w:val="Compact"/>
            </w:pPr>
            <w:r>
              <w:rPr>
                <w:rFonts w:hint="eastAsia"/>
              </w:rPr>
              <w:t xml:space="preserve">2026中报</w:t>
            </w:r>
          </w:p>
        </w:tc>
        <w:tc>
          <w:tcPr/>
          <w:p>
            <w:pPr>
              <w:pStyle w:val="Compact"/>
              <w:jc w:val="right"/>
            </w:pPr>
            <w:r>
              <w:t xml:space="preserve">178.7%</w:t>
            </w:r>
          </w:p>
        </w:tc>
        <w:tc>
          <w:tcPr/>
          <w:p>
            <w:pPr>
              <w:pStyle w:val="Compact"/>
              <w:jc w:val="right"/>
            </w:pPr>
            <w:r>
              <w:t xml:space="preserve">1071.0%</w:t>
            </w:r>
          </w:p>
        </w:tc>
        <w:tc>
          <w:tcPr/>
          <w:p>
            <w:pPr>
              <w:pStyle w:val="Compact"/>
            </w:pPr>
            <w:r>
              <w:t xml:space="preserve">PE 35.0 / PB 7.444</w:t>
            </w:r>
          </w:p>
        </w:tc>
      </w:tr>
      <w:tr>
        <w:tc>
          <w:tcPr/>
          <w:p>
            <w:pPr>
              <w:pStyle w:val="Compact"/>
            </w:pPr>
            <w:r>
              <w:rPr>
                <w:rFonts w:hint="eastAsia"/>
              </w:rPr>
              <w:t xml:space="preserve">新易盛</w:t>
            </w:r>
          </w:p>
        </w:tc>
        <w:tc>
          <w:tcPr/>
          <w:p>
            <w:pPr>
              <w:pStyle w:val="Compact"/>
            </w:pPr>
            <w:r>
              <w:rPr>
                <w:rFonts w:hint="eastAsia"/>
              </w:rPr>
              <w:t xml:space="preserve">2026中报</w:t>
            </w:r>
          </w:p>
        </w:tc>
        <w:tc>
          <w:tcPr/>
          <w:p>
            <w:pPr>
              <w:pStyle w:val="Compact"/>
              <w:jc w:val="right"/>
            </w:pPr>
            <w:r>
              <w:t xml:space="preserve">100.3%</w:t>
            </w:r>
          </w:p>
        </w:tc>
        <w:tc>
          <w:tcPr/>
          <w:p>
            <w:pPr>
              <w:pStyle w:val="Compact"/>
              <w:jc w:val="right"/>
            </w:pPr>
            <w:r>
              <w:t xml:space="preserve">91.93%</w:t>
            </w:r>
          </w:p>
        </w:tc>
        <w:tc>
          <w:tcPr/>
          <w:p>
            <w:pPr>
              <w:pStyle w:val="Compact"/>
            </w:pPr>
            <w:r>
              <w:t xml:space="preserve">PE 42.6 / PB 23.0</w:t>
            </w:r>
          </w:p>
        </w:tc>
      </w:tr>
      <w:tr>
        <w:tc>
          <w:tcPr/>
          <w:p>
            <w:pPr>
              <w:pStyle w:val="Compact"/>
            </w:pPr>
            <w:r>
              <w:rPr>
                <w:rFonts w:hint="eastAsia"/>
              </w:rPr>
              <w:t xml:space="preserve">长鑫科技</w:t>
            </w:r>
          </w:p>
        </w:tc>
        <w:tc>
          <w:tcPr/>
          <w:p>
            <w:pPr>
              <w:pStyle w:val="Compact"/>
            </w:pPr>
            <w:r>
              <w:rPr>
                <w:rFonts w:hint="eastAsia"/>
              </w:rPr>
              <w:t xml:space="preserve">2026一季报</w:t>
            </w:r>
          </w:p>
        </w:tc>
        <w:tc>
          <w:tcPr/>
          <w:p>
            <w:pPr>
              <w:pStyle w:val="Compact"/>
              <w:jc w:val="right"/>
            </w:pPr>
            <w:r>
              <w:t xml:space="preserve">719.1%</w:t>
            </w:r>
          </w:p>
        </w:tc>
        <w:tc>
          <w:tcPr/>
          <w:p>
            <w:pPr>
              <w:pStyle w:val="Compact"/>
              <w:jc w:val="right"/>
            </w:pPr>
            <w:r>
              <w:t xml:space="preserve">1268.0%</w:t>
            </w:r>
          </w:p>
        </w:tc>
        <w:tc>
          <w:tcPr/>
          <w:p>
            <w:pPr>
              <w:pStyle w:val="Compact"/>
            </w:pPr>
            <w:r>
              <w:t xml:space="preserve">PE 134.0 / PB 46.24</w:t>
            </w:r>
          </w:p>
        </w:tc>
      </w:tr>
    </w:tbl>
    <w:bookmarkEnd w:id="60"/>
    <w:bookmarkStart w:id="61" w:name="技术约束"/>
    <w:p>
      <w:pPr>
        <w:pStyle w:val="Heading3"/>
      </w:pPr>
      <w:r>
        <w:t xml:space="preserve">⚠️ </w:t>
      </w:r>
      <w:r>
        <w:rPr>
          <w:rFonts w:hint="eastAsia"/>
        </w:rPr>
        <w:t xml:space="preserve">技术约束</w:t>
      </w:r>
    </w:p>
    <w:p>
      <w:pPr>
        <w:pStyle w:val="Compact"/>
        <w:numPr>
          <w:ilvl w:val="0"/>
          <w:numId w:val="1053"/>
        </w:numPr>
      </w:pPr>
      <w:r>
        <w:rPr>
          <w:rFonts w:hint="eastAsia"/>
        </w:rPr>
        <w:t xml:space="preserve">中际旭创、兆易创新、新易盛、寒武纪、东山精密、宁德时代均为D级趋势破位。</w:t>
      </w:r>
    </w:p>
    <w:p>
      <w:pPr>
        <w:pStyle w:val="Compact"/>
        <w:numPr>
          <w:ilvl w:val="0"/>
          <w:numId w:val="1053"/>
        </w:numPr>
      </w:pPr>
      <w:r>
        <w:rPr>
          <w:rFonts w:hint="eastAsia"/>
        </w:rPr>
        <w:t xml:space="preserve">亨通光电、天孚通信虽在MA20上方，但未站回MA60，仍被评为D。</w:t>
      </w:r>
    </w:p>
    <w:p>
      <w:pPr>
        <w:pStyle w:val="Compact"/>
        <w:numPr>
          <w:ilvl w:val="0"/>
          <w:numId w:val="1053"/>
        </w:numPr>
      </w:pPr>
      <w:r>
        <w:rPr>
          <w:rFonts w:hint="eastAsia"/>
        </w:rPr>
        <w:t xml:space="preserve">长鑫科技因历史数据不足，暂不评级，不能做技术判断。</w:t>
      </w:r>
    </w:p>
    <w:p>
      <w:pPr>
        <w:pStyle w:val="Compact"/>
        <w:numPr>
          <w:ilvl w:val="0"/>
          <w:numId w:val="1053"/>
        </w:numPr>
      </w:pPr>
      <w:r>
        <w:rPr>
          <w:rFonts w:hint="eastAsia"/>
        </w:rPr>
        <w:t xml:space="preserve">药明康德是样本中唯一A档右侧趋势确认标的。</w:t>
      </w:r>
    </w:p>
    <w:p>
      <w:pPr>
        <w:pStyle w:val="FirstParagraph"/>
      </w:pPr>
      <w:r>
        <w:t xml:space="preserve">💡 </w:t>
      </w:r>
      <w:r>
        <w:rPr>
          <w:rFonts w:hint="eastAsia"/>
        </w:rPr>
        <w:t xml:space="preserve">结论：</w:t>
      </w:r>
    </w:p>
    <w:p>
      <w:pPr>
        <w:pStyle w:val="Compact"/>
        <w:numPr>
          <w:ilvl w:val="0"/>
          <w:numId w:val="1054"/>
        </w:numPr>
      </w:pPr>
      <w:r>
        <w:rPr>
          <w:rFonts w:hint="eastAsia"/>
        </w:rPr>
        <w:t xml:space="preserve">业绩高增不能替代右侧趋势。</w:t>
      </w:r>
    </w:p>
    <w:p>
      <w:pPr>
        <w:pStyle w:val="Compact"/>
        <w:numPr>
          <w:ilvl w:val="0"/>
          <w:numId w:val="1054"/>
        </w:numPr>
      </w:pPr>
      <w:r>
        <w:rPr>
          <w:rFonts w:hint="eastAsia"/>
        </w:rPr>
        <w:t xml:space="preserve">AI硬件链今天最多做“观察和分歧确认”，不能因为外盘半导体上涨而直接追。</w:t>
      </w:r>
    </w:p>
    <w:p>
      <w:pPr>
        <w:pStyle w:val="Compact"/>
        <w:numPr>
          <w:ilvl w:val="0"/>
          <w:numId w:val="1054"/>
        </w:numPr>
      </w:pPr>
      <w:r>
        <w:rPr>
          <w:rFonts w:hint="eastAsia"/>
        </w:rPr>
        <w:t xml:space="preserve">真正符合右侧模型的样本只有药明康德，但也必须等站稳前高或缩量回踩后再确认。</w:t>
      </w:r>
    </w:p>
    <w:bookmarkEnd w:id="61"/>
    <w:bookmarkEnd w:id="62"/>
    <w:bookmarkStart w:id="66" w:name="仓位模型量化推导与执行纪律"/>
    <w:p>
      <w:pPr>
        <w:pStyle w:val="Heading2"/>
      </w:pPr>
      <w:r>
        <w:t xml:space="preserve">🧱 </w:t>
      </w:r>
      <w:r>
        <w:rPr>
          <w:rFonts w:hint="eastAsia"/>
        </w:rPr>
        <w:t xml:space="preserve">仓位模型：量化推导与执行纪律</w:t>
      </w:r>
    </w:p>
    <w:bookmarkStart w:id="63" w:name="模型输入"/>
    <w:p>
      <w:pPr>
        <w:pStyle w:val="Heading3"/>
      </w:pPr>
      <w:r>
        <w:t xml:space="preserve">📐 </w:t>
      </w:r>
      <w:r>
        <w:rPr>
          <w:rFonts w:hint="eastAsia"/>
        </w:rPr>
        <w:t xml:space="preserve">模型输入</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指标</w:t>
            </w:r>
          </w:p>
        </w:tc>
        <w:tc>
          <w:tcPr/>
          <w:p>
            <w:pPr>
              <w:pStyle w:val="Compact"/>
              <w:jc w:val="right"/>
            </w:pPr>
            <w:r>
              <w:rPr>
                <w:rFonts w:hint="eastAsia"/>
              </w:rPr>
              <w:t xml:space="preserve">数值</w:t>
            </w:r>
          </w:p>
        </w:tc>
        <w:tc>
          <w:tcPr/>
          <w:p>
            <w:pPr>
              <w:pStyle w:val="Compact"/>
            </w:pPr>
            <w:r>
              <w:rPr>
                <w:rFonts w:hint="eastAsia"/>
              </w:rPr>
              <w:t xml:space="preserve">方向</w:t>
            </w:r>
          </w:p>
        </w:tc>
      </w:tr>
      <w:tr>
        <w:tc>
          <w:tcPr/>
          <w:p>
            <w:pPr>
              <w:pStyle w:val="Compact"/>
            </w:pPr>
            <w:r>
              <w:rPr>
                <w:rFonts w:hint="eastAsia"/>
              </w:rPr>
              <w:t xml:space="preserve">涨跌比</w:t>
            </w:r>
          </w:p>
        </w:tc>
        <w:tc>
          <w:tcPr/>
          <w:p>
            <w:pPr>
              <w:pStyle w:val="Compact"/>
              <w:jc w:val="right"/>
            </w:pPr>
            <w:r>
              <w:t xml:space="preserve">3.401</w:t>
            </w:r>
          </w:p>
        </w:tc>
        <w:tc>
          <w:tcPr/>
          <w:p>
            <w:pPr>
              <w:pStyle w:val="Compact"/>
            </w:pPr>
            <w:r>
              <w:rPr>
                <w:rFonts w:hint="eastAsia"/>
              </w:rPr>
              <w:t xml:space="preserve">加分</w:t>
            </w:r>
          </w:p>
        </w:tc>
      </w:tr>
      <w:tr>
        <w:tc>
          <w:tcPr/>
          <w:p>
            <w:pPr>
              <w:pStyle w:val="Compact"/>
            </w:pPr>
            <w:r>
              <w:rPr>
                <w:rFonts w:hint="eastAsia"/>
              </w:rPr>
              <w:t xml:space="preserve">跌停数</w:t>
            </w:r>
          </w:p>
        </w:tc>
        <w:tc>
          <w:tcPr/>
          <w:p>
            <w:pPr>
              <w:pStyle w:val="Compact"/>
              <w:jc w:val="right"/>
            </w:pPr>
            <w:r>
              <w:t xml:space="preserve">4</w:t>
            </w:r>
          </w:p>
        </w:tc>
        <w:tc>
          <w:tcPr/>
          <w:p>
            <w:pPr>
              <w:pStyle w:val="Compact"/>
            </w:pPr>
            <w:r>
              <w:rPr>
                <w:rFonts w:hint="eastAsia"/>
              </w:rPr>
              <w:t xml:space="preserve">中性</w:t>
            </w:r>
          </w:p>
        </w:tc>
      </w:tr>
      <w:tr>
        <w:tc>
          <w:tcPr/>
          <w:p>
            <w:pPr>
              <w:pStyle w:val="Compact"/>
            </w:pPr>
            <w:r>
              <w:rPr>
                <w:rFonts w:hint="eastAsia"/>
              </w:rPr>
              <w:t xml:space="preserve">成交额变化</w:t>
            </w:r>
          </w:p>
        </w:tc>
        <w:tc>
          <w:tcPr/>
          <w:p>
            <w:pPr>
              <w:pStyle w:val="Compact"/>
              <w:jc w:val="right"/>
            </w:pPr>
            <w:r>
              <w:t xml:space="preserve">-8.75%</w:t>
            </w:r>
          </w:p>
        </w:tc>
        <w:tc>
          <w:tcPr/>
          <w:p>
            <w:pPr>
              <w:pStyle w:val="Compact"/>
            </w:pPr>
            <w:r>
              <w:rPr>
                <w:rFonts w:hint="eastAsia"/>
              </w:rPr>
              <w:t xml:space="preserve">扣分</w:t>
            </w:r>
          </w:p>
        </w:tc>
      </w:tr>
      <w:tr>
        <w:tc>
          <w:tcPr/>
          <w:p>
            <w:pPr>
              <w:pStyle w:val="Compact"/>
            </w:pPr>
            <w:r>
              <w:rPr>
                <w:rFonts w:hint="eastAsia"/>
              </w:rPr>
              <w:t xml:space="preserve">恐慌+ETF联合信号</w:t>
            </w:r>
          </w:p>
        </w:tc>
        <w:tc>
          <w:tcPr/>
          <w:p>
            <w:pPr>
              <w:pStyle w:val="Compact"/>
              <w:jc w:val="right"/>
            </w:pPr>
            <w:r>
              <w:t xml:space="preserve">confirmed</w:t>
            </w:r>
          </w:p>
        </w:tc>
        <w:tc>
          <w:tcPr/>
          <w:p>
            <w:pPr>
              <w:pStyle w:val="Compact"/>
            </w:pPr>
            <w:r>
              <w:rPr>
                <w:rFonts w:hint="eastAsia"/>
              </w:rPr>
              <w:t xml:space="preserve">加分</w:t>
            </w:r>
          </w:p>
        </w:tc>
      </w:tr>
      <w:tr>
        <w:tc>
          <w:tcPr/>
          <w:p>
            <w:pPr>
              <w:pStyle w:val="Compact"/>
            </w:pPr>
            <w:r>
              <w:rPr>
                <w:rFonts w:hint="eastAsia"/>
              </w:rPr>
              <w:t xml:space="preserve">行为金融风险分</w:t>
            </w:r>
          </w:p>
        </w:tc>
        <w:tc>
          <w:tcPr/>
          <w:p>
            <w:pPr>
              <w:pStyle w:val="Compact"/>
              <w:jc w:val="right"/>
            </w:pPr>
            <w:r>
              <w:t xml:space="preserve">1</w:t>
            </w:r>
          </w:p>
        </w:tc>
        <w:tc>
          <w:tcPr/>
          <w:p>
            <w:pPr>
              <w:pStyle w:val="Compact"/>
            </w:pPr>
            <w:r>
              <w:rPr>
                <w:rFonts w:hint="eastAsia"/>
              </w:rPr>
              <w:t xml:space="preserve">中性偏低</w:t>
            </w:r>
          </w:p>
        </w:tc>
      </w:tr>
    </w:tbl>
    <w:bookmarkEnd w:id="63"/>
    <w:bookmarkStart w:id="64" w:name="最终仓位"/>
    <w:p>
      <w:pPr>
        <w:pStyle w:val="Heading3"/>
      </w:pPr>
      <w:r>
        <w:t xml:space="preserve">💡 </w:t>
      </w:r>
      <w:r>
        <w:rPr>
          <w:rFonts w:hint="eastAsia"/>
        </w:rPr>
        <w:t xml:space="preserve">最终仓位</w:t>
      </w:r>
    </w:p>
    <w:p>
      <w:pPr>
        <w:pStyle w:val="Compact"/>
        <w:numPr>
          <w:ilvl w:val="0"/>
          <w:numId w:val="1055"/>
        </w:numPr>
      </w:pPr>
      <w:r>
        <w:rPr>
          <w:rFonts w:hint="eastAsia"/>
        </w:rPr>
        <w:t xml:space="preserve">标准仓位：46%。</w:t>
      </w:r>
    </w:p>
    <w:p>
      <w:pPr>
        <w:pStyle w:val="Compact"/>
        <w:numPr>
          <w:ilvl w:val="0"/>
          <w:numId w:val="1055"/>
        </w:numPr>
      </w:pPr>
      <w:r>
        <w:rPr>
          <w:rFonts w:hint="eastAsia"/>
        </w:rPr>
        <w:t xml:space="preserve">放量确认：最高50%。</w:t>
      </w:r>
    </w:p>
    <w:p>
      <w:pPr>
        <w:pStyle w:val="Compact"/>
        <w:numPr>
          <w:ilvl w:val="0"/>
          <w:numId w:val="1055"/>
        </w:numPr>
      </w:pPr>
      <w:r>
        <w:rPr>
          <w:rFonts w:hint="eastAsia"/>
        </w:rPr>
        <w:t xml:space="preserve">缩量冲高或AI核心继续流出：降至31%。</w:t>
      </w:r>
    </w:p>
    <w:bookmarkEnd w:id="64"/>
    <w:bookmarkStart w:id="65" w:name="执行纪律"/>
    <w:p>
      <w:pPr>
        <w:pStyle w:val="Heading3"/>
      </w:pPr>
      <w:r>
        <w:rPr>
          <w:rFonts w:hint="eastAsia"/>
        </w:rPr>
        <w:t xml:space="preserve">执行纪律</w:t>
      </w:r>
    </w:p>
    <w:p>
      <w:pPr>
        <w:pStyle w:val="Compact"/>
        <w:numPr>
          <w:ilvl w:val="0"/>
          <w:numId w:val="1056"/>
        </w:numPr>
      </w:pPr>
      <w:r>
        <w:rPr>
          <w:rFonts w:hint="eastAsia"/>
        </w:rPr>
        <w:t xml:space="preserve">不在高开一致时追AI硬件。</w:t>
      </w:r>
    </w:p>
    <w:p>
      <w:pPr>
        <w:pStyle w:val="Compact"/>
        <w:numPr>
          <w:ilvl w:val="0"/>
          <w:numId w:val="1056"/>
        </w:numPr>
      </w:pPr>
      <w:r>
        <w:rPr>
          <w:rFonts w:hint="eastAsia"/>
        </w:rPr>
        <w:t xml:space="preserve">不买D级趋势破位股的第一次反弹。</w:t>
      </w:r>
    </w:p>
    <w:p>
      <w:pPr>
        <w:pStyle w:val="Compact"/>
        <w:numPr>
          <w:ilvl w:val="0"/>
          <w:numId w:val="1056"/>
        </w:numPr>
      </w:pPr>
      <w:r>
        <w:rPr>
          <w:rFonts w:hint="eastAsia"/>
        </w:rPr>
        <w:t xml:space="preserve">可参与方向必须满足：资金流入、成交额确认、技术不破位。</w:t>
      </w:r>
    </w:p>
    <w:p>
      <w:pPr>
        <w:pStyle w:val="Compact"/>
        <w:numPr>
          <w:ilvl w:val="0"/>
          <w:numId w:val="1056"/>
        </w:numPr>
      </w:pPr>
      <w:r>
        <w:rPr>
          <w:rFonts w:hint="eastAsia"/>
        </w:rPr>
        <w:t xml:space="preserve">若指数红但成交额继续低于18442.78亿元节奏，仓位不加。</w:t>
      </w:r>
    </w:p>
    <w:p>
      <w:pPr>
        <w:pStyle w:val="Compact"/>
        <w:numPr>
          <w:ilvl w:val="0"/>
          <w:numId w:val="1056"/>
        </w:numPr>
      </w:pPr>
      <w:r>
        <w:rPr>
          <w:rFonts w:hint="eastAsia"/>
        </w:rPr>
        <w:t xml:space="preserve">若宽基ETF继续承接且主线放量，允许从46%提高至50%。</w:t>
      </w:r>
    </w:p>
    <w:bookmarkEnd w:id="65"/>
    <w:bookmarkEnd w:id="66"/>
    <w:bookmarkStart w:id="69" w:name="回避清单"/>
    <w:p>
      <w:pPr>
        <w:pStyle w:val="Heading2"/>
      </w:pPr>
      <w:r>
        <w:t xml:space="preserve">🚫 </w:t>
      </w:r>
      <w:r>
        <w:rPr>
          <w:rFonts w:hint="eastAsia"/>
        </w:rPr>
        <w:t xml:space="preserve">回避清单</w:t>
      </w:r>
    </w:p>
    <w:bookmarkStart w:id="67" w:name="板块回避"/>
    <w:p>
      <w:pPr>
        <w:pStyle w:val="Heading3"/>
      </w:pPr>
      <w:r>
        <w:t xml:space="preserve">⚠️ </w:t>
      </w:r>
      <w:r>
        <w:rPr>
          <w:rFonts w:hint="eastAsia"/>
        </w:rPr>
        <w:t xml:space="preserve">板块回避</w:t>
      </w:r>
    </w:p>
    <w:p>
      <w:pPr>
        <w:pStyle w:val="Compact"/>
        <w:numPr>
          <w:ilvl w:val="0"/>
          <w:numId w:val="1057"/>
        </w:numPr>
      </w:pPr>
      <w:r>
        <w:rPr>
          <w:rFonts w:hint="eastAsia"/>
        </w:rPr>
        <w:t xml:space="preserve">有色金属：主力净流出-54.99亿元。</w:t>
      </w:r>
    </w:p>
    <w:p>
      <w:pPr>
        <w:pStyle w:val="Compact"/>
        <w:numPr>
          <w:ilvl w:val="0"/>
          <w:numId w:val="1057"/>
        </w:numPr>
      </w:pPr>
      <w:r>
        <w:rPr>
          <w:rFonts w:hint="eastAsia"/>
        </w:rPr>
        <w:t xml:space="preserve">电力设备：主力净流出-27.07亿元。</w:t>
      </w:r>
    </w:p>
    <w:p>
      <w:pPr>
        <w:pStyle w:val="Compact"/>
        <w:numPr>
          <w:ilvl w:val="0"/>
          <w:numId w:val="1057"/>
        </w:numPr>
      </w:pPr>
      <w:r>
        <w:rPr>
          <w:rFonts w:hint="eastAsia"/>
        </w:rPr>
        <w:t xml:space="preserve">工业金属：主力净流出-25.64亿元。</w:t>
      </w:r>
    </w:p>
    <w:p>
      <w:pPr>
        <w:pStyle w:val="Compact"/>
        <w:numPr>
          <w:ilvl w:val="0"/>
          <w:numId w:val="1057"/>
        </w:numPr>
      </w:pPr>
      <w:r>
        <w:rPr>
          <w:rFonts w:hint="eastAsia"/>
        </w:rPr>
        <w:t xml:space="preserve">半导体：主力净流出-20.76亿元。</w:t>
      </w:r>
    </w:p>
    <w:p>
      <w:pPr>
        <w:pStyle w:val="Compact"/>
        <w:numPr>
          <w:ilvl w:val="0"/>
          <w:numId w:val="1057"/>
        </w:numPr>
      </w:pPr>
      <w:r>
        <w:rPr>
          <w:rFonts w:hint="eastAsia"/>
        </w:rPr>
        <w:t xml:space="preserve">电池：主力净流出-20.49亿元。</w:t>
      </w:r>
    </w:p>
    <w:p>
      <w:pPr>
        <w:pStyle w:val="Compact"/>
        <w:numPr>
          <w:ilvl w:val="0"/>
          <w:numId w:val="1057"/>
        </w:numPr>
      </w:pPr>
      <w:r>
        <w:rPr>
          <w:rFonts w:hint="eastAsia"/>
        </w:rPr>
        <w:t xml:space="preserve">通信网络设备及器件：主力净流出-16.86亿元。</w:t>
      </w:r>
    </w:p>
    <w:bookmarkEnd w:id="67"/>
    <w:bookmarkStart w:id="68" w:name="个股回避或仅观察"/>
    <w:p>
      <w:pPr>
        <w:pStyle w:val="Heading3"/>
      </w:pPr>
      <w:r>
        <w:t xml:space="preserve">⚠️ </w:t>
      </w:r>
      <w:r>
        <w:rPr>
          <w:rFonts w:hint="eastAsia"/>
        </w:rPr>
        <w:t xml:space="preserve">个股回避或仅观察</w:t>
      </w:r>
    </w:p>
    <w:p>
      <w:pPr>
        <w:pStyle w:val="Compact"/>
        <w:numPr>
          <w:ilvl w:val="0"/>
          <w:numId w:val="1058"/>
        </w:numPr>
      </w:pPr>
      <w:r>
        <w:rPr>
          <w:rFonts w:hint="eastAsia"/>
        </w:rPr>
        <w:t xml:space="preserve">中际旭创（300308）：主力净流出-168.08亿，TickFlow</w:t>
      </w:r>
      <w:r>
        <w:t xml:space="preserve"> </w:t>
      </w:r>
      <w:r>
        <w:rPr>
          <w:rFonts w:hint="eastAsia"/>
        </w:rPr>
        <w:t xml:space="preserve">D级。</w:t>
      </w:r>
    </w:p>
    <w:p>
      <w:pPr>
        <w:pStyle w:val="Compact"/>
        <w:numPr>
          <w:ilvl w:val="0"/>
          <w:numId w:val="1058"/>
        </w:numPr>
      </w:pPr>
      <w:r>
        <w:rPr>
          <w:rFonts w:hint="eastAsia"/>
        </w:rPr>
        <w:t xml:space="preserve">寒武纪（688256）：主力净流出-100.83亿，TickFlow</w:t>
      </w:r>
      <w:r>
        <w:t xml:space="preserve"> </w:t>
      </w:r>
      <w:r>
        <w:rPr>
          <w:rFonts w:hint="eastAsia"/>
        </w:rPr>
        <w:t xml:space="preserve">D级。</w:t>
      </w:r>
    </w:p>
    <w:p>
      <w:pPr>
        <w:pStyle w:val="Compact"/>
        <w:numPr>
          <w:ilvl w:val="0"/>
          <w:numId w:val="1058"/>
        </w:numPr>
      </w:pPr>
      <w:r>
        <w:rPr>
          <w:rFonts w:hint="eastAsia"/>
        </w:rPr>
        <w:t xml:space="preserve">新易盛（300502）：主力净流出-81.71亿，TickFlow</w:t>
      </w:r>
      <w:r>
        <w:t xml:space="preserve"> </w:t>
      </w:r>
      <w:r>
        <w:rPr>
          <w:rFonts w:hint="eastAsia"/>
        </w:rPr>
        <w:t xml:space="preserve">D级。</w:t>
      </w:r>
    </w:p>
    <w:p>
      <w:pPr>
        <w:pStyle w:val="Compact"/>
        <w:numPr>
          <w:ilvl w:val="0"/>
          <w:numId w:val="1058"/>
        </w:numPr>
      </w:pPr>
      <w:r>
        <w:rPr>
          <w:rFonts w:hint="eastAsia"/>
        </w:rPr>
        <w:t xml:space="preserve">宁德时代（300750）：主力净流出-55.69亿，TickFlow</w:t>
      </w:r>
      <w:r>
        <w:t xml:space="preserve"> </w:t>
      </w:r>
      <w:r>
        <w:rPr>
          <w:rFonts w:hint="eastAsia"/>
        </w:rPr>
        <w:t xml:space="preserve">D级。</w:t>
      </w:r>
    </w:p>
    <w:p>
      <w:pPr>
        <w:pStyle w:val="Compact"/>
        <w:numPr>
          <w:ilvl w:val="0"/>
          <w:numId w:val="1058"/>
        </w:numPr>
      </w:pPr>
      <w:r>
        <w:rPr>
          <w:rFonts w:hint="eastAsia"/>
        </w:rPr>
        <w:t xml:space="preserve">东山精密（002384）：主力净流出-40.30亿，TickFlow</w:t>
      </w:r>
      <w:r>
        <w:t xml:space="preserve"> </w:t>
      </w:r>
      <w:r>
        <w:rPr>
          <w:rFonts w:hint="eastAsia"/>
        </w:rPr>
        <w:t xml:space="preserve">D级。</w:t>
      </w:r>
    </w:p>
    <w:bookmarkEnd w:id="68"/>
    <w:bookmarkEnd w:id="69"/>
    <w:bookmarkStart w:id="71" w:name="风险日历"/>
    <w:p>
      <w:pPr>
        <w:pStyle w:val="Heading2"/>
      </w:pPr>
      <w:r>
        <w:t xml:space="preserve">🗓️ </w:t>
      </w:r>
      <w:r>
        <w:rPr>
          <w:rFonts w:hint="eastAsia"/>
        </w:rPr>
        <w:t xml:space="preserve">风险日历</w:t>
      </w:r>
    </w:p>
    <w:bookmarkStart w:id="70" w:name="今日与本周重点"/>
    <w:p>
      <w:pPr>
        <w:pStyle w:val="Heading3"/>
      </w:pPr>
      <w:r>
        <w:rPr>
          <w:rFonts w:hint="eastAsia"/>
        </w:rPr>
        <w:t xml:space="preserve">今日与本周重点</w:t>
      </w:r>
    </w:p>
    <w:p>
      <w:pPr>
        <w:numPr>
          <w:ilvl w:val="0"/>
          <w:numId w:val="1059"/>
        </w:numPr>
      </w:pPr>
      <w:r>
        <w:rPr>
          <w:rFonts w:hint="eastAsia"/>
        </w:rPr>
        <w:t xml:space="preserve">英伟达当地时间8月26日盘后发布业绩</w:t>
      </w:r>
      <w:r>
        <w:br/>
      </w:r>
      <w:r>
        <w:t xml:space="preserve">⚠️ </w:t>
      </w:r>
      <w:r>
        <w:rPr>
          <w:rFonts w:hint="eastAsia"/>
        </w:rPr>
        <w:t xml:space="preserve">A股AI算力、光模块、存储、液冷将进入验证期。</w:t>
      </w:r>
    </w:p>
    <w:p>
      <w:pPr>
        <w:numPr>
          <w:ilvl w:val="0"/>
          <w:numId w:val="1059"/>
        </w:numPr>
      </w:pPr>
      <w:r>
        <w:rPr>
          <w:rFonts w:hint="eastAsia"/>
        </w:rPr>
        <w:t xml:space="preserve">8月26日10:00工信部新闻发布会</w:t>
      </w:r>
      <w:r>
        <w:br/>
      </w:r>
      <w:r>
        <w:t xml:space="preserve">💡 </w:t>
      </w:r>
      <w:r>
        <w:rPr>
          <w:rFonts w:hint="eastAsia"/>
        </w:rPr>
        <w:t xml:space="preserve">新型工业化、工业软件、智能制造、机器人方向可能受催化。</w:t>
      </w:r>
    </w:p>
    <w:p>
      <w:pPr>
        <w:numPr>
          <w:ilvl w:val="0"/>
          <w:numId w:val="1059"/>
        </w:numPr>
      </w:pPr>
      <w:r>
        <w:rPr>
          <w:rFonts w:hint="eastAsia"/>
        </w:rPr>
        <w:t xml:space="preserve">8月26日15:00国家卫健委新闻发布会</w:t>
      </w:r>
      <w:r>
        <w:br/>
      </w:r>
      <w:r>
        <w:t xml:space="preserve">💡 </w:t>
      </w:r>
      <w:r>
        <w:rPr>
          <w:rFonts w:hint="eastAsia"/>
        </w:rPr>
        <w:t xml:space="preserve">基层医疗、医疗信息化、医药服务方向可观察。</w:t>
      </w:r>
    </w:p>
    <w:p>
      <w:pPr>
        <w:numPr>
          <w:ilvl w:val="0"/>
          <w:numId w:val="1059"/>
        </w:numPr>
      </w:pPr>
      <w:r>
        <w:rPr>
          <w:rFonts w:hint="eastAsia"/>
        </w:rPr>
        <w:t xml:space="preserve">半年度报告密集披露</w:t>
      </w:r>
      <w:r>
        <w:br/>
      </w:r>
      <w:r>
        <w:t xml:space="preserve">⚠️ </w:t>
      </w:r>
      <w:r>
        <w:rPr>
          <w:rFonts w:hint="eastAsia"/>
        </w:rPr>
        <w:t xml:space="preserve">采集显示半年度报告/业绩类1324项，减值准备170项，业绩雷和减值雷需规避。</w:t>
      </w:r>
    </w:p>
    <w:p>
      <w:pPr>
        <w:numPr>
          <w:ilvl w:val="0"/>
          <w:numId w:val="1059"/>
        </w:numPr>
      </w:pPr>
      <w:r>
        <w:rPr>
          <w:rFonts w:hint="eastAsia"/>
        </w:rPr>
        <w:t xml:space="preserve">解禁/减持风险</w:t>
      </w:r>
      <w:r>
        <w:br/>
      </w:r>
      <w:r>
        <w:t xml:space="preserve">⚠️ </w:t>
      </w:r>
      <w:r>
        <w:rPr>
          <w:rFonts w:hint="eastAsia"/>
        </w:rPr>
        <w:t xml:space="preserve">解禁/解除限售17项，减持13项，个股公告需逐一排雷。</w:t>
      </w:r>
    </w:p>
    <w:p>
      <w:pPr>
        <w:numPr>
          <w:ilvl w:val="0"/>
          <w:numId w:val="1059"/>
        </w:numPr>
      </w:pPr>
      <w:r>
        <w:rPr>
          <w:rFonts w:hint="eastAsia"/>
        </w:rPr>
        <w:t xml:space="preserve">地缘风险</w:t>
      </w:r>
      <w:r>
        <w:br/>
      </w:r>
      <w:r>
        <w:t xml:space="preserve">⚠️ </w:t>
      </w:r>
      <w:r>
        <w:rPr>
          <w:rFonts w:hint="eastAsia"/>
        </w:rPr>
        <w:t xml:space="preserve">伊朗制裁、俄乌导弹技术、红海航运、加美关税威胁仍可能影响油运、黄金、军工和大宗商品。</w:t>
      </w:r>
    </w:p>
    <w:bookmarkEnd w:id="70"/>
    <w:bookmarkEnd w:id="71"/>
    <w:bookmarkStart w:id="74" w:name="外资与离岸风险偏好"/>
    <w:p>
      <w:pPr>
        <w:pStyle w:val="Heading2"/>
      </w:pPr>
      <w:r>
        <w:t xml:space="preserve">🌊 </w:t>
      </w:r>
      <w:r>
        <w:rPr>
          <w:rFonts w:hint="eastAsia"/>
        </w:rPr>
        <w:t xml:space="preserve">外资与离岸风险偏好</w:t>
      </w:r>
    </w:p>
    <w:bookmarkStart w:id="72" w:name="盘前状态"/>
    <w:p>
      <w:pPr>
        <w:pStyle w:val="Heading3"/>
      </w:pPr>
      <w:r>
        <w:t xml:space="preserve">📌 </w:t>
      </w:r>
      <w:r>
        <w:rPr>
          <w:rFonts w:hint="eastAsia"/>
        </w:rPr>
        <w:t xml:space="preserve">盘前状态</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指标</w:t>
            </w:r>
          </w:p>
        </w:tc>
        <w:tc>
          <w:tcPr/>
          <w:p>
            <w:pPr>
              <w:pStyle w:val="Compact"/>
              <w:jc w:val="right"/>
            </w:pPr>
            <w:r>
              <w:rPr>
                <w:rFonts w:hint="eastAsia"/>
              </w:rPr>
              <w:t xml:space="preserve">最新</w:t>
            </w:r>
          </w:p>
        </w:tc>
        <w:tc>
          <w:tcPr/>
          <w:p>
            <w:pPr>
              <w:pStyle w:val="Compact"/>
              <w:jc w:val="right"/>
            </w:pPr>
            <w:r>
              <w:rPr>
                <w:rFonts w:hint="eastAsia"/>
              </w:rPr>
              <w:t xml:space="preserve">涨跌幅</w:t>
            </w:r>
          </w:p>
        </w:tc>
        <w:tc>
          <w:tcPr/>
          <w:p>
            <w:pPr>
              <w:pStyle w:val="Compact"/>
            </w:pPr>
            <w:r>
              <w:rPr>
                <w:rFonts w:hint="eastAsia"/>
              </w:rPr>
              <w:t xml:space="preserve">解读</w:t>
            </w:r>
          </w:p>
        </w:tc>
      </w:tr>
      <w:tr>
        <w:tc>
          <w:tcPr/>
          <w:p>
            <w:pPr>
              <w:pStyle w:val="Compact"/>
            </w:pPr>
            <w:r>
              <w:rPr>
                <w:rFonts w:hint="eastAsia"/>
              </w:rPr>
              <w:t xml:space="preserve">恒生指数</w:t>
            </w:r>
          </w:p>
        </w:tc>
        <w:tc>
          <w:tcPr/>
          <w:p>
            <w:pPr>
              <w:pStyle w:val="Compact"/>
              <w:jc w:val="right"/>
            </w:pPr>
            <w:r>
              <w:t xml:space="preserve">25517.33</w:t>
            </w:r>
          </w:p>
        </w:tc>
        <w:tc>
          <w:tcPr/>
          <w:p>
            <w:pPr>
              <w:pStyle w:val="Compact"/>
              <w:jc w:val="right"/>
            </w:pPr>
            <w:r>
              <w:t xml:space="preserve">🟢 -0.02%</w:t>
            </w:r>
          </w:p>
        </w:tc>
        <w:tc>
          <w:tcPr/>
          <w:p>
            <w:pPr>
              <w:pStyle w:val="Compact"/>
            </w:pPr>
            <w:r>
              <w:rPr>
                <w:rFonts w:hint="eastAsia"/>
              </w:rPr>
              <w:t xml:space="preserve">港股情绪平稳偏弱</w:t>
            </w:r>
          </w:p>
        </w:tc>
      </w:tr>
      <w:tr>
        <w:tc>
          <w:tcPr/>
          <w:p>
            <w:pPr>
              <w:pStyle w:val="Compact"/>
            </w:pPr>
            <w:r>
              <w:rPr>
                <w:rFonts w:hint="eastAsia"/>
              </w:rPr>
              <w:t xml:space="preserve">富时A50期指</w:t>
            </w:r>
          </w:p>
        </w:tc>
        <w:tc>
          <w:tcPr/>
          <w:p>
            <w:pPr>
              <w:pStyle w:val="Compact"/>
              <w:jc w:val="right"/>
            </w:pPr>
            <w:r>
              <w:t xml:space="preserve">14560.0</w:t>
            </w:r>
          </w:p>
        </w:tc>
        <w:tc>
          <w:tcPr/>
          <w:p>
            <w:pPr>
              <w:pStyle w:val="Compact"/>
              <w:jc w:val="right"/>
            </w:pPr>
            <w:r>
              <w:t xml:space="preserve">🔴 +0.41%</w:t>
            </w:r>
          </w:p>
        </w:tc>
        <w:tc>
          <w:tcPr/>
          <w:p>
            <w:pPr>
              <w:pStyle w:val="Compact"/>
            </w:pPr>
            <w:r>
              <w:rPr>
                <w:rFonts w:hint="eastAsia"/>
              </w:rPr>
              <w:t xml:space="preserve">A股开盘预期偏正面</w:t>
            </w:r>
          </w:p>
        </w:tc>
      </w:tr>
      <w:tr>
        <w:tc>
          <w:tcPr/>
          <w:p>
            <w:pPr>
              <w:pStyle w:val="Compact"/>
            </w:pPr>
            <w:r>
              <w:rPr>
                <w:rFonts w:hint="eastAsia"/>
              </w:rPr>
              <w:t xml:space="preserve">美元离岸人民币</w:t>
            </w:r>
          </w:p>
        </w:tc>
        <w:tc>
          <w:tcPr/>
          <w:p>
            <w:pPr>
              <w:pStyle w:val="Compact"/>
              <w:jc w:val="right"/>
            </w:pPr>
            <w:r>
              <w:t xml:space="preserve">6.7178</w:t>
            </w:r>
          </w:p>
        </w:tc>
        <w:tc>
          <w:tcPr/>
          <w:p>
            <w:pPr>
              <w:pStyle w:val="Compact"/>
              <w:jc w:val="right"/>
            </w:pPr>
            <w:r>
              <w:t xml:space="preserve">📈 +0.02%</w:t>
            </w:r>
          </w:p>
        </w:tc>
        <w:tc>
          <w:tcPr/>
          <w:p>
            <w:pPr>
              <w:pStyle w:val="Compact"/>
            </w:pPr>
            <w:r>
              <w:rPr>
                <w:rFonts w:hint="eastAsia"/>
              </w:rPr>
              <w:t xml:space="preserve">汇率扰动有限</w:t>
            </w:r>
          </w:p>
        </w:tc>
      </w:tr>
      <w:tr>
        <w:tc>
          <w:tcPr/>
          <w:p>
            <w:pPr>
              <w:pStyle w:val="Compact"/>
            </w:pPr>
            <w:r>
              <w:rPr>
                <w:rFonts w:hint="eastAsia"/>
              </w:rPr>
              <w:t xml:space="preserve">COMEX黄金</w:t>
            </w:r>
          </w:p>
        </w:tc>
        <w:tc>
          <w:tcPr/>
          <w:p>
            <w:pPr>
              <w:pStyle w:val="Compact"/>
              <w:jc w:val="right"/>
            </w:pPr>
            <w:r>
              <w:t xml:space="preserve">4703.504</w:t>
            </w:r>
          </w:p>
        </w:tc>
        <w:tc>
          <w:tcPr/>
          <w:p>
            <w:pPr>
              <w:pStyle w:val="Compact"/>
              <w:jc w:val="right"/>
            </w:pPr>
            <w:r>
              <w:t xml:space="preserve">🔴 +0.19%</w:t>
            </w:r>
          </w:p>
        </w:tc>
        <w:tc>
          <w:tcPr/>
          <w:p>
            <w:pPr>
              <w:pStyle w:val="Compact"/>
            </w:pPr>
            <w:r>
              <w:rPr>
                <w:rFonts w:hint="eastAsia"/>
              </w:rPr>
              <w:t xml:space="preserve">避险仍在</w:t>
            </w:r>
          </w:p>
        </w:tc>
      </w:tr>
      <w:tr>
        <w:tc>
          <w:tcPr/>
          <w:p>
            <w:pPr>
              <w:pStyle w:val="Compact"/>
            </w:pPr>
            <w:r>
              <w:rPr>
                <w:rFonts w:hint="eastAsia"/>
              </w:rPr>
              <w:t xml:space="preserve">WTI原油</w:t>
            </w:r>
          </w:p>
        </w:tc>
        <w:tc>
          <w:tcPr/>
          <w:p>
            <w:pPr>
              <w:pStyle w:val="Compact"/>
              <w:jc w:val="right"/>
            </w:pPr>
            <w:r>
              <w:t xml:space="preserve">80.962</w:t>
            </w:r>
          </w:p>
        </w:tc>
        <w:tc>
          <w:tcPr/>
          <w:p>
            <w:pPr>
              <w:pStyle w:val="Compact"/>
              <w:jc w:val="right"/>
            </w:pPr>
            <w:r>
              <w:t xml:space="preserve">🟢 -1.70%</w:t>
            </w:r>
          </w:p>
        </w:tc>
        <w:tc>
          <w:tcPr/>
          <w:p>
            <w:pPr>
              <w:pStyle w:val="Compact"/>
            </w:pPr>
            <w:r>
              <w:rPr>
                <w:rFonts w:hint="eastAsia"/>
              </w:rPr>
              <w:t xml:space="preserve">通胀输入压力下降</w:t>
            </w:r>
          </w:p>
        </w:tc>
      </w:tr>
    </w:tbl>
    <w:bookmarkEnd w:id="72"/>
    <w:bookmarkStart w:id="73" w:name="判断"/>
    <w:p>
      <w:pPr>
        <w:pStyle w:val="Heading3"/>
      </w:pPr>
      <w:r>
        <w:t xml:space="preserve">💡 </w:t>
      </w:r>
      <w:r>
        <w:rPr>
          <w:rFonts w:hint="eastAsia"/>
        </w:rPr>
        <w:t xml:space="preserve">判断</w:t>
      </w:r>
    </w:p>
    <w:p>
      <w:pPr>
        <w:pStyle w:val="Compact"/>
        <w:numPr>
          <w:ilvl w:val="0"/>
          <w:numId w:val="1060"/>
        </w:numPr>
      </w:pPr>
      <w:r>
        <w:rPr>
          <w:rFonts w:hint="eastAsia"/>
        </w:rPr>
        <w:t xml:space="preserve">离岸人民币稳定，A50小幅上行，外部风险偏好不差。</w:t>
      </w:r>
    </w:p>
    <w:p>
      <w:pPr>
        <w:pStyle w:val="Compact"/>
        <w:numPr>
          <w:ilvl w:val="0"/>
          <w:numId w:val="1060"/>
        </w:numPr>
      </w:pPr>
      <w:r>
        <w:rPr>
          <w:rFonts w:hint="eastAsia"/>
        </w:rPr>
        <w:t xml:space="preserve">油价下跌对A股成本端有利，但地缘风险没有解除。</w:t>
      </w:r>
    </w:p>
    <w:p>
      <w:pPr>
        <w:pStyle w:val="Compact"/>
        <w:numPr>
          <w:ilvl w:val="0"/>
          <w:numId w:val="1060"/>
        </w:numPr>
      </w:pPr>
      <w:r>
        <w:rPr>
          <w:rFonts w:hint="eastAsia"/>
        </w:rPr>
        <w:t xml:space="preserve">外资盘前情绪更可能支持指数低开修复或平开震荡，不足以支撑高位AI硬件无条件上攻。</w:t>
      </w:r>
    </w:p>
    <w:bookmarkEnd w:id="73"/>
    <w:bookmarkEnd w:id="74"/>
    <w:bookmarkStart w:id="78" w:name="今日盘前结论指数风险下降追高风险仍高主线要等成交额确认"/>
    <w:p>
      <w:pPr>
        <w:pStyle w:val="Heading2"/>
      </w:pPr>
      <w:r>
        <w:t xml:space="preserve">🎯 </w:t>
      </w:r>
      <w:r>
        <w:rPr>
          <w:rFonts w:hint="eastAsia"/>
        </w:rPr>
        <w:t xml:space="preserve">今日盘前结论：指数风险下降，追高风险仍高；主线要等成交额确认</w:t>
      </w:r>
    </w:p>
    <w:bookmarkStart w:id="75" w:name="正面因素"/>
    <w:p>
      <w:pPr>
        <w:pStyle w:val="Heading3"/>
      </w:pPr>
      <w:r>
        <w:t xml:space="preserve">✅ </w:t>
      </w:r>
      <w:r>
        <w:rPr>
          <w:rFonts w:hint="eastAsia"/>
        </w:rPr>
        <w:t xml:space="preserve">正面因素</w:t>
      </w:r>
    </w:p>
    <w:p>
      <w:pPr>
        <w:pStyle w:val="Compact"/>
        <w:numPr>
          <w:ilvl w:val="0"/>
          <w:numId w:val="1061"/>
        </w:numPr>
      </w:pPr>
      <w:r>
        <w:rPr>
          <w:rFonts w:hint="eastAsia"/>
        </w:rPr>
        <w:t xml:space="preserve">美股三大指数全线上涨，纳斯达克+0.66%。</w:t>
      </w:r>
    </w:p>
    <w:p>
      <w:pPr>
        <w:pStyle w:val="Compact"/>
        <w:numPr>
          <w:ilvl w:val="0"/>
          <w:numId w:val="1061"/>
        </w:numPr>
      </w:pPr>
      <w:r>
        <w:rPr>
          <w:rFonts w:hint="eastAsia"/>
        </w:rPr>
        <w:t xml:space="preserve">英伟达+2.19%、AMD+4.91%、美光+2.48%，科技风险偏好修复。</w:t>
      </w:r>
    </w:p>
    <w:p>
      <w:pPr>
        <w:pStyle w:val="Compact"/>
        <w:numPr>
          <w:ilvl w:val="0"/>
          <w:numId w:val="1061"/>
        </w:numPr>
      </w:pPr>
      <w:r>
        <w:rPr>
          <w:rFonts w:hint="eastAsia"/>
        </w:rPr>
        <w:t xml:space="preserve">宽基ETF持续净申购，沪深300ETF、科创50ETF、创业板ETF等连续流入。</w:t>
      </w:r>
    </w:p>
    <w:p>
      <w:pPr>
        <w:pStyle w:val="Compact"/>
        <w:numPr>
          <w:ilvl w:val="0"/>
          <w:numId w:val="1061"/>
        </w:numPr>
      </w:pPr>
      <w:r>
        <w:t xml:space="preserve">300ETF </w:t>
      </w:r>
      <w:r>
        <w:rPr>
          <w:rFonts w:hint="eastAsia"/>
        </w:rPr>
        <w:t xml:space="preserve">QVIX较20日峰值回落24.944731%，恐慌降温。</w:t>
      </w:r>
    </w:p>
    <w:p>
      <w:pPr>
        <w:pStyle w:val="Compact"/>
        <w:numPr>
          <w:ilvl w:val="0"/>
          <w:numId w:val="1061"/>
        </w:numPr>
      </w:pPr>
      <w:r>
        <w:rPr>
          <w:rFonts w:hint="eastAsia"/>
        </w:rPr>
        <w:t xml:space="preserve">联合信号</w:t>
      </w:r>
      <w:r>
        <w:t xml:space="preserve"> </w:t>
      </w:r>
      <w:r>
        <w:rPr>
          <w:rFonts w:hint="eastAsia"/>
        </w:rPr>
        <w:t xml:space="preserve">confirmed：恐慌高位降温且宽基ETF持续流入已确认。</w:t>
      </w:r>
    </w:p>
    <w:bookmarkEnd w:id="75"/>
    <w:bookmarkStart w:id="76" w:name="负面因素"/>
    <w:p>
      <w:pPr>
        <w:pStyle w:val="Heading3"/>
      </w:pPr>
      <w:r>
        <w:t xml:space="preserve">⚠️ </w:t>
      </w:r>
      <w:r>
        <w:rPr>
          <w:rFonts w:hint="eastAsia"/>
        </w:rPr>
        <w:t xml:space="preserve">负面因素</w:t>
      </w:r>
    </w:p>
    <w:p>
      <w:pPr>
        <w:pStyle w:val="Compact"/>
        <w:numPr>
          <w:ilvl w:val="0"/>
          <w:numId w:val="1062"/>
        </w:numPr>
      </w:pPr>
      <w:r>
        <w:rPr>
          <w:rFonts w:hint="eastAsia"/>
        </w:rPr>
        <w:t xml:space="preserve">全市场成交额18442.78亿元，较前一日减少1769.37亿元，缩量-8.75%。</w:t>
      </w:r>
    </w:p>
    <w:p>
      <w:pPr>
        <w:pStyle w:val="Compact"/>
        <w:numPr>
          <w:ilvl w:val="0"/>
          <w:numId w:val="1062"/>
        </w:numPr>
      </w:pPr>
      <w:r>
        <w:rPr>
          <w:rFonts w:hint="eastAsia"/>
        </w:rPr>
        <w:t xml:space="preserve">两融余额减少38.7535亿元，融资余额减少42.4036亿元，杠杆多头风险偏好降温。</w:t>
      </w:r>
    </w:p>
    <w:p>
      <w:pPr>
        <w:pStyle w:val="Compact"/>
        <w:numPr>
          <w:ilvl w:val="0"/>
          <w:numId w:val="1062"/>
        </w:numPr>
      </w:pPr>
      <w:r>
        <w:rPr>
          <w:rFonts w:hint="eastAsia"/>
        </w:rPr>
        <w:t xml:space="preserve">AI硬件核心股大额流出明显。</w:t>
      </w:r>
    </w:p>
    <w:p>
      <w:pPr>
        <w:pStyle w:val="Compact"/>
        <w:numPr>
          <w:ilvl w:val="0"/>
          <w:numId w:val="1062"/>
        </w:numPr>
      </w:pPr>
      <w:r>
        <w:rPr>
          <w:rFonts w:hint="eastAsia"/>
        </w:rPr>
        <w:t xml:space="preserve">TickFlow重点股中D级8只，A档仅药明康德1只。</w:t>
      </w:r>
    </w:p>
    <w:bookmarkEnd w:id="76"/>
    <w:bookmarkStart w:id="77" w:name="最终策略"/>
    <w:p>
      <w:pPr>
        <w:pStyle w:val="Heading3"/>
      </w:pPr>
      <w:r>
        <w:t xml:space="preserve">💡 </w:t>
      </w:r>
      <w:r>
        <w:rPr>
          <w:rFonts w:hint="eastAsia"/>
        </w:rPr>
        <w:t xml:space="preserve">最终策略</w:t>
      </w:r>
    </w:p>
    <w:p>
      <w:pPr>
        <w:pStyle w:val="Compact"/>
        <w:numPr>
          <w:ilvl w:val="0"/>
          <w:numId w:val="1063"/>
        </w:numPr>
      </w:pPr>
      <w:r>
        <w:rPr>
          <w:rFonts w:hint="eastAsia"/>
        </w:rPr>
        <w:t xml:space="preserve">基准仓位46%。</w:t>
      </w:r>
    </w:p>
    <w:p>
      <w:pPr>
        <w:pStyle w:val="Compact"/>
        <w:numPr>
          <w:ilvl w:val="0"/>
          <w:numId w:val="1063"/>
        </w:numPr>
      </w:pPr>
      <w:r>
        <w:rPr>
          <w:rFonts w:hint="eastAsia"/>
        </w:rPr>
        <w:t xml:space="preserve">方向优先级：专用设备/自动化设备</w:t>
      </w:r>
      <w:r>
        <w:t xml:space="preserve"> &gt; </w:t>
      </w:r>
      <w:r>
        <w:rPr>
          <w:rFonts w:hint="eastAsia"/>
        </w:rPr>
        <w:t xml:space="preserve">医疗服务/化学制药</w:t>
      </w:r>
      <w:r>
        <w:t xml:space="preserve"> &gt; </w:t>
      </w:r>
      <w:r>
        <w:rPr>
          <w:rFonts w:hint="eastAsia"/>
        </w:rPr>
        <w:t xml:space="preserve">通信设备分歧转强。</w:t>
      </w:r>
    </w:p>
    <w:p>
      <w:pPr>
        <w:pStyle w:val="Compact"/>
        <w:numPr>
          <w:ilvl w:val="0"/>
          <w:numId w:val="1063"/>
        </w:numPr>
      </w:pPr>
      <w:r>
        <w:rPr>
          <w:rFonts w:hint="eastAsia"/>
        </w:rPr>
        <w:t xml:space="preserve">AI算力硬件只观察，不追高。</w:t>
      </w:r>
    </w:p>
    <w:p>
      <w:pPr>
        <w:pStyle w:val="Compact"/>
        <w:numPr>
          <w:ilvl w:val="0"/>
          <w:numId w:val="1063"/>
        </w:numPr>
      </w:pPr>
      <w:r>
        <w:rPr>
          <w:rFonts w:hint="eastAsia"/>
        </w:rPr>
        <w:t xml:space="preserve">有色、电池、电力设备继续回避。</w:t>
      </w:r>
    </w:p>
    <w:p>
      <w:pPr>
        <w:pStyle w:val="Compact"/>
        <w:numPr>
          <w:ilvl w:val="0"/>
          <w:numId w:val="1063"/>
        </w:numPr>
      </w:pPr>
      <w:r>
        <w:rPr>
          <w:rFonts w:hint="eastAsia"/>
        </w:rPr>
        <w:t xml:space="preserve">今日最重要的盘中确认点：成交额能否从18442.78亿元基础上修复，以及资金是否继续流入专用设备、通信设备、医疗服务、元件。</w:t>
      </w:r>
    </w:p>
    <w:p>
      <w:pPr>
        <w:pStyle w:val="BlockText"/>
      </w:pPr>
      <w:r>
        <w:t xml:space="preserve">📊 </w:t>
      </w:r>
      <w:r>
        <w:rPr>
          <w:rFonts w:hint="eastAsia"/>
        </w:rPr>
        <w:t xml:space="preserve">生成时间：2026-08-26</w:t>
      </w:r>
      <w:r>
        <w:t xml:space="preserve"> 08:30:22</w:t>
      </w:r>
      <w:r>
        <w:br/>
      </w:r>
      <w:r>
        <w:t xml:space="preserve">🦞 </w:t>
      </w:r>
      <w:r>
        <w:rPr>
          <w:rFonts w:hint="eastAsia"/>
        </w:rPr>
        <w:t xml:space="preserve">by：奇迹早知道</w:t>
      </w:r>
      <w:r>
        <w:t xml:space="preserve"> v4.1</w:t>
      </w:r>
      <w:r>
        <w:br/>
      </w:r>
      <w:r>
        <w:t xml:space="preserve">🔵 </w:t>
      </w:r>
      <w:r>
        <w:rPr>
          <w:rFonts w:hint="eastAsia"/>
        </w:rPr>
        <w:t xml:space="preserve">数据采集：Python</w:t>
      </w:r>
      <w:r>
        <w:t xml:space="preserve"> </w:t>
      </w:r>
      <w:r>
        <w:rPr>
          <w:rFonts w:hint="eastAsia"/>
        </w:rPr>
        <w:t xml:space="preserve">标准库</w:t>
      </w:r>
      <w:r>
        <w:t xml:space="preserve"> + </w:t>
      </w:r>
      <w:r>
        <w:rPr>
          <w:rFonts w:hint="eastAsia"/>
        </w:rPr>
        <w:t xml:space="preserve">华泰skill</w:t>
      </w:r>
      <w:r>
        <w:t xml:space="preserve"> + </w:t>
      </w:r>
      <w:r>
        <w:rPr>
          <w:rFonts w:hint="eastAsia"/>
        </w:rPr>
        <w:t xml:space="preserve">东财push2ex/datacenter/F10</w:t>
      </w:r>
      <w:r>
        <w:t xml:space="preserve"> + </w:t>
      </w:r>
      <w:r>
        <w:rPr>
          <w:rFonts w:hint="eastAsia"/>
        </w:rPr>
        <w:t xml:space="preserve">东方财富妙想mx-data/mx-search/mx-xuangu（只读增强）+</w:t>
      </w:r>
      <w:r>
        <w:t xml:space="preserve"> </w:t>
      </w:r>
      <w:r>
        <w:rPr>
          <w:rFonts w:hint="eastAsia"/>
        </w:rPr>
        <w:t xml:space="preserve">TickFlow重点股日K（只读技术校验）+</w:t>
      </w:r>
      <w:r>
        <w:t xml:space="preserve"> </w:t>
      </w:r>
      <w:r>
        <w:rPr>
          <w:rFonts w:hint="eastAsia"/>
        </w:rPr>
        <w:t xml:space="preserve">同花顺dq</w:t>
      </w:r>
      <w:r>
        <w:t xml:space="preserve"> + </w:t>
      </w:r>
      <w:r>
        <w:rPr>
          <w:rFonts w:hint="eastAsia"/>
        </w:rPr>
        <w:t xml:space="preserve">新浪/腾讯行情</w:t>
      </w:r>
      <w:r>
        <w:t xml:space="preserve"> + </w:t>
      </w:r>
      <w:r>
        <w:rPr>
          <w:rFonts w:hint="eastAsia"/>
        </w:rPr>
        <w:t xml:space="preserve">financial_rigor验算</w:t>
      </w:r>
      <w:r>
        <w:br/>
      </w:r>
      <w:r>
        <w:t xml:space="preserve">🔴 </w:t>
      </w:r>
      <w:r>
        <w:rPr>
          <w:rFonts w:hint="eastAsia"/>
        </w:rPr>
        <w:t xml:space="preserve">分析+写稿模型：GPT-5.5</w:t>
      </w:r>
      <w:r>
        <w:t xml:space="preserve"> (openai-codex)</w:t>
      </w:r>
      <w:r>
        <w:br/>
      </w:r>
      <w:r>
        <w:t xml:space="preserve">📄 </w:t>
      </w:r>
      <w:r>
        <w:rPr>
          <w:rFonts w:hint="eastAsia"/>
        </w:rPr>
        <w:t xml:space="preserve">文档生成：pandoc</w:t>
      </w:r>
      <w:r>
        <w:t xml:space="preserve"> (markdown → docx)</w:t>
      </w:r>
    </w:p>
    <w:bookmarkEnd w:id="77"/>
    <w:bookmarkEnd w:id="78"/>
    <w:bookmarkEnd w:id="7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1"/>
  </w:num>
  <w:num w:numId="1011">
    <w:abstractNumId w:val="991"/>
  </w:num>
  <w:num w:numId="1012">
    <w:abstractNumId w:val="991"/>
  </w:num>
  <w:num w:numId="1013">
    <w:abstractNumId w:val="991"/>
  </w:num>
  <w:num w:numId="1014">
    <w:abstractNumId w:val="991"/>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1"/>
  </w:num>
  <w:num w:numId="1028">
    <w:abstractNumId w:val="991"/>
  </w:num>
  <w:num w:numId="1029">
    <w:abstractNumId w:val="991"/>
  </w:num>
  <w:num w:numId="1030">
    <w:abstractNumId w:val="991"/>
  </w:num>
  <w:num w:numId="1031">
    <w:abstractNumId w:val="991"/>
  </w:num>
  <w:num w:numId="1032">
    <w:abstractNumId w:val="991"/>
  </w:num>
  <w:num w:numId="1033">
    <w:abstractNumId w:val="991"/>
  </w:num>
  <w:num w:numId="1034">
    <w:abstractNumId w:val="991"/>
  </w:num>
  <w:num w:numId="1035">
    <w:abstractNumId w:val="991"/>
  </w:num>
  <w:num w:numId="1036">
    <w:abstractNumId w:val="991"/>
  </w:num>
  <w:num w:numId="1037">
    <w:abstractNumId w:val="991"/>
  </w:num>
  <w:num w:numId="1038">
    <w:abstractNumId w:val="991"/>
  </w:num>
  <w:num w:numId="1039">
    <w:abstractNumId w:val="991"/>
  </w:num>
  <w:num w:numId="1040">
    <w:abstractNumId w:val="991"/>
  </w:num>
  <w:num w:numId="1041">
    <w:abstractNumId w:val="991"/>
  </w:num>
  <w:num w:numId="1042">
    <w:abstractNumId w:val="991"/>
  </w:num>
  <w:num w:numId="1043">
    <w:abstractNumId w:val="991"/>
  </w:num>
  <w:num w:numId="1044">
    <w:abstractNumId w:val="991"/>
  </w:num>
  <w:num w:numId="1045">
    <w:abstractNumId w:val="991"/>
  </w:num>
  <w:num w:numId="1046">
    <w:abstractNumId w:val="991"/>
  </w:num>
  <w:num w:numId="1047">
    <w:abstractNumId w:val="991"/>
  </w:num>
  <w:num w:numId="1048">
    <w:abstractNumId w:val="991"/>
  </w:num>
  <w:num w:numId="1049">
    <w:abstractNumId w:val="991"/>
  </w:num>
  <w:num w:numId="1050">
    <w:abstractNumId w:val="991"/>
  </w:num>
  <w:num w:numId="1051">
    <w:abstractNumId w:val="991"/>
  </w:num>
  <w:num w:numId="1052">
    <w:abstractNumId w:val="991"/>
  </w:num>
  <w:num w:numId="1053">
    <w:abstractNumId w:val="991"/>
  </w:num>
  <w:num w:numId="1054">
    <w:abstractNumId w:val="991"/>
  </w:num>
  <w:num w:numId="1055">
    <w:abstractNumId w:val="991"/>
  </w:num>
  <w:num w:numId="105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7">
    <w:abstractNumId w:val="991"/>
  </w:num>
  <w:num w:numId="1058">
    <w:abstractNumId w:val="991"/>
  </w:num>
  <w:num w:numId="105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0">
    <w:abstractNumId w:val="991"/>
  </w:num>
  <w:num w:numId="1061">
    <w:abstractNumId w:val="991"/>
  </w:num>
  <w:num w:numId="1062">
    <w:abstractNumId w:val="991"/>
  </w:num>
  <w:num w:numId="106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2026-08-26T00:42:19Z</dcterms:created>
  <dcterms:modified xsi:type="dcterms:W3CDTF">2026-08-26T00:42:19Z</dcterms:modified>
</cp:coreProperties>
</file>

<file path=docProps/custom.xml><?xml version="1.0" encoding="utf-8"?>
<Properties xmlns="http://schemas.openxmlformats.org/officeDocument/2006/custom-properties" xmlns:vt="http://schemas.openxmlformats.org/officeDocument/2006/docPropsVTypes"/>
</file>