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4" w:name="奇迹早知道2026-08-25-盘前简报"/>
    <w:p>
      <w:pPr>
        <w:pStyle w:val="Heading1"/>
      </w:pPr>
      <w:r>
        <w:t xml:space="preserve">🌅 </w:t>
      </w:r>
      <w:r>
        <w:rPr>
          <w:rFonts w:hint="eastAsia"/>
        </w:rPr>
        <w:t xml:space="preserve">奇迹早知道｜2026-08-25</w:t>
      </w:r>
      <w:r>
        <w:t xml:space="preserve"> </w:t>
      </w:r>
      <w:r>
        <w:rPr>
          <w:rFonts w:hint="eastAsia"/>
        </w:rPr>
        <w:t xml:space="preserve">盘前简报</w:t>
      </w:r>
    </w:p>
    <w:bookmarkStart w:id="11" w:name="隔夜全球市场美股科技承压黄金走强a50小幅回落"/>
    <w:p>
      <w:pPr>
        <w:pStyle w:val="Heading2"/>
      </w:pPr>
      <w:r>
        <w:t xml:space="preserve">🌍 </w:t>
      </w:r>
      <w:r>
        <w:rPr>
          <w:rFonts w:hint="eastAsia"/>
        </w:rPr>
        <w:t xml:space="preserve">隔夜全球市场：美股科技承压，黄金走强，A50小幅回落</w:t>
      </w:r>
    </w:p>
    <w:bookmarkStart w:id="9" w:name="主要指数与外盘信号"/>
    <w:p>
      <w:pPr>
        <w:pStyle w:val="Heading3"/>
      </w:pPr>
      <w:r>
        <w:t xml:space="preserve">📈🔴 </w:t>
      </w:r>
      <w:r>
        <w:rPr>
          <w:rFonts w:hint="eastAsia"/>
        </w:rPr>
        <w:t xml:space="preserve">主要指数与外盘信号</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市场</w:t>
            </w:r>
          </w:p>
        </w:tc>
        <w:tc>
          <w:tcPr/>
          <w:p>
            <w:pPr>
              <w:pStyle w:val="Compact"/>
              <w:jc w:val="right"/>
            </w:pPr>
            <w:r>
              <w:rPr>
                <w:rFonts w:hint="eastAsia"/>
              </w:rPr>
              <w:t xml:space="preserve">最新点位/价格</w:t>
            </w:r>
          </w:p>
        </w:tc>
        <w:tc>
          <w:tcPr/>
          <w:p>
            <w:pPr>
              <w:pStyle w:val="Compact"/>
              <w:jc w:val="right"/>
            </w:pPr>
            <w:r>
              <w:rPr>
                <w:rFonts w:hint="eastAsia"/>
              </w:rPr>
              <w:t xml:space="preserve">涨跌幅</w:t>
            </w:r>
          </w:p>
        </w:tc>
        <w:tc>
          <w:tcPr/>
          <w:p>
            <w:pPr>
              <w:pStyle w:val="Compact"/>
            </w:pPr>
            <w:r>
              <w:rPr>
                <w:rFonts w:hint="eastAsia"/>
              </w:rPr>
              <w:t xml:space="preserve">盘前含义</w:t>
            </w:r>
          </w:p>
        </w:tc>
      </w:tr>
      <w:tr>
        <w:tc>
          <w:tcPr/>
          <w:p>
            <w:pPr>
              <w:pStyle w:val="Compact"/>
            </w:pPr>
            <w:r>
              <w:rPr>
                <w:rFonts w:hint="eastAsia"/>
              </w:rPr>
              <w:t xml:space="preserve">道琼斯</w:t>
            </w:r>
          </w:p>
        </w:tc>
        <w:tc>
          <w:tcPr/>
          <w:p>
            <w:pPr>
              <w:pStyle w:val="Compact"/>
              <w:jc w:val="right"/>
            </w:pPr>
            <w:r>
              <w:t xml:space="preserve">53417.1602</w:t>
            </w:r>
          </w:p>
        </w:tc>
        <w:tc>
          <w:tcPr/>
          <w:p>
            <w:pPr>
              <w:pStyle w:val="Compact"/>
              <w:jc w:val="right"/>
            </w:pPr>
            <w:r>
              <w:t xml:space="preserve">📈 +0.26%</w:t>
            </w:r>
          </w:p>
        </w:tc>
        <w:tc>
          <w:tcPr/>
          <w:p>
            <w:pPr>
              <w:pStyle w:val="Compact"/>
            </w:pPr>
            <w:r>
              <w:rPr>
                <w:rFonts w:hint="eastAsia"/>
              </w:rPr>
              <w:t xml:space="preserve">价值/防御相对占优</w:t>
            </w:r>
          </w:p>
        </w:tc>
      </w:tr>
      <w:tr>
        <w:tc>
          <w:tcPr/>
          <w:p>
            <w:pPr>
              <w:pStyle w:val="Compact"/>
            </w:pPr>
            <w:r>
              <w:rPr>
                <w:rFonts w:hint="eastAsia"/>
              </w:rPr>
              <w:t xml:space="preserve">纳斯达克</w:t>
            </w:r>
          </w:p>
        </w:tc>
        <w:tc>
          <w:tcPr/>
          <w:p>
            <w:pPr>
              <w:pStyle w:val="Compact"/>
              <w:jc w:val="right"/>
            </w:pPr>
            <w:r>
              <w:t xml:space="preserve">25980.1905</w:t>
            </w:r>
          </w:p>
        </w:tc>
        <w:tc>
          <w:tcPr/>
          <w:p>
            <w:pPr>
              <w:pStyle w:val="Compact"/>
              <w:jc w:val="right"/>
            </w:pPr>
            <w:r>
              <w:t xml:space="preserve">📉 -0.76%</w:t>
            </w:r>
          </w:p>
        </w:tc>
        <w:tc>
          <w:tcPr/>
          <w:p>
            <w:pPr>
              <w:pStyle w:val="Compact"/>
            </w:pPr>
            <w:r>
              <w:rPr>
                <w:rFonts w:hint="eastAsia"/>
              </w:rPr>
              <w:t xml:space="preserve">科技成长承压</w:t>
            </w:r>
          </w:p>
        </w:tc>
      </w:tr>
      <w:tr>
        <w:tc>
          <w:tcPr/>
          <w:p>
            <w:pPr>
              <w:pStyle w:val="Compact"/>
            </w:pPr>
            <w:r>
              <w:rPr>
                <w:rFonts w:hint="eastAsia"/>
              </w:rPr>
              <w:t xml:space="preserve">标普500</w:t>
            </w:r>
          </w:p>
        </w:tc>
        <w:tc>
          <w:tcPr/>
          <w:p>
            <w:pPr>
              <w:pStyle w:val="Compact"/>
              <w:jc w:val="right"/>
            </w:pPr>
            <w:r>
              <w:t xml:space="preserve">7652.8599</w:t>
            </w:r>
          </w:p>
        </w:tc>
        <w:tc>
          <w:tcPr/>
          <w:p>
            <w:pPr>
              <w:pStyle w:val="Compact"/>
              <w:jc w:val="right"/>
            </w:pPr>
            <w:r>
              <w:t xml:space="preserve">📉 -0.28%</w:t>
            </w:r>
          </w:p>
        </w:tc>
        <w:tc>
          <w:tcPr/>
          <w:p>
            <w:pPr>
              <w:pStyle w:val="Compact"/>
            </w:pPr>
            <w:r>
              <w:rPr>
                <w:rFonts w:hint="eastAsia"/>
              </w:rPr>
              <w:t xml:space="preserve">风险偏好降温</w:t>
            </w:r>
          </w:p>
        </w:tc>
      </w:tr>
      <w:tr>
        <w:tc>
          <w:tcPr/>
          <w:p>
            <w:pPr>
              <w:pStyle w:val="Compact"/>
            </w:pPr>
            <w:r>
              <w:rPr>
                <w:rFonts w:hint="eastAsia"/>
              </w:rPr>
              <w:t xml:space="preserve">恒生指数</w:t>
            </w:r>
          </w:p>
        </w:tc>
        <w:tc>
          <w:tcPr/>
          <w:p>
            <w:pPr>
              <w:pStyle w:val="Compact"/>
              <w:jc w:val="right"/>
            </w:pPr>
            <w:r>
              <w:t xml:space="preserve">26009.459</w:t>
            </w:r>
          </w:p>
        </w:tc>
        <w:tc>
          <w:tcPr/>
          <w:p>
            <w:pPr>
              <w:pStyle w:val="Compact"/>
              <w:jc w:val="right"/>
            </w:pPr>
            <w:r>
              <w:t xml:space="preserve">📉 -1.89%</w:t>
            </w:r>
          </w:p>
        </w:tc>
        <w:tc>
          <w:tcPr/>
          <w:p>
            <w:pPr>
              <w:pStyle w:val="Compact"/>
            </w:pPr>
            <w:r>
              <w:rPr>
                <w:rFonts w:hint="eastAsia"/>
              </w:rPr>
              <w:t xml:space="preserve">港股风险偏好偏弱</w:t>
            </w:r>
          </w:p>
        </w:tc>
      </w:tr>
      <w:tr>
        <w:tc>
          <w:tcPr/>
          <w:p>
            <w:pPr>
              <w:pStyle w:val="Compact"/>
            </w:pPr>
            <w:r>
              <w:rPr>
                <w:rFonts w:hint="eastAsia"/>
              </w:rPr>
              <w:t xml:space="preserve">富时A50期指</w:t>
            </w:r>
          </w:p>
        </w:tc>
        <w:tc>
          <w:tcPr/>
          <w:p>
            <w:pPr>
              <w:pStyle w:val="Compact"/>
              <w:jc w:val="right"/>
            </w:pPr>
            <w:r>
              <w:t xml:space="preserve">14621.47</w:t>
            </w:r>
          </w:p>
        </w:tc>
        <w:tc>
          <w:tcPr/>
          <w:p>
            <w:pPr>
              <w:pStyle w:val="Compact"/>
              <w:jc w:val="right"/>
            </w:pPr>
            <w:r>
              <w:t xml:space="preserve">📉 -0.21%</w:t>
            </w:r>
          </w:p>
        </w:tc>
        <w:tc>
          <w:tcPr/>
          <w:p>
            <w:pPr>
              <w:pStyle w:val="Compact"/>
            </w:pPr>
            <w:r>
              <w:rPr>
                <w:rFonts w:hint="eastAsia"/>
              </w:rPr>
              <w:t xml:space="preserve">A股开盘外部牵引偏谨慎</w:t>
            </w:r>
          </w:p>
        </w:tc>
      </w:tr>
    </w:tbl>
    <w:bookmarkEnd w:id="9"/>
    <w:bookmarkStart w:id="10" w:name="美股半导体5股全线下跌a股科技高位股需继续看承接"/>
    <w:p>
      <w:pPr>
        <w:pStyle w:val="Heading3"/>
      </w:pPr>
      <w:r>
        <w:t xml:space="preserve">🧠 </w:t>
      </w:r>
      <w:r>
        <w:rPr>
          <w:rFonts w:hint="eastAsia"/>
        </w:rPr>
        <w:t xml:space="preserve">美股半导体5股：全线下跌，A股科技高位股需继续看承接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r>
      <w:tr>
        <w:tc>
          <w:tcPr/>
          <w:p>
            <w:pPr>
              <w:pStyle w:val="Compact"/>
            </w:pPr>
            <w:r>
              <w:rPr>
                <w:rFonts w:hint="eastAsia"/>
              </w:rPr>
              <w:t xml:space="preserve">英伟达</w:t>
            </w:r>
          </w:p>
        </w:tc>
        <w:tc>
          <w:tcPr/>
          <w:p>
            <w:pPr>
              <w:pStyle w:val="Compact"/>
              <w:jc w:val="right"/>
            </w:pPr>
            <w:r>
              <w:t xml:space="preserve">208.48</w:t>
            </w:r>
          </w:p>
        </w:tc>
        <w:tc>
          <w:tcPr/>
          <w:p>
            <w:pPr>
              <w:pStyle w:val="Compact"/>
              <w:jc w:val="right"/>
            </w:pPr>
            <w:r>
              <w:t xml:space="preserve">📉 -2.91%</w:t>
            </w:r>
          </w:p>
        </w:tc>
      </w:tr>
      <w:tr>
        <w:tc>
          <w:tcPr/>
          <w:p>
            <w:pPr>
              <w:pStyle w:val="Compact"/>
            </w:pPr>
            <w:r>
              <w:t xml:space="preserve">AMD</w:t>
            </w:r>
          </w:p>
        </w:tc>
        <w:tc>
          <w:tcPr/>
          <w:p>
            <w:pPr>
              <w:pStyle w:val="Compact"/>
              <w:jc w:val="right"/>
            </w:pPr>
            <w:r>
              <w:t xml:space="preserve">456.745</w:t>
            </w:r>
          </w:p>
        </w:tc>
        <w:tc>
          <w:tcPr/>
          <w:p>
            <w:pPr>
              <w:pStyle w:val="Compact"/>
              <w:jc w:val="right"/>
            </w:pPr>
            <w:r>
              <w:t xml:space="preserve">📉 -3.49%</w:t>
            </w:r>
          </w:p>
        </w:tc>
      </w:tr>
      <w:tr>
        <w:tc>
          <w:tcPr/>
          <w:p>
            <w:pPr>
              <w:pStyle w:val="Compact"/>
            </w:pPr>
            <w:r>
              <w:rPr>
                <w:rFonts w:hint="eastAsia"/>
              </w:rPr>
              <w:t xml:space="preserve">台积电</w:t>
            </w:r>
          </w:p>
        </w:tc>
        <w:tc>
          <w:tcPr/>
          <w:p>
            <w:pPr>
              <w:pStyle w:val="Compact"/>
              <w:jc w:val="right"/>
            </w:pPr>
            <w:r>
              <w:t xml:space="preserve">410.12</w:t>
            </w:r>
          </w:p>
        </w:tc>
        <w:tc>
          <w:tcPr/>
          <w:p>
            <w:pPr>
              <w:pStyle w:val="Compact"/>
              <w:jc w:val="right"/>
            </w:pPr>
            <w:r>
              <w:t xml:space="preserve">📉 -2.11%</w:t>
            </w:r>
          </w:p>
        </w:tc>
      </w:tr>
      <w:tr>
        <w:tc>
          <w:tcPr/>
          <w:p>
            <w:pPr>
              <w:pStyle w:val="Compact"/>
            </w:pPr>
            <w:r>
              <w:rPr>
                <w:rFonts w:hint="eastAsia"/>
              </w:rPr>
              <w:t xml:space="preserve">博通</w:t>
            </w:r>
          </w:p>
        </w:tc>
        <w:tc>
          <w:tcPr/>
          <w:p>
            <w:pPr>
              <w:pStyle w:val="Compact"/>
              <w:jc w:val="right"/>
            </w:pPr>
            <w:r>
              <w:t xml:space="preserve">358.76</w:t>
            </w:r>
          </w:p>
        </w:tc>
        <w:tc>
          <w:tcPr/>
          <w:p>
            <w:pPr>
              <w:pStyle w:val="Compact"/>
              <w:jc w:val="right"/>
            </w:pPr>
            <w:r>
              <w:t xml:space="preserve">📉 -2.63%</w:t>
            </w:r>
          </w:p>
        </w:tc>
      </w:tr>
      <w:tr>
        <w:tc>
          <w:tcPr/>
          <w:p>
            <w:pPr>
              <w:pStyle w:val="Compact"/>
            </w:pPr>
            <w:r>
              <w:rPr>
                <w:rFonts w:hint="eastAsia"/>
              </w:rPr>
              <w:t xml:space="preserve">美光</w:t>
            </w:r>
          </w:p>
        </w:tc>
        <w:tc>
          <w:tcPr/>
          <w:p>
            <w:pPr>
              <w:pStyle w:val="Compact"/>
              <w:jc w:val="right"/>
            </w:pPr>
            <w:r>
              <w:t xml:space="preserve">910.43</w:t>
            </w:r>
          </w:p>
        </w:tc>
        <w:tc>
          <w:tcPr/>
          <w:p>
            <w:pPr>
              <w:pStyle w:val="Compact"/>
              <w:jc w:val="right"/>
            </w:pPr>
            <w:r>
              <w:t xml:space="preserve">📉 -5.83%</w:t>
            </w:r>
          </w:p>
        </w:tc>
      </w:tr>
    </w:tbl>
    <w:p>
      <w:pPr>
        <w:pStyle w:val="BodyText"/>
      </w:pPr>
      <w:r>
        <w:t xml:space="preserve">💡 </w:t>
      </w:r>
      <w:r>
        <w:rPr>
          <w:rFonts w:hint="eastAsia"/>
        </w:rPr>
        <w:t xml:space="preserve">盘前判断：</w:t>
      </w:r>
      <w:r>
        <w:t xml:space="preserve"> </w:t>
      </w:r>
      <w:r>
        <w:t xml:space="preserve">- </w:t>
      </w:r>
      <w:r>
        <w:rPr>
          <w:rFonts w:hint="eastAsia"/>
        </w:rPr>
        <w:t xml:space="preserve">美股半导体全线回撤，尤其美光📉</w:t>
      </w:r>
      <w:r>
        <w:t xml:space="preserve"> </w:t>
      </w:r>
      <w:r>
        <w:rPr>
          <w:rFonts w:hint="eastAsia"/>
        </w:rPr>
        <w:t xml:space="preserve">-5.83%，对A股存储、半导体、光模块高位链条形成情绪压制。</w:t>
      </w:r>
      <w:r>
        <w:t xml:space="preserve"> </w:t>
      </w:r>
      <w:r>
        <w:t xml:space="preserve">- </w:t>
      </w:r>
      <w:r>
        <w:rPr>
          <w:rFonts w:hint="eastAsia"/>
        </w:rPr>
        <w:t xml:space="preserve">COMEX黄金4740.72，📈</w:t>
      </w:r>
      <w:r>
        <w:t xml:space="preserve"> </w:t>
      </w:r>
      <w:r>
        <w:rPr>
          <w:rFonts w:hint="eastAsia"/>
        </w:rPr>
        <w:t xml:space="preserve">+0.91%，避险资产继续占优，利好贵金属映射。</w:t>
      </w:r>
      <w:r>
        <w:t xml:space="preserve"> </w:t>
      </w:r>
      <w:r>
        <w:t xml:space="preserve">- </w:t>
      </w:r>
      <w:r>
        <w:rPr>
          <w:rFonts w:hint="eastAsia"/>
        </w:rPr>
        <w:t xml:space="preserve">WTI原油85.077，📈</w:t>
      </w:r>
      <w:r>
        <w:t xml:space="preserve"> </w:t>
      </w:r>
      <w:r>
        <w:rPr>
          <w:rFonts w:hint="eastAsia"/>
        </w:rPr>
        <w:t xml:space="preserve">+0.08%，伦铜14261.045，📉</w:t>
      </w:r>
      <w:r>
        <w:t xml:space="preserve"> </w:t>
      </w:r>
      <w:r>
        <w:rPr>
          <w:rFonts w:hint="eastAsia"/>
        </w:rPr>
        <w:t xml:space="preserve">-0.08%，资源品内部分化，重点看黄金、煤炭、工业金属资金延续性。</w:t>
      </w:r>
    </w:p>
    <w:p>
      <w:r>
        <w:pict>
          <v:rect style="width:0;height:1.5pt" o:hralign="center" o:hrstd="t" o:hr="t"/>
        </w:pict>
      </w:r>
    </w:p>
    <w:bookmarkEnd w:id="10"/>
    <w:bookmarkEnd w:id="11"/>
    <w:bookmarkStart w:id="16" w:name="新闻联播政策面科技成果转化中东外交基层医疗与防灾应急是核心信号"/>
    <w:p>
      <w:pPr>
        <w:pStyle w:val="Heading2"/>
      </w:pPr>
      <w:r>
        <w:t xml:space="preserve">📰 </w:t>
      </w:r>
      <w:r>
        <w:rPr>
          <w:rFonts w:hint="eastAsia"/>
        </w:rPr>
        <w:t xml:space="preserve">新闻联播政策面：科技成果转化、中东外交、基层医疗与防灾应急是核心信号</w:t>
      </w:r>
    </w:p>
    <w:bookmarkStart w:id="12" w:name="科技成果转化全链条服务体系利好硬科技从研发到产业化的制度预期"/>
    <w:p>
      <w:pPr>
        <w:pStyle w:val="Heading3"/>
      </w:pPr>
      <w:r>
        <w:t xml:space="preserve">① 🔬 </w:t>
      </w:r>
      <w:r>
        <w:rPr>
          <w:rFonts w:hint="eastAsia"/>
        </w:rPr>
        <w:t xml:space="preserve">科技成果转化全链条服务体系：利好硬科技“从研发到产业化”的制度预期</w:t>
      </w:r>
    </w:p>
    <w:p>
      <w:pPr>
        <w:pStyle w:val="FirstParagraph"/>
      </w:pPr>
      <w:r>
        <w:rPr>
          <w:rFonts w:hint="eastAsia"/>
        </w:rPr>
        <w:t xml:space="preserve">新闻联播明确：</w:t>
      </w:r>
      <w:r>
        <w:t xml:space="preserve"> </w:t>
      </w:r>
      <w:r>
        <w:t xml:space="preserve">- </w:t>
      </w:r>
      <w:r>
        <w:rPr>
          <w:rFonts w:hint="eastAsia"/>
        </w:rPr>
        <w:t xml:space="preserve">国家新成立2家国家制造业创新中心，累计达到32家。</w:t>
      </w:r>
      <w:r>
        <w:t xml:space="preserve"> </w:t>
      </w:r>
      <w:r>
        <w:t xml:space="preserve">- </w:t>
      </w:r>
      <w:r>
        <w:rPr>
          <w:rFonts w:hint="eastAsia"/>
        </w:rPr>
        <w:t xml:space="preserve">形成21家国家级制造业中试平台和1800多家储备平台组成的中试服务网络。</w:t>
      </w:r>
      <w:r>
        <w:t xml:space="preserve"> </w:t>
      </w:r>
      <w:r>
        <w:t xml:space="preserve">- </w:t>
      </w:r>
      <w:r>
        <w:rPr>
          <w:rFonts w:hint="eastAsia"/>
        </w:rPr>
        <w:t xml:space="preserve">首批认定14家卓越级、402家标准级科技型企业孵化器，孵化企业和团队超过42.5万家。</w:t>
      </w:r>
      <w:r>
        <w:t xml:space="preserve"> </w:t>
      </w:r>
      <w:r>
        <w:t xml:space="preserve">- </w:t>
      </w:r>
      <w:r>
        <w:rPr>
          <w:rFonts w:hint="eastAsia"/>
        </w:rPr>
        <w:t xml:space="preserve">正在制定政策，建设国家统一技术交易服务平台。</w:t>
      </w:r>
    </w:p>
    <w:p>
      <w:pPr>
        <w:pStyle w:val="BodyText"/>
      </w:pPr>
      <w:r>
        <w:t xml:space="preserve">💡 </w:t>
      </w:r>
      <w:r>
        <w:rPr>
          <w:rFonts w:hint="eastAsia"/>
        </w:rPr>
        <w:t xml:space="preserve">A股映射：</w:t>
      </w:r>
      <w:r>
        <w:t xml:space="preserve"> </w:t>
      </w:r>
      <w:r>
        <w:t xml:space="preserve">- </w:t>
      </w:r>
      <w:r>
        <w:rPr>
          <w:rFonts w:hint="eastAsia"/>
        </w:rPr>
        <w:t xml:space="preserve">可关注：制造业创新中心、中试平台、科技成果转化、工业软件、检测认证、专精特新孵化服务。</w:t>
      </w:r>
      <w:r>
        <w:t xml:space="preserve"> </w:t>
      </w:r>
      <w:r>
        <w:t xml:space="preserve">- </w:t>
      </w:r>
      <w:r>
        <w:rPr>
          <w:rFonts w:hint="eastAsia"/>
        </w:rPr>
        <w:t xml:space="preserve">对应板块：半导体设备、工业母机、机器人、AI产业化、科技服务、数据要素平台。</w:t>
      </w:r>
      <w:r>
        <w:t xml:space="preserve"> </w:t>
      </w:r>
      <w:r>
        <w:t xml:space="preserve">- </w:t>
      </w:r>
      <w:r>
        <w:rPr>
          <w:rFonts w:hint="eastAsia"/>
        </w:rPr>
        <w:t xml:space="preserve">但盘面上需服从资金现实：上一交易日半导体主力净流出-181.61亿元、通信设备净流出-140.74亿元，政策利好不能直接抵消高位兑现压力。</w:t>
      </w:r>
    </w:p>
    <w:bookmarkEnd w:id="12"/>
    <w:bookmarkStart w:id="13" w:name="中约战略伙伴关系深化一带一路中东经贸基础设施绿色能源有增量预期"/>
    <w:p>
      <w:pPr>
        <w:pStyle w:val="Heading3"/>
      </w:pPr>
      <w:r>
        <w:t xml:space="preserve">② 🌏 </w:t>
      </w:r>
      <w:r>
        <w:rPr>
          <w:rFonts w:hint="eastAsia"/>
        </w:rPr>
        <w:t xml:space="preserve">中约战略伙伴关系深化：一带一路、中东经贸、基础设施、绿色能源有增量预期</w:t>
      </w:r>
    </w:p>
    <w:p>
      <w:pPr>
        <w:pStyle w:val="FirstParagraph"/>
      </w:pPr>
      <w:r>
        <w:rPr>
          <w:rFonts w:hint="eastAsia"/>
        </w:rPr>
        <w:t xml:space="preserve">中约会谈提到：</w:t>
      </w:r>
      <w:r>
        <w:t xml:space="preserve"> </w:t>
      </w:r>
      <w:r>
        <w:t xml:space="preserve">- </w:t>
      </w:r>
      <w:r>
        <w:rPr>
          <w:rFonts w:hint="eastAsia"/>
        </w:rPr>
        <w:t xml:space="preserve">深化经贸、基础设施建设、交通、矿产等传统领域合作。</w:t>
      </w:r>
      <w:r>
        <w:t xml:space="preserve"> </w:t>
      </w:r>
      <w:r>
        <w:t xml:space="preserve">- </w:t>
      </w:r>
      <w:r>
        <w:rPr>
          <w:rFonts w:hint="eastAsia"/>
        </w:rPr>
        <w:t xml:space="preserve">拓展数字经济、人工智能、绿色能源等新合作增长点。</w:t>
      </w:r>
      <w:r>
        <w:t xml:space="preserve"> </w:t>
      </w:r>
      <w:r>
        <w:t xml:space="preserve">- </w:t>
      </w:r>
      <w:r>
        <w:rPr>
          <w:rFonts w:hint="eastAsia"/>
        </w:rPr>
        <w:t xml:space="preserve">双方签署外交、经贸、产供链、司法等领域多项合作文件。</w:t>
      </w:r>
    </w:p>
    <w:p>
      <w:pPr>
        <w:pStyle w:val="BodyText"/>
      </w:pPr>
      <w:r>
        <w:t xml:space="preserve">💡 </w:t>
      </w:r>
      <w:r>
        <w:rPr>
          <w:rFonts w:hint="eastAsia"/>
        </w:rPr>
        <w:t xml:space="preserve">A股映射：</w:t>
      </w:r>
      <w:r>
        <w:t xml:space="preserve"> </w:t>
      </w:r>
      <w:r>
        <w:t xml:space="preserve">- </w:t>
      </w:r>
      <w:r>
        <w:rPr>
          <w:rFonts w:hint="eastAsia"/>
        </w:rPr>
        <w:t xml:space="preserve">可关注：国际工程、轨交装备、能源建设、矿产资源开发、数字经济出海。</w:t>
      </w:r>
      <w:r>
        <w:t xml:space="preserve"> </w:t>
      </w:r>
      <w:r>
        <w:t xml:space="preserve">- </w:t>
      </w:r>
      <w:r>
        <w:rPr>
          <w:rFonts w:hint="eastAsia"/>
        </w:rPr>
        <w:t xml:space="preserve">对中东业务敞口较高的工程建设、能源服务、通信设备企业，若公告订单验证，可作为事件驱动观察。</w:t>
      </w:r>
    </w:p>
    <w:bookmarkEnd w:id="13"/>
    <w:bookmarkStart w:id="14" w:name="十五五医保助力基层卫生专项行动基层医疗服务与县域医共体方向受益"/>
    <w:p>
      <w:pPr>
        <w:pStyle w:val="Heading3"/>
      </w:pPr>
      <w:r>
        <w:t xml:space="preserve">③ 🏥 </w:t>
      </w:r>
      <w:r>
        <w:rPr>
          <w:rFonts w:hint="eastAsia"/>
        </w:rPr>
        <w:t xml:space="preserve">“十五五”医保助力基层卫生专项行动：基层医疗服务与县域医共体方向受益</w:t>
      </w:r>
    </w:p>
    <w:p>
      <w:pPr>
        <w:pStyle w:val="FirstParagraph"/>
      </w:pPr>
      <w:r>
        <w:rPr>
          <w:rFonts w:hint="eastAsia"/>
        </w:rPr>
        <w:t xml:space="preserve">联播快讯明确：</w:t>
      </w:r>
      <w:r>
        <w:t xml:space="preserve"> </w:t>
      </w:r>
      <w:r>
        <w:t xml:space="preserve">- </w:t>
      </w:r>
      <w:r>
        <w:rPr>
          <w:rFonts w:hint="eastAsia"/>
        </w:rPr>
        <w:t xml:space="preserve">医保基金对符合条件的紧密型县域医共体实行总额付费。</w:t>
      </w:r>
      <w:r>
        <w:t xml:space="preserve"> </w:t>
      </w:r>
      <w:r>
        <w:t xml:space="preserve">- </w:t>
      </w:r>
      <w:r>
        <w:rPr>
          <w:rFonts w:hint="eastAsia"/>
        </w:rPr>
        <w:t xml:space="preserve">推动医疗资源下沉。</w:t>
      </w:r>
      <w:r>
        <w:t xml:space="preserve"> </w:t>
      </w:r>
      <w:r>
        <w:t xml:space="preserve">- </w:t>
      </w:r>
      <w:r>
        <w:rPr>
          <w:rFonts w:hint="eastAsia"/>
        </w:rPr>
        <w:t xml:space="preserve">将98%以上村卫生室纳入医保定点管理。</w:t>
      </w:r>
      <w:r>
        <w:t xml:space="preserve"> </w:t>
      </w:r>
      <w:r>
        <w:t xml:space="preserve">- </w:t>
      </w:r>
      <w:r>
        <w:rPr>
          <w:rFonts w:hint="eastAsia"/>
        </w:rPr>
        <w:t xml:space="preserve">提高基层就医报销比例，引导患者基层就诊。</w:t>
      </w:r>
    </w:p>
    <w:p>
      <w:pPr>
        <w:pStyle w:val="BodyText"/>
      </w:pPr>
      <w:r>
        <w:t xml:space="preserve">💡 </w:t>
      </w:r>
      <w:r>
        <w:rPr>
          <w:rFonts w:hint="eastAsia"/>
        </w:rPr>
        <w:t xml:space="preserve">A股映射：</w:t>
      </w:r>
      <w:r>
        <w:t xml:space="preserve"> </w:t>
      </w:r>
      <w:r>
        <w:t xml:space="preserve">- </w:t>
      </w:r>
      <w:r>
        <w:rPr>
          <w:rFonts w:hint="eastAsia"/>
        </w:rPr>
        <w:t xml:space="preserve">利好基层医疗信息化、县域医疗设备、基层药品流通、智慧医保、医共体管理平台。</w:t>
      </w:r>
      <w:r>
        <w:t xml:space="preserve"> </w:t>
      </w:r>
      <w:r>
        <w:t xml:space="preserve">- </w:t>
      </w:r>
      <w:r>
        <w:rPr>
          <w:rFonts w:hint="eastAsia"/>
        </w:rPr>
        <w:t xml:space="preserve">但医疗服务上一交易日主力净流出-27.35亿元，化学制药净流出-21.86亿元，资金面未确认修复前只观察不追。</w:t>
      </w:r>
    </w:p>
    <w:bookmarkEnd w:id="14"/>
    <w:bookmarkStart w:id="15" w:name="台风与强降雨应急水利灾后恢复链条有事件驱动"/>
    <w:p>
      <w:pPr>
        <w:pStyle w:val="Heading3"/>
      </w:pPr>
      <w:r>
        <w:t xml:space="preserve">④ 🌧 </w:t>
      </w:r>
      <w:r>
        <w:rPr>
          <w:rFonts w:hint="eastAsia"/>
        </w:rPr>
        <w:t xml:space="preserve">台风与强降雨：应急、水利、灾后恢复链条有事件驱动</w:t>
      </w:r>
    </w:p>
    <w:p>
      <w:pPr>
        <w:pStyle w:val="FirstParagraph"/>
      </w:pPr>
      <w:r>
        <w:rPr>
          <w:rFonts w:hint="eastAsia"/>
        </w:rPr>
        <w:t xml:space="preserve">新闻联播披露：</w:t>
      </w:r>
      <w:r>
        <w:t xml:space="preserve"> </w:t>
      </w:r>
      <w:r>
        <w:t xml:space="preserve">- </w:t>
      </w:r>
      <w:r>
        <w:rPr>
          <w:rFonts w:hint="eastAsia"/>
        </w:rPr>
        <w:t xml:space="preserve">中国气象局将重大气象灾害应急响应升级为三级。</w:t>
      </w:r>
      <w:r>
        <w:t xml:space="preserve"> </w:t>
      </w:r>
      <w:r>
        <w:t xml:space="preserve">- </w:t>
      </w:r>
      <w:r>
        <w:rPr>
          <w:rFonts w:hint="eastAsia"/>
        </w:rPr>
        <w:t xml:space="preserve">国家防灾减灾救灾委员会、应急管理部启动国家四级救灾应急响应。</w:t>
      </w:r>
      <w:r>
        <w:t xml:space="preserve"> </w:t>
      </w:r>
      <w:r>
        <w:t xml:space="preserve">- </w:t>
      </w:r>
      <w:r>
        <w:rPr>
          <w:rFonts w:hint="eastAsia"/>
        </w:rPr>
        <w:t xml:space="preserve">国家发改委紧急安排中央预算内投资5000万元，支持广西灾后应急恢复。</w:t>
      </w:r>
    </w:p>
    <w:p>
      <w:pPr>
        <w:pStyle w:val="BodyText"/>
      </w:pPr>
      <w:r>
        <w:t xml:space="preserve">💡 </w:t>
      </w:r>
      <w:r>
        <w:rPr>
          <w:rFonts w:hint="eastAsia"/>
        </w:rPr>
        <w:t xml:space="preserve">A股映射：</w:t>
      </w:r>
      <w:r>
        <w:t xml:space="preserve"> </w:t>
      </w:r>
      <w:r>
        <w:t xml:space="preserve">- </w:t>
      </w:r>
      <w:r>
        <w:rPr>
          <w:rFonts w:hint="eastAsia"/>
        </w:rPr>
        <w:t xml:space="preserve">应急装备、防汛排涝、水利建设、灾后修复、工程机械、建材区域链条可能出现短线催化。</w:t>
      </w:r>
      <w:r>
        <w:t xml:space="preserve"> </w:t>
      </w:r>
      <w:r>
        <w:t xml:space="preserve">- </w:t>
      </w:r>
      <w:r>
        <w:rPr>
          <w:rFonts w:hint="eastAsia"/>
        </w:rPr>
        <w:t xml:space="preserve">事件弹性优先看低位、成交温和放大、非高位拥挤标的。</w:t>
      </w:r>
    </w:p>
    <w:p>
      <w:r>
        <w:pict>
          <v:rect style="width:0;height:1.5pt" o:hralign="center" o:hrstd="t" o:hr="t"/>
        </w:pict>
      </w:r>
    </w:p>
    <w:bookmarkEnd w:id="15"/>
    <w:bookmarkEnd w:id="16"/>
    <w:bookmarkStart w:id="19" w:name="今日公告公告主源可用但分页截断优先保留交易所巨潮公告型信息"/>
    <w:p>
      <w:pPr>
        <w:pStyle w:val="Heading2"/>
      </w:pPr>
      <w:r>
        <w:t xml:space="preserve">📌 </w:t>
      </w:r>
      <w:r>
        <w:rPr>
          <w:rFonts w:hint="eastAsia"/>
        </w:rPr>
        <w:t xml:space="preserve">今日公告：公告主源可用但分页截断，优先保留交易所/巨潮公告型信息</w:t>
      </w:r>
    </w:p>
    <w:p>
      <w:pPr>
        <w:pStyle w:val="FirstParagraph"/>
      </w:pPr>
      <w:r>
        <w:rPr>
          <w:rFonts w:hint="eastAsia"/>
        </w:rPr>
        <w:t xml:space="preserve">公告来源：cninfo_his_announcement；请求日期2026-08-25；pages_fetched</w:t>
      </w:r>
      <w:r>
        <w:t xml:space="preserve"> </w:t>
      </w:r>
      <w:r>
        <w:rPr>
          <w:rFonts w:hint="eastAsia"/>
        </w:rPr>
        <w:t xml:space="preserve">174；总预算90.0秒；elapsed_seconds</w:t>
      </w:r>
      <w:r>
        <w:t xml:space="preserve"> </w:t>
      </w:r>
      <w:r>
        <w:rPr>
          <w:rFonts w:hint="eastAsia"/>
        </w:rPr>
        <w:t xml:space="preserve">57.021秒；status=partial_truncated。主源存在HTTP</w:t>
      </w:r>
      <w:r>
        <w:t xml:space="preserve"> Error </w:t>
      </w:r>
      <w:r>
        <w:rPr>
          <w:rFonts w:hint="eastAsia"/>
        </w:rPr>
        <w:t xml:space="preserve">567后使用历史公告接口降级，数据为公告型主链，部分深分页截断。</w:t>
      </w:r>
    </w:p>
    <w:bookmarkStart w:id="17" w:name="重点公告清单"/>
    <w:p>
      <w:pPr>
        <w:pStyle w:val="Heading3"/>
      </w:pPr>
      <w:r>
        <w:t xml:space="preserve">📄 </w:t>
      </w:r>
      <w:r>
        <w:rPr>
          <w:rFonts w:hint="eastAsia"/>
        </w:rPr>
        <w:t xml:space="preserve">重点公告清单</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公司</w:t>
            </w:r>
          </w:p>
        </w:tc>
        <w:tc>
          <w:tcPr/>
          <w:p>
            <w:pPr>
              <w:pStyle w:val="Compact"/>
            </w:pPr>
            <w:r>
              <w:rPr>
                <w:rFonts w:hint="eastAsia"/>
              </w:rPr>
              <w:t xml:space="preserve">代码</w:t>
            </w:r>
          </w:p>
        </w:tc>
        <w:tc>
          <w:tcPr/>
          <w:p>
            <w:pPr>
              <w:pStyle w:val="Compact"/>
            </w:pPr>
            <w:r>
              <w:rPr>
                <w:rFonts w:hint="eastAsia"/>
              </w:rPr>
              <w:t xml:space="preserve">公告要点</w:t>
            </w:r>
          </w:p>
        </w:tc>
        <w:tc>
          <w:tcPr/>
          <w:p>
            <w:pPr>
              <w:pStyle w:val="Compact"/>
            </w:pPr>
            <w:r>
              <w:rPr>
                <w:rFonts w:hint="eastAsia"/>
              </w:rPr>
              <w:t xml:space="preserve">影响判断</w:t>
            </w:r>
          </w:p>
        </w:tc>
      </w:tr>
      <w:tr>
        <w:tc>
          <w:tcPr/>
          <w:p>
            <w:pPr>
              <w:pStyle w:val="Compact"/>
            </w:pPr>
            <w:r>
              <w:rPr>
                <w:rFonts w:hint="eastAsia"/>
              </w:rPr>
              <w:t xml:space="preserve">康希通信</w:t>
            </w:r>
          </w:p>
        </w:tc>
        <w:tc>
          <w:tcPr/>
          <w:p>
            <w:pPr>
              <w:pStyle w:val="Compact"/>
            </w:pPr>
            <w:r>
              <w:t xml:space="preserve">688653</w:t>
            </w:r>
          </w:p>
        </w:tc>
        <w:tc>
          <w:tcPr/>
          <w:p>
            <w:pPr>
              <w:pStyle w:val="Compact"/>
            </w:pPr>
            <w:r>
              <w:rPr>
                <w:rFonts w:hint="eastAsia"/>
              </w:rPr>
              <w:t xml:space="preserve">2026年半年度报告、半年度报告摘要、计提资产减值准备、收购成都知融科技部分股权</w:t>
            </w:r>
          </w:p>
        </w:tc>
        <w:tc>
          <w:tcPr/>
          <w:p>
            <w:pPr>
              <w:pStyle w:val="Compact"/>
            </w:pPr>
            <w:r>
              <w:rPr>
                <w:rFonts w:hint="eastAsia"/>
              </w:rPr>
              <w:t xml:space="preserve">中报与资产减值并存，需看利润质量</w:t>
            </w:r>
          </w:p>
        </w:tc>
      </w:tr>
      <w:tr>
        <w:tc>
          <w:tcPr/>
          <w:p>
            <w:pPr>
              <w:pStyle w:val="Compact"/>
            </w:pPr>
            <w:r>
              <w:rPr>
                <w:rFonts w:hint="eastAsia"/>
              </w:rPr>
              <w:t xml:space="preserve">瑞松科技</w:t>
            </w:r>
          </w:p>
        </w:tc>
        <w:tc>
          <w:tcPr/>
          <w:p>
            <w:pPr>
              <w:pStyle w:val="Compact"/>
            </w:pPr>
            <w:r>
              <w:t xml:space="preserve">688090</w:t>
            </w:r>
          </w:p>
        </w:tc>
        <w:tc>
          <w:tcPr/>
          <w:p>
            <w:pPr>
              <w:pStyle w:val="Compact"/>
            </w:pPr>
            <w:r>
              <w:rPr>
                <w:rFonts w:hint="eastAsia"/>
              </w:rPr>
              <w:t xml:space="preserve">向特定对象发行A股股票申请获上交所受理，披露募集说明书及保荐文件</w:t>
            </w:r>
          </w:p>
        </w:tc>
        <w:tc>
          <w:tcPr/>
          <w:p>
            <w:pPr>
              <w:pStyle w:val="Compact"/>
            </w:pPr>
            <w:r>
              <w:rPr>
                <w:rFonts w:hint="eastAsia"/>
              </w:rPr>
              <w:t xml:space="preserve">再融资推进，短期看摊薄与项目质量</w:t>
            </w:r>
          </w:p>
        </w:tc>
      </w:tr>
      <w:tr>
        <w:tc>
          <w:tcPr/>
          <w:p>
            <w:pPr>
              <w:pStyle w:val="Compact"/>
            </w:pPr>
            <w:r>
              <w:rPr>
                <w:rFonts w:hint="eastAsia"/>
              </w:rPr>
              <w:t xml:space="preserve">药明康德</w:t>
            </w:r>
          </w:p>
        </w:tc>
        <w:tc>
          <w:tcPr/>
          <w:p>
            <w:pPr>
              <w:pStyle w:val="Compact"/>
            </w:pPr>
            <w:r>
              <w:t xml:space="preserve">603259</w:t>
            </w:r>
          </w:p>
        </w:tc>
        <w:tc>
          <w:tcPr/>
          <w:p>
            <w:pPr>
              <w:pStyle w:val="Compact"/>
            </w:pPr>
            <w:r>
              <w:rPr>
                <w:rFonts w:hint="eastAsia"/>
              </w:rPr>
              <w:t xml:space="preserve">自愿性公告</w:t>
            </w:r>
          </w:p>
        </w:tc>
        <w:tc>
          <w:tcPr/>
          <w:p>
            <w:pPr>
              <w:pStyle w:val="Compact"/>
            </w:pPr>
            <w:r>
              <w:rPr>
                <w:rFonts w:hint="eastAsia"/>
              </w:rPr>
              <w:t xml:space="preserve">需结合公告全文，不单独外推利好</w:t>
            </w:r>
          </w:p>
        </w:tc>
      </w:tr>
      <w:tr>
        <w:tc>
          <w:tcPr/>
          <w:p>
            <w:pPr>
              <w:pStyle w:val="Compact"/>
            </w:pPr>
            <w:r>
              <w:rPr>
                <w:rFonts w:hint="eastAsia"/>
              </w:rPr>
              <w:t xml:space="preserve">*ST尼雅</w:t>
            </w:r>
          </w:p>
        </w:tc>
        <w:tc>
          <w:tcPr/>
          <w:p>
            <w:pPr>
              <w:pStyle w:val="Compact"/>
            </w:pPr>
            <w:r>
              <w:t xml:space="preserve">600084</w:t>
            </w:r>
          </w:p>
        </w:tc>
        <w:tc>
          <w:tcPr/>
          <w:p>
            <w:pPr>
              <w:pStyle w:val="Compact"/>
            </w:pPr>
            <w:r>
              <w:rPr>
                <w:rFonts w:hint="eastAsia"/>
              </w:rPr>
              <w:t xml:space="preserve">董事会会议决议公告、半年度报告相关文件</w:t>
            </w:r>
          </w:p>
        </w:tc>
        <w:tc>
          <w:tcPr/>
          <w:p>
            <w:pPr>
              <w:pStyle w:val="Compact"/>
            </w:pPr>
            <w:r>
              <w:rPr>
                <w:rFonts w:hint="eastAsia"/>
              </w:rPr>
              <w:t xml:space="preserve">ST属性下风险优先</w:t>
            </w:r>
          </w:p>
        </w:tc>
      </w:tr>
      <w:tr>
        <w:tc>
          <w:tcPr/>
          <w:p>
            <w:pPr>
              <w:pStyle w:val="Compact"/>
            </w:pPr>
            <w:r>
              <w:rPr>
                <w:rFonts w:hint="eastAsia"/>
              </w:rPr>
              <w:t xml:space="preserve">ST椰岛</w:t>
            </w:r>
          </w:p>
        </w:tc>
        <w:tc>
          <w:tcPr/>
          <w:p>
            <w:pPr>
              <w:pStyle w:val="Compact"/>
            </w:pPr>
            <w:r>
              <w:t xml:space="preserve">600238</w:t>
            </w:r>
          </w:p>
        </w:tc>
        <w:tc>
          <w:tcPr/>
          <w:p>
            <w:pPr>
              <w:pStyle w:val="Compact"/>
            </w:pPr>
            <w:r>
              <w:rPr>
                <w:rFonts w:hint="eastAsia"/>
              </w:rPr>
              <w:t xml:space="preserve">2026年半年度报告、经营数据公告</w:t>
            </w:r>
          </w:p>
        </w:tc>
        <w:tc>
          <w:tcPr/>
          <w:p>
            <w:pPr>
              <w:pStyle w:val="Compact"/>
            </w:pPr>
            <w:r>
              <w:rPr>
                <w:rFonts w:hint="eastAsia"/>
              </w:rPr>
              <w:t xml:space="preserve">业绩与经营质量待核验</w:t>
            </w:r>
          </w:p>
        </w:tc>
      </w:tr>
    </w:tbl>
    <w:bookmarkEnd w:id="17"/>
    <w:bookmarkStart w:id="18" w:name="公告风险数量"/>
    <w:p>
      <w:pPr>
        <w:pStyle w:val="Heading3"/>
      </w:pPr>
      <w:r>
        <w:t xml:space="preserve">⚠️ </w:t>
      </w:r>
      <w:r>
        <w:rPr>
          <w:rFonts w:hint="eastAsia"/>
        </w:rPr>
        <w:t xml:space="preserve">公告风险数量</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类型</w:t>
            </w:r>
          </w:p>
        </w:tc>
        <w:tc>
          <w:tcPr/>
          <w:p>
            <w:pPr>
              <w:pStyle w:val="Compact"/>
              <w:jc w:val="right"/>
            </w:pPr>
            <w:r>
              <w:rPr>
                <w:rFonts w:hint="eastAsia"/>
              </w:rPr>
              <w:t xml:space="preserve">数量</w:t>
            </w:r>
          </w:p>
        </w:tc>
      </w:tr>
      <w:tr>
        <w:tc>
          <w:tcPr/>
          <w:p>
            <w:pPr>
              <w:pStyle w:val="Compact"/>
            </w:pPr>
            <w:r>
              <w:rPr>
                <w:rFonts w:hint="eastAsia"/>
              </w:rPr>
              <w:t xml:space="preserve">解禁</w:t>
            </w:r>
          </w:p>
        </w:tc>
        <w:tc>
          <w:tcPr/>
          <w:p>
            <w:pPr>
              <w:pStyle w:val="Compact"/>
              <w:jc w:val="right"/>
            </w:pPr>
            <w:r>
              <w:t xml:space="preserve">28</w:t>
            </w:r>
          </w:p>
        </w:tc>
      </w:tr>
      <w:tr>
        <w:tc>
          <w:tcPr/>
          <w:p>
            <w:pPr>
              <w:pStyle w:val="Compact"/>
            </w:pPr>
            <w:r>
              <w:rPr>
                <w:rFonts w:hint="eastAsia"/>
              </w:rPr>
              <w:t xml:space="preserve">减持</w:t>
            </w:r>
          </w:p>
        </w:tc>
        <w:tc>
          <w:tcPr/>
          <w:p>
            <w:pPr>
              <w:pStyle w:val="Compact"/>
              <w:jc w:val="right"/>
            </w:pPr>
            <w:r>
              <w:t xml:space="preserve">21</w:t>
            </w:r>
          </w:p>
        </w:tc>
      </w:tr>
      <w:tr>
        <w:tc>
          <w:tcPr/>
          <w:p>
            <w:pPr>
              <w:pStyle w:val="Compact"/>
            </w:pPr>
            <w:r>
              <w:rPr>
                <w:rFonts w:hint="eastAsia"/>
              </w:rPr>
              <w:t xml:space="preserve">半年报/业绩类</w:t>
            </w:r>
          </w:p>
        </w:tc>
        <w:tc>
          <w:tcPr/>
          <w:p>
            <w:pPr>
              <w:pStyle w:val="Compact"/>
              <w:jc w:val="right"/>
            </w:pPr>
            <w:r>
              <w:t xml:space="preserve">1268</w:t>
            </w:r>
          </w:p>
        </w:tc>
      </w:tr>
      <w:tr>
        <w:tc>
          <w:tcPr/>
          <w:p>
            <w:pPr>
              <w:pStyle w:val="Compact"/>
            </w:pPr>
            <w:r>
              <w:rPr>
                <w:rFonts w:hint="eastAsia"/>
              </w:rPr>
              <w:t xml:space="preserve">问询函</w:t>
            </w:r>
          </w:p>
        </w:tc>
        <w:tc>
          <w:tcPr/>
          <w:p>
            <w:pPr>
              <w:pStyle w:val="Compact"/>
              <w:jc w:val="right"/>
            </w:pPr>
            <w:r>
              <w:t xml:space="preserve">10</w:t>
            </w:r>
          </w:p>
        </w:tc>
      </w:tr>
      <w:tr>
        <w:tc>
          <w:tcPr/>
          <w:p>
            <w:pPr>
              <w:pStyle w:val="Compact"/>
            </w:pPr>
            <w:r>
              <w:rPr>
                <w:rFonts w:hint="eastAsia"/>
              </w:rPr>
              <w:t xml:space="preserve">资产减值</w:t>
            </w:r>
          </w:p>
        </w:tc>
        <w:tc>
          <w:tcPr/>
          <w:p>
            <w:pPr>
              <w:pStyle w:val="Compact"/>
              <w:jc w:val="right"/>
            </w:pPr>
            <w:r>
              <w:t xml:space="preserve">154</w:t>
            </w:r>
          </w:p>
        </w:tc>
      </w:tr>
    </w:tbl>
    <w:p>
      <w:pPr>
        <w:pStyle w:val="BodyText"/>
      </w:pPr>
      <w:r>
        <w:t xml:space="preserve">💡 </w:t>
      </w:r>
      <w:r>
        <w:rPr>
          <w:rFonts w:hint="eastAsia"/>
        </w:rPr>
        <w:t xml:space="preserve">盘前要点：</w:t>
      </w:r>
      <w:r>
        <w:t xml:space="preserve"> </w:t>
      </w:r>
      <w:r>
        <w:t xml:space="preserve">- </w:t>
      </w:r>
      <w:r>
        <w:rPr>
          <w:rFonts w:hint="eastAsia"/>
        </w:rPr>
        <w:t xml:space="preserve">半年报披露密集，业绩主线与减值雷并存。</w:t>
      </w:r>
      <w:r>
        <w:t xml:space="preserve"> </w:t>
      </w:r>
      <w:r>
        <w:t xml:space="preserve">- </w:t>
      </w:r>
      <w:r>
        <w:rPr>
          <w:rFonts w:hint="eastAsia"/>
        </w:rPr>
        <w:t xml:space="preserve">对科技成长股，不能只看营收/净利同比，要同步核查应收、存货、现金流与估值。</w:t>
      </w:r>
      <w:r>
        <w:t xml:space="preserve"> </w:t>
      </w:r>
      <w:r>
        <w:t xml:space="preserve">- </w:t>
      </w:r>
      <w:r>
        <w:rPr>
          <w:rFonts w:hint="eastAsia"/>
        </w:rPr>
        <w:t xml:space="preserve">今日回避公告中出现“减持、减值、问询、ST退市风险、再融资摊薄”且股价处于高位破位的标的。</w:t>
      </w:r>
    </w:p>
    <w:p>
      <w:r>
        <w:pict>
          <v:rect style="width:0;height:1.5pt" o:hralign="center" o:hrstd="t" o:hr="t"/>
        </w:pict>
      </w:r>
    </w:p>
    <w:bookmarkEnd w:id="18"/>
    <w:bookmarkEnd w:id="19"/>
    <w:bookmarkStart w:id="22" w:name="经济数据与事件mlf流动性与财报季是盘前关键变量"/>
    <w:p>
      <w:pPr>
        <w:pStyle w:val="Heading2"/>
      </w:pPr>
      <w:r>
        <w:t xml:space="preserve">📅 </w:t>
      </w:r>
      <w:r>
        <w:rPr>
          <w:rFonts w:hint="eastAsia"/>
        </w:rPr>
        <w:t xml:space="preserve">经济数据与事件：MLF、流动性与财报季是盘前关键变量</w:t>
      </w:r>
    </w:p>
    <w:bookmarkStart w:id="20" w:name="国内流动性"/>
    <w:p>
      <w:pPr>
        <w:pStyle w:val="Heading3"/>
      </w:pPr>
      <w:r>
        <w:t xml:space="preserve">💰 </w:t>
      </w:r>
      <w:r>
        <w:rPr>
          <w:rFonts w:hint="eastAsia"/>
        </w:rPr>
        <w:t xml:space="preserve">国内流动性</w:t>
      </w:r>
    </w:p>
    <w:p>
      <w:pPr>
        <w:pStyle w:val="Compact"/>
        <w:numPr>
          <w:ilvl w:val="0"/>
          <w:numId w:val="1001"/>
        </w:numPr>
      </w:pPr>
      <w:r>
        <w:rPr>
          <w:rFonts w:hint="eastAsia"/>
        </w:rPr>
        <w:t xml:space="preserve">央行将于2026-08-25开展5000亿元MLF操作，期限1年期。</w:t>
      </w:r>
    </w:p>
    <w:p>
      <w:pPr>
        <w:pStyle w:val="Compact"/>
        <w:numPr>
          <w:ilvl w:val="0"/>
          <w:numId w:val="1001"/>
        </w:numPr>
      </w:pPr>
      <w:r>
        <w:rPr>
          <w:rFonts w:hint="eastAsia"/>
        </w:rPr>
        <w:t xml:space="preserve">盘前新闻同时提到隔夜逆回购安排，月末资金面以“削峰填谷”为主。</w:t>
      </w:r>
    </w:p>
    <w:p>
      <w:pPr>
        <w:pStyle w:val="Compact"/>
        <w:numPr>
          <w:ilvl w:val="0"/>
          <w:numId w:val="1001"/>
        </w:numPr>
      </w:pPr>
      <w:r>
        <w:rPr>
          <w:rFonts w:hint="eastAsia"/>
        </w:rPr>
        <w:t xml:space="preserve">对A股含义：利率敏感方向如银行、券商、红利资产获得稳定流动性支撑，但对高估值科技的估值压力缓释有限。</w:t>
      </w:r>
    </w:p>
    <w:bookmarkEnd w:id="20"/>
    <w:bookmarkStart w:id="21" w:name="财报季"/>
    <w:p>
      <w:pPr>
        <w:pStyle w:val="Heading3"/>
      </w:pPr>
      <w:r>
        <w:t xml:space="preserve">📊 </w:t>
      </w:r>
      <w:r>
        <w:rPr>
          <w:rFonts w:hint="eastAsia"/>
        </w:rPr>
        <w:t xml:space="preserve">财报季</w:t>
      </w:r>
    </w:p>
    <w:p>
      <w:pPr>
        <w:pStyle w:val="Compact"/>
        <w:numPr>
          <w:ilvl w:val="0"/>
          <w:numId w:val="1002"/>
        </w:numPr>
      </w:pPr>
      <w:r>
        <w:rPr>
          <w:rFonts w:hint="eastAsia"/>
        </w:rPr>
        <w:t xml:space="preserve">半年报/业绩类公告数量1268。</w:t>
      </w:r>
    </w:p>
    <w:p>
      <w:pPr>
        <w:pStyle w:val="Compact"/>
        <w:numPr>
          <w:ilvl w:val="0"/>
          <w:numId w:val="1002"/>
        </w:numPr>
      </w:pPr>
      <w:r>
        <w:rPr>
          <w:rFonts w:hint="eastAsia"/>
        </w:rPr>
        <w:t xml:space="preserve">新易盛2026中报：营业收入209.10亿元，同比增长100.34%；归母净利润75.29亿元，同比增长90.98%。</w:t>
      </w:r>
    </w:p>
    <w:p>
      <w:pPr>
        <w:pStyle w:val="Compact"/>
        <w:numPr>
          <w:ilvl w:val="0"/>
          <w:numId w:val="1002"/>
        </w:numPr>
      </w:pPr>
      <w:r>
        <w:rPr>
          <w:rFonts w:hint="eastAsia"/>
        </w:rPr>
        <w:t xml:space="preserve">中际旭创2026中报：营业收入417.78亿元，同比增长182.49%；归母净利润136.51亿元，同比增长241.70%。</w:t>
      </w:r>
    </w:p>
    <w:p>
      <w:pPr>
        <w:pStyle w:val="Compact"/>
        <w:numPr>
          <w:ilvl w:val="0"/>
          <w:numId w:val="1002"/>
        </w:numPr>
      </w:pPr>
      <w:r>
        <w:rPr>
          <w:rFonts w:hint="eastAsia"/>
        </w:rPr>
        <w:t xml:space="preserve">天孚通信2026中报：营业收入28.28亿元，同比增长15.15%；归母净利润12.04亿元，同比增长33.92%。</w:t>
      </w:r>
    </w:p>
    <w:p>
      <w:pPr>
        <w:pStyle w:val="FirstParagraph"/>
      </w:pPr>
      <w:r>
        <w:t xml:space="preserve">💡 </w:t>
      </w:r>
      <w:r>
        <w:rPr>
          <w:rFonts w:hint="eastAsia"/>
        </w:rPr>
        <w:t xml:space="preserve">解读：</w:t>
      </w:r>
      <w:r>
        <w:t xml:space="preserve"> </w:t>
      </w:r>
      <w:r>
        <w:t xml:space="preserve">- </w:t>
      </w:r>
      <w:r>
        <w:rPr>
          <w:rFonts w:hint="eastAsia"/>
        </w:rPr>
        <w:t xml:space="preserve">“易中天”基本面仍强，但上一交易日股价分别明显回调，说明市场正在从“业绩确认”切换到“估值与拥挤度再定价”。</w:t>
      </w:r>
      <w:r>
        <w:t xml:space="preserve"> </w:t>
      </w:r>
      <w:r>
        <w:t xml:space="preserve">- </w:t>
      </w:r>
      <w:r>
        <w:rPr>
          <w:rFonts w:hint="eastAsia"/>
        </w:rPr>
        <w:t xml:space="preserve">今日不适合用业绩增速直接追高，必须等待资金回流与右侧技术重新确认。</w:t>
      </w:r>
    </w:p>
    <w:p>
      <w:r>
        <w:pict>
          <v:rect style="width:0;height:1.5pt" o:hralign="center" o:hrstd="t" o:hr="t"/>
        </w:pict>
      </w:r>
    </w:p>
    <w:bookmarkEnd w:id="21"/>
    <w:bookmarkEnd w:id="22"/>
    <w:bookmarkStart w:id="24" w:name="全球事件中东航运加拿大贸易欧以关系提升避险权重"/>
    <w:p>
      <w:pPr>
        <w:pStyle w:val="Heading2"/>
      </w:pPr>
      <w:r>
        <w:t xml:space="preserve">🌐 </w:t>
      </w:r>
      <w:r>
        <w:rPr>
          <w:rFonts w:hint="eastAsia"/>
        </w:rPr>
        <w:t xml:space="preserve">全球事件：中东航运、加拿大贸易、欧以关系提升避险权重</w:t>
      </w:r>
    </w:p>
    <w:bookmarkStart w:id="23" w:name="需要跟踪的外部扰动"/>
    <w:p>
      <w:pPr>
        <w:pStyle w:val="Heading3"/>
      </w:pPr>
      <w:r>
        <w:t xml:space="preserve">⚠️ </w:t>
      </w:r>
      <w:r>
        <w:rPr>
          <w:rFonts w:hint="eastAsia"/>
        </w:rPr>
        <w:t xml:space="preserve">需要跟踪的外部扰动</w:t>
      </w:r>
    </w:p>
    <w:p>
      <w:pPr>
        <w:pStyle w:val="Compact"/>
        <w:numPr>
          <w:ilvl w:val="0"/>
          <w:numId w:val="1003"/>
        </w:numPr>
      </w:pPr>
      <w:r>
        <w:rPr>
          <w:rFonts w:hint="eastAsia"/>
        </w:rPr>
        <w:t xml:space="preserve">伊朗发布霍尔木兹海峡通行新规，违规船只将面临罚款、扣押或没收等限制措施。</w:t>
      </w:r>
    </w:p>
    <w:p>
      <w:pPr>
        <w:pStyle w:val="Compact"/>
        <w:numPr>
          <w:ilvl w:val="0"/>
          <w:numId w:val="1003"/>
        </w:numPr>
      </w:pPr>
      <w:r>
        <w:rPr>
          <w:rFonts w:hint="eastAsia"/>
        </w:rPr>
        <w:t xml:space="preserve">伊朗称与《麦加共同防务协议》成员国进行相关讨论。</w:t>
      </w:r>
    </w:p>
    <w:p>
      <w:pPr>
        <w:pStyle w:val="Compact"/>
        <w:numPr>
          <w:ilvl w:val="0"/>
          <w:numId w:val="1003"/>
        </w:numPr>
      </w:pPr>
      <w:r>
        <w:rPr>
          <w:rFonts w:hint="eastAsia"/>
        </w:rPr>
        <w:t xml:space="preserve">加拿大民调显示76%的受访者支持政府退出加美贸易谈判。</w:t>
      </w:r>
    </w:p>
    <w:p>
      <w:pPr>
        <w:pStyle w:val="Compact"/>
        <w:numPr>
          <w:ilvl w:val="0"/>
          <w:numId w:val="1003"/>
        </w:numPr>
      </w:pPr>
      <w:r>
        <w:rPr>
          <w:rFonts w:hint="eastAsia"/>
        </w:rPr>
        <w:t xml:space="preserve">欧盟敦促以色列取消约旦河西岸“E1区”定居点招标，并停止建设项目。</w:t>
      </w:r>
    </w:p>
    <w:p>
      <w:pPr>
        <w:pStyle w:val="FirstParagraph"/>
      </w:pPr>
      <w:r>
        <w:t xml:space="preserve">💡 </w:t>
      </w:r>
      <w:r>
        <w:rPr>
          <w:rFonts w:hint="eastAsia"/>
        </w:rPr>
        <w:t xml:space="preserve">A股映射：</w:t>
      </w:r>
      <w:r>
        <w:t xml:space="preserve"> </w:t>
      </w:r>
      <w:r>
        <w:t xml:space="preserve">- </w:t>
      </w:r>
      <w:r>
        <w:rPr>
          <w:rFonts w:hint="eastAsia"/>
        </w:rPr>
        <w:t xml:space="preserve">霍尔木兹海峡事件抬升能源运输与地缘风险溢价，利好黄金、油气、航运防御属性。</w:t>
      </w:r>
      <w:r>
        <w:t xml:space="preserve"> </w:t>
      </w:r>
      <w:r>
        <w:t xml:space="preserve">- </w:t>
      </w:r>
      <w:r>
        <w:rPr>
          <w:rFonts w:hint="eastAsia"/>
        </w:rPr>
        <w:t xml:space="preserve">中东局势扰动与COMEX黄金上涨共振，贵金属仍是盘前最清晰的避险主线。</w:t>
      </w:r>
      <w:r>
        <w:t xml:space="preserve"> </w:t>
      </w:r>
      <w:r>
        <w:t xml:space="preserve">- </w:t>
      </w:r>
      <w:r>
        <w:rPr>
          <w:rFonts w:hint="eastAsia"/>
        </w:rPr>
        <w:t xml:space="preserve">加拿大贸易摩擦指向全球贸易不确定性，出口链条需防估值压缩。</w:t>
      </w:r>
    </w:p>
    <w:p>
      <w:r>
        <w:pict>
          <v:rect style="width:0;height:1.5pt" o:hralign="center" o:hrstd="t" o:hr="t"/>
        </w:pict>
      </w:r>
    </w:p>
    <w:bookmarkEnd w:id="23"/>
    <w:bookmarkEnd w:id="24"/>
    <w:bookmarkStart w:id="27" w:name="昨日a股复盘放量下跌高位科技兑现资源与红利承接"/>
    <w:p>
      <w:pPr>
        <w:pStyle w:val="Heading2"/>
      </w:pPr>
      <w:r>
        <w:t xml:space="preserve">🔁 </w:t>
      </w:r>
      <w:r>
        <w:rPr>
          <w:rFonts w:hint="eastAsia"/>
        </w:rPr>
        <w:t xml:space="preserve">昨日A股复盘：放量下跌，高位科技兑现，资源与红利承接</w:t>
      </w:r>
    </w:p>
    <w:bookmarkStart w:id="25" w:name="指数表现"/>
    <w:p>
      <w:pPr>
        <w:pStyle w:val="Heading3"/>
      </w:pPr>
      <w:r>
        <w:t xml:space="preserve">📉 </w:t>
      </w:r>
      <w:r>
        <w:rPr>
          <w:rFonts w:hint="eastAsia"/>
        </w:rPr>
        <w:t xml:space="preserve">指数表现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3882.0079</w:t>
            </w:r>
          </w:p>
        </w:tc>
        <w:tc>
          <w:tcPr/>
          <w:p>
            <w:pPr>
              <w:pStyle w:val="Compact"/>
              <w:jc w:val="right"/>
            </w:pPr>
            <w:r>
              <w:t xml:space="preserve">📉 -0.5939%</w:t>
            </w:r>
          </w:p>
        </w:tc>
        <w:tc>
          <w:tcPr/>
          <w:p>
            <w:pPr>
              <w:pStyle w:val="Compact"/>
              <w:jc w:val="right"/>
            </w:pPr>
            <w:r>
              <w:rPr>
                <w:rFonts w:hint="eastAsia"/>
              </w:rPr>
              <w:t xml:space="preserve">9520.39亿</w:t>
            </w:r>
          </w:p>
        </w:tc>
      </w:tr>
      <w:tr>
        <w:tc>
          <w:tcPr/>
          <w:p>
            <w:pPr>
              <w:pStyle w:val="Compact"/>
            </w:pPr>
            <w:r>
              <w:rPr>
                <w:rFonts w:hint="eastAsia"/>
              </w:rPr>
              <w:t xml:space="preserve">深证成指</w:t>
            </w:r>
          </w:p>
        </w:tc>
        <w:tc>
          <w:tcPr/>
          <w:p>
            <w:pPr>
              <w:pStyle w:val="Compact"/>
              <w:jc w:val="right"/>
            </w:pPr>
            <w:r>
              <w:t xml:space="preserve">13794.289</w:t>
            </w:r>
          </w:p>
        </w:tc>
        <w:tc>
          <w:tcPr/>
          <w:p>
            <w:pPr>
              <w:pStyle w:val="Compact"/>
              <w:jc w:val="right"/>
            </w:pPr>
            <w:r>
              <w:t xml:space="preserve">📉 -2.1277%</w:t>
            </w:r>
          </w:p>
        </w:tc>
        <w:tc>
          <w:tcPr/>
          <w:p>
            <w:pPr>
              <w:pStyle w:val="Compact"/>
              <w:jc w:val="right"/>
            </w:pPr>
            <w:r>
              <w:rPr>
                <w:rFonts w:hint="eastAsia"/>
              </w:rPr>
              <w:t xml:space="preserve">10554.17亿</w:t>
            </w:r>
          </w:p>
        </w:tc>
      </w:tr>
      <w:tr>
        <w:tc>
          <w:tcPr/>
          <w:p>
            <w:pPr>
              <w:pStyle w:val="Compact"/>
            </w:pPr>
            <w:r>
              <w:rPr>
                <w:rFonts w:hint="eastAsia"/>
              </w:rPr>
              <w:t xml:space="preserve">创业板指</w:t>
            </w:r>
          </w:p>
        </w:tc>
        <w:tc>
          <w:tcPr/>
          <w:p>
            <w:pPr>
              <w:pStyle w:val="Compact"/>
              <w:jc w:val="right"/>
            </w:pPr>
            <w:r>
              <w:t xml:space="preserve">3431.885</w:t>
            </w:r>
          </w:p>
        </w:tc>
        <w:tc>
          <w:tcPr/>
          <w:p>
            <w:pPr>
              <w:pStyle w:val="Compact"/>
              <w:jc w:val="right"/>
            </w:pPr>
            <w:r>
              <w:t xml:space="preserve">📉 -3.2066%</w:t>
            </w:r>
          </w:p>
        </w:tc>
        <w:tc>
          <w:tcPr/>
          <w:p>
            <w:pPr>
              <w:pStyle w:val="Compact"/>
              <w:jc w:val="right"/>
            </w:pPr>
            <w:r>
              <w:rPr>
                <w:rFonts w:hint="eastAsia"/>
              </w:rPr>
              <w:t xml:space="preserve">5058.28亿</w:t>
            </w:r>
          </w:p>
        </w:tc>
      </w:tr>
      <w:tr>
        <w:tc>
          <w:tcPr/>
          <w:p>
            <w:pPr>
              <w:pStyle w:val="Compact"/>
            </w:pPr>
            <w:r>
              <w:rPr>
                <w:rFonts w:hint="eastAsia"/>
              </w:rPr>
              <w:t xml:space="preserve">科创50</w:t>
            </w:r>
          </w:p>
        </w:tc>
        <w:tc>
          <w:tcPr/>
          <w:p>
            <w:pPr>
              <w:pStyle w:val="Compact"/>
              <w:jc w:val="right"/>
            </w:pPr>
            <w:r>
              <w:t xml:space="preserve">1602.3369</w:t>
            </w:r>
          </w:p>
        </w:tc>
        <w:tc>
          <w:tcPr/>
          <w:p>
            <w:pPr>
              <w:pStyle w:val="Compact"/>
              <w:jc w:val="right"/>
            </w:pPr>
            <w:r>
              <w:t xml:space="preserve">📉 -3.0975%</w:t>
            </w:r>
          </w:p>
        </w:tc>
        <w:tc>
          <w:tcPr/>
          <w:p>
            <w:pPr>
              <w:pStyle w:val="Compact"/>
              <w:jc w:val="right"/>
            </w:pPr>
            <w:r>
              <w:rPr>
                <w:rFonts w:hint="eastAsia"/>
              </w:rPr>
              <w:t xml:space="preserve">938.33亿</w:t>
            </w:r>
          </w:p>
        </w:tc>
      </w:tr>
      <w:tr>
        <w:tc>
          <w:tcPr/>
          <w:p>
            <w:pPr>
              <w:pStyle w:val="Compact"/>
            </w:pPr>
            <w:r>
              <w:rPr>
                <w:rFonts w:hint="eastAsia"/>
              </w:rPr>
              <w:t xml:space="preserve">沪深300</w:t>
            </w:r>
          </w:p>
        </w:tc>
        <w:tc>
          <w:tcPr/>
          <w:p>
            <w:pPr>
              <w:pStyle w:val="Compact"/>
              <w:jc w:val="right"/>
            </w:pPr>
            <w:r>
              <w:t xml:space="preserve">4563.1266</w:t>
            </w:r>
          </w:p>
        </w:tc>
        <w:tc>
          <w:tcPr/>
          <w:p>
            <w:pPr>
              <w:pStyle w:val="Compact"/>
              <w:jc w:val="right"/>
            </w:pPr>
            <w:r>
              <w:t xml:space="preserve">📉 -1.2074%</w:t>
            </w:r>
          </w:p>
        </w:tc>
        <w:tc>
          <w:tcPr/>
          <w:p>
            <w:pPr>
              <w:pStyle w:val="Compact"/>
              <w:jc w:val="right"/>
            </w:pPr>
            <w:r>
              <w:rPr>
                <w:rFonts w:hint="eastAsia"/>
              </w:rPr>
              <w:t xml:space="preserve">5904.26亿</w:t>
            </w:r>
          </w:p>
        </w:tc>
      </w:tr>
    </w:tbl>
    <w:bookmarkEnd w:id="25"/>
    <w:bookmarkStart w:id="26" w:name="市场宽度与成交质量"/>
    <w:p>
      <w:pPr>
        <w:pStyle w:val="Heading3"/>
      </w:pPr>
      <w:r>
        <w:t xml:space="preserve">📊 </w:t>
      </w:r>
      <w:r>
        <w:rPr>
          <w:rFonts w:hint="eastAsia"/>
        </w:rPr>
        <w:t xml:space="preserve">市场宽度与成交质量</w:t>
      </w:r>
    </w:p>
    <w:p>
      <w:pPr>
        <w:pStyle w:val="Compact"/>
        <w:numPr>
          <w:ilvl w:val="0"/>
          <w:numId w:val="1004"/>
        </w:numPr>
      </w:pPr>
      <w:r>
        <w:rPr>
          <w:rFonts w:hint="eastAsia"/>
        </w:rPr>
        <w:t xml:space="preserve">同花顺涨跌分布：上涨1460家，下跌3965家，平盘120家，停牌4家，总数5549家。</w:t>
      </w:r>
    </w:p>
    <w:p>
      <w:pPr>
        <w:pStyle w:val="Compact"/>
        <w:numPr>
          <w:ilvl w:val="0"/>
          <w:numId w:val="1004"/>
        </w:numPr>
      </w:pPr>
      <w:r>
        <w:rPr>
          <w:rFonts w:hint="eastAsia"/>
        </w:rPr>
        <w:t xml:space="preserve">涨跌比：0.368。</w:t>
      </w:r>
    </w:p>
    <w:p>
      <w:pPr>
        <w:pStyle w:val="Compact"/>
        <w:numPr>
          <w:ilvl w:val="0"/>
          <w:numId w:val="1004"/>
        </w:numPr>
      </w:pPr>
      <w:r>
        <w:rPr>
          <w:rFonts w:hint="eastAsia"/>
        </w:rPr>
        <w:t xml:space="preserve">全市场成交额：20212.14亿元。</w:t>
      </w:r>
    </w:p>
    <w:p>
      <w:pPr>
        <w:pStyle w:val="Compact"/>
        <w:numPr>
          <w:ilvl w:val="0"/>
          <w:numId w:val="1004"/>
        </w:numPr>
      </w:pPr>
      <w:r>
        <w:rPr>
          <w:rFonts w:hint="eastAsia"/>
        </w:rPr>
        <w:t xml:space="preserve">前一交易日成交额：18922.57亿元。</w:t>
      </w:r>
    </w:p>
    <w:p>
      <w:pPr>
        <w:pStyle w:val="Compact"/>
        <w:numPr>
          <w:ilvl w:val="0"/>
          <w:numId w:val="1004"/>
        </w:numPr>
      </w:pPr>
      <w:r>
        <w:rPr>
          <w:rFonts w:hint="eastAsia"/>
        </w:rPr>
        <w:t xml:space="preserve">成交额变化：+1289.57亿元，+6.81%。</w:t>
      </w:r>
    </w:p>
    <w:p>
      <w:pPr>
        <w:pStyle w:val="Compact"/>
        <w:numPr>
          <w:ilvl w:val="0"/>
          <w:numId w:val="1004"/>
        </w:numPr>
      </w:pPr>
      <w:r>
        <w:rPr>
          <w:rFonts w:hint="eastAsia"/>
        </w:rPr>
        <w:t xml:space="preserve">derived.market_turnover_quality：温和放量。</w:t>
      </w:r>
    </w:p>
    <w:p>
      <w:pPr>
        <w:pStyle w:val="FirstParagraph"/>
      </w:pPr>
      <w:r>
        <w:t xml:space="preserve">💡 </w:t>
      </w:r>
      <w:r>
        <w:rPr>
          <w:rFonts w:hint="eastAsia"/>
        </w:rPr>
        <w:t xml:space="preserve">复盘结论：</w:t>
      </w:r>
      <w:r>
        <w:t xml:space="preserve"> </w:t>
      </w:r>
      <w:r>
        <w:t xml:space="preserve">- </w:t>
      </w:r>
      <w:r>
        <w:rPr>
          <w:rFonts w:hint="eastAsia"/>
        </w:rPr>
        <w:t xml:space="preserve">这不是缩量阴跌，而是“放量兑现”：高位科技成交放大但价格下压，说明筹码分歧加剧。</w:t>
      </w:r>
      <w:r>
        <w:t xml:space="preserve"> </w:t>
      </w:r>
      <w:r>
        <w:t xml:space="preserve">- </w:t>
      </w:r>
      <w:r>
        <w:rPr>
          <w:rFonts w:hint="eastAsia"/>
        </w:rPr>
        <w:t xml:space="preserve">上证跌幅小于创业板、科创50，风格从成长切向权重/价值/资源/红利。</w:t>
      </w:r>
      <w:r>
        <w:t xml:space="preserve"> </w:t>
      </w:r>
      <w:r>
        <w:t xml:space="preserve">- </w:t>
      </w:r>
      <w:r>
        <w:rPr>
          <w:rFonts w:hint="eastAsia"/>
        </w:rPr>
        <w:t xml:space="preserve">当前最重要不是猜反弹，而是看今日高位科技是否出现“缩量止跌+核心股不再创新低”。</w:t>
      </w:r>
    </w:p>
    <w:p>
      <w:r>
        <w:pict>
          <v:rect style="width:0;height:1.5pt" o:hralign="center" o:hrstd="t" o:hr="t"/>
        </w:pict>
      </w:r>
    </w:p>
    <w:bookmarkEnd w:id="26"/>
    <w:bookmarkEnd w:id="27"/>
    <w:bookmarkStart w:id="32" w:name="X4dbd87ba58ef063da2851e9d6b89fa6924c4ce6"/>
    <w:p>
      <w:pPr>
        <w:pStyle w:val="Heading2"/>
      </w:pPr>
      <w:r>
        <w:t xml:space="preserve">💰 </w:t>
      </w:r>
      <w:r>
        <w:rPr>
          <w:rFonts w:hint="eastAsia"/>
        </w:rPr>
        <w:t xml:space="preserve">上一交易日收盘资金四榜：2026-08-24</w:t>
      </w:r>
      <w:r>
        <w:t xml:space="preserve"> </w:t>
      </w:r>
      <w:r>
        <w:rPr>
          <w:rFonts w:hint="eastAsia"/>
        </w:rPr>
        <w:t xml:space="preserve">15:00，previous_close，申万二级行业，来源：华泰</w:t>
      </w:r>
    </w:p>
    <w:bookmarkStart w:id="28" w:name="流出top10板块主力净流出"/>
    <w:p>
      <w:pPr>
        <w:pStyle w:val="Heading3"/>
      </w:pPr>
      <w:r>
        <w:t xml:space="preserve">💰 </w:t>
      </w:r>
      <w:r>
        <w:rPr>
          <w:rFonts w:hint="eastAsia"/>
        </w:rPr>
        <w:t xml:space="preserve">流出TOP10板块｜主力净流出</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-181.61亿元</w:t>
            </w:r>
          </w:p>
        </w:tc>
      </w:tr>
      <w:tr>
        <w:tc>
          <w:tcPr/>
          <w:p>
            <w:pPr>
              <w:pStyle w:val="Compact"/>
              <w:jc w:val="right"/>
            </w:pPr>
            <w:r>
              <w:t xml:space="preserve">2</w:t>
            </w:r>
          </w:p>
        </w:tc>
        <w:tc>
          <w:tcPr/>
          <w:p>
            <w:pPr>
              <w:pStyle w:val="Compact"/>
            </w:pPr>
            <w:r>
              <w:rPr>
                <w:rFonts w:hint="eastAsia"/>
              </w:rPr>
              <w:t xml:space="preserve">通信设备</w:t>
            </w:r>
          </w:p>
        </w:tc>
        <w:tc>
          <w:tcPr/>
          <w:p>
            <w:pPr>
              <w:pStyle w:val="Compact"/>
              <w:jc w:val="right"/>
            </w:pPr>
            <w:r>
              <w:rPr>
                <w:rFonts w:hint="eastAsia"/>
              </w:rPr>
              <w:t xml:space="preserve">-140.74亿元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-79.36亿元</w:t>
            </w:r>
          </w:p>
        </w:tc>
      </w:tr>
      <w:tr>
        <w:tc>
          <w:tcPr/>
          <w:p>
            <w:pPr>
              <w:pStyle w:val="Compact"/>
              <w:jc w:val="right"/>
            </w:pPr>
            <w:r>
              <w:t xml:space="preserve">4</w:t>
            </w:r>
          </w:p>
        </w:tc>
        <w:tc>
          <w:tcPr/>
          <w:p>
            <w:pPr>
              <w:pStyle w:val="Compact"/>
            </w:pPr>
            <w:r>
              <w:rPr>
                <w:rFonts w:hint="eastAsia"/>
              </w:rPr>
              <w:t xml:space="preserve">光学光电子</w:t>
            </w:r>
          </w:p>
        </w:tc>
        <w:tc>
          <w:tcPr/>
          <w:p>
            <w:pPr>
              <w:pStyle w:val="Compact"/>
              <w:jc w:val="right"/>
            </w:pPr>
            <w:r>
              <w:rPr>
                <w:rFonts w:hint="eastAsia"/>
              </w:rPr>
              <w:t xml:space="preserve">-37.24亿元</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-33.35亿元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IT服务Ⅱ</w:t>
            </w:r>
          </w:p>
        </w:tc>
        <w:tc>
          <w:tcPr/>
          <w:p>
            <w:pPr>
              <w:pStyle w:val="Compact"/>
              <w:jc w:val="right"/>
            </w:pPr>
            <w:r>
              <w:rPr>
                <w:rFonts w:hint="eastAsia"/>
              </w:rPr>
              <w:t xml:space="preserve">-29.75亿元</w:t>
            </w:r>
          </w:p>
        </w:tc>
      </w:tr>
      <w:tr>
        <w:tc>
          <w:tcPr/>
          <w:p>
            <w:pPr>
              <w:pStyle w:val="Compact"/>
              <w:jc w:val="right"/>
            </w:pPr>
            <w:r>
              <w:t xml:space="preserve">7</w:t>
            </w:r>
          </w:p>
        </w:tc>
        <w:tc>
          <w:tcPr/>
          <w:p>
            <w:pPr>
              <w:pStyle w:val="Compact"/>
            </w:pPr>
            <w:r>
              <w:rPr>
                <w:rFonts w:hint="eastAsia"/>
              </w:rPr>
              <w:t xml:space="preserve">医疗服务</w:t>
            </w:r>
          </w:p>
        </w:tc>
        <w:tc>
          <w:tcPr/>
          <w:p>
            <w:pPr>
              <w:pStyle w:val="Compact"/>
              <w:jc w:val="right"/>
            </w:pPr>
            <w:r>
              <w:rPr>
                <w:rFonts w:hint="eastAsia"/>
              </w:rPr>
              <w:t xml:space="preserve">-27.35亿元</w:t>
            </w:r>
          </w:p>
        </w:tc>
      </w:tr>
      <w:tr>
        <w:tc>
          <w:tcPr/>
          <w:p>
            <w:pPr>
              <w:pStyle w:val="Compact"/>
              <w:jc w:val="right"/>
            </w:pPr>
            <w:r>
              <w:t xml:space="preserve">8</w:t>
            </w:r>
          </w:p>
        </w:tc>
        <w:tc>
          <w:tcPr/>
          <w:p>
            <w:pPr>
              <w:pStyle w:val="Compact"/>
            </w:pPr>
            <w:r>
              <w:rPr>
                <w:rFonts w:hint="eastAsia"/>
              </w:rPr>
              <w:t xml:space="preserve">自动化设备</w:t>
            </w:r>
          </w:p>
        </w:tc>
        <w:tc>
          <w:tcPr/>
          <w:p>
            <w:pPr>
              <w:pStyle w:val="Compact"/>
              <w:jc w:val="right"/>
            </w:pPr>
            <w:r>
              <w:rPr>
                <w:rFonts w:hint="eastAsia"/>
              </w:rPr>
              <w:t xml:space="preserve">-24.38亿元</w:t>
            </w:r>
          </w:p>
        </w:tc>
      </w:tr>
      <w:tr>
        <w:tc>
          <w:tcPr/>
          <w:p>
            <w:pPr>
              <w:pStyle w:val="Compact"/>
              <w:jc w:val="right"/>
            </w:pPr>
            <w:r>
              <w:t xml:space="preserve">9</w:t>
            </w:r>
          </w:p>
        </w:tc>
        <w:tc>
          <w:tcPr/>
          <w:p>
            <w:pPr>
              <w:pStyle w:val="Compact"/>
            </w:pPr>
            <w:r>
              <w:rPr>
                <w:rFonts w:hint="eastAsia"/>
              </w:rPr>
              <w:t xml:space="preserve">化学制药</w:t>
            </w:r>
          </w:p>
        </w:tc>
        <w:tc>
          <w:tcPr/>
          <w:p>
            <w:pPr>
              <w:pStyle w:val="Compact"/>
              <w:jc w:val="right"/>
            </w:pPr>
            <w:r>
              <w:rPr>
                <w:rFonts w:hint="eastAsia"/>
              </w:rPr>
              <w:t xml:space="preserve">-21.86亿元</w:t>
            </w:r>
          </w:p>
        </w:tc>
      </w:tr>
      <w:tr>
        <w:tc>
          <w:tcPr/>
          <w:p>
            <w:pPr>
              <w:pStyle w:val="Compact"/>
              <w:jc w:val="right"/>
            </w:pPr>
            <w:r>
              <w:t xml:space="preserve">10</w:t>
            </w:r>
          </w:p>
        </w:tc>
        <w:tc>
          <w:tcPr/>
          <w:p>
            <w:pPr>
              <w:pStyle w:val="Compact"/>
            </w:pPr>
            <w:r>
              <w:rPr>
                <w:rFonts w:hint="eastAsia"/>
              </w:rPr>
              <w:t xml:space="preserve">电子化学品Ⅱ</w:t>
            </w:r>
          </w:p>
        </w:tc>
        <w:tc>
          <w:tcPr/>
          <w:p>
            <w:pPr>
              <w:pStyle w:val="Compact"/>
              <w:jc w:val="right"/>
            </w:pPr>
            <w:r>
              <w:rPr>
                <w:rFonts w:hint="eastAsia"/>
              </w:rPr>
              <w:t xml:space="preserve">-20.76亿元</w:t>
            </w:r>
          </w:p>
        </w:tc>
      </w:tr>
    </w:tbl>
    <w:bookmarkEnd w:id="28"/>
    <w:bookmarkStart w:id="29" w:name="流出top10个股主力净流出"/>
    <w:p>
      <w:pPr>
        <w:pStyle w:val="Heading3"/>
      </w:pPr>
      <w:r>
        <w:t xml:space="preserve">💰 </w:t>
      </w:r>
      <w:r>
        <w:rPr>
          <w:rFonts w:hint="eastAsia"/>
        </w:rPr>
        <w:t xml:space="preserve">流出TOP10个股｜主力净流出</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-63.86亿</w:t>
            </w:r>
          </w:p>
        </w:tc>
      </w:tr>
      <w:tr>
        <w:tc>
          <w:tcPr/>
          <w:p>
            <w:pPr>
              <w:pStyle w:val="Compact"/>
              <w:jc w:val="right"/>
            </w:pPr>
            <w:r>
              <w:t xml:space="preserve">2</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-39.76亿</w:t>
            </w:r>
          </w:p>
        </w:tc>
      </w:tr>
      <w:tr>
        <w:tc>
          <w:tcPr/>
          <w:p>
            <w:pPr>
              <w:pStyle w:val="Compact"/>
              <w:jc w:val="right"/>
            </w:pPr>
            <w:r>
              <w:t xml:space="preserve">3</w:t>
            </w:r>
          </w:p>
        </w:tc>
        <w:tc>
          <w:tcPr/>
          <w:p>
            <w:pPr>
              <w:pStyle w:val="Compact"/>
            </w:pPr>
            <w:r>
              <w:rPr>
                <w:rFonts w:hint="eastAsia"/>
              </w:rPr>
              <w:t xml:space="preserve">天孚通信</w:t>
            </w:r>
          </w:p>
        </w:tc>
        <w:tc>
          <w:tcPr/>
          <w:p>
            <w:pPr>
              <w:pStyle w:val="Compact"/>
            </w:pPr>
            <w:r>
              <w:t xml:space="preserve">300394</w:t>
            </w:r>
          </w:p>
        </w:tc>
        <w:tc>
          <w:tcPr/>
          <w:p>
            <w:pPr>
              <w:pStyle w:val="Compact"/>
              <w:jc w:val="right"/>
            </w:pPr>
            <w:r>
              <w:rPr>
                <w:rFonts w:hint="eastAsia"/>
              </w:rPr>
              <w:t xml:space="preserve">-30.90亿</w:t>
            </w:r>
          </w:p>
        </w:tc>
      </w:tr>
      <w:tr>
        <w:tc>
          <w:tcPr/>
          <w:p>
            <w:pPr>
              <w:pStyle w:val="Compact"/>
              <w:jc w:val="right"/>
            </w:pPr>
            <w:r>
              <w:t xml:space="preserve">4</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-25.32亿</w:t>
            </w:r>
          </w:p>
        </w:tc>
      </w:tr>
      <w:tr>
        <w:tc>
          <w:tcPr/>
          <w:p>
            <w:pPr>
              <w:pStyle w:val="Compact"/>
              <w:jc w:val="right"/>
            </w:pPr>
            <w:r>
              <w:t xml:space="preserve">5</w:t>
            </w:r>
          </w:p>
        </w:tc>
        <w:tc>
          <w:tcPr/>
          <w:p>
            <w:pPr>
              <w:pStyle w:val="Compact"/>
            </w:pPr>
            <w:r>
              <w:rPr>
                <w:rFonts w:hint="eastAsia"/>
              </w:rPr>
              <w:t xml:space="preserve">生益科技</w:t>
            </w:r>
          </w:p>
        </w:tc>
        <w:tc>
          <w:tcPr/>
          <w:p>
            <w:pPr>
              <w:pStyle w:val="Compact"/>
            </w:pPr>
            <w:r>
              <w:t xml:space="preserve">600183</w:t>
            </w:r>
          </w:p>
        </w:tc>
        <w:tc>
          <w:tcPr/>
          <w:p>
            <w:pPr>
              <w:pStyle w:val="Compact"/>
              <w:jc w:val="right"/>
            </w:pPr>
            <w:r>
              <w:rPr>
                <w:rFonts w:hint="eastAsia"/>
              </w:rPr>
              <w:t xml:space="preserve">-22.27亿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药明康德</w:t>
            </w:r>
          </w:p>
        </w:tc>
        <w:tc>
          <w:tcPr/>
          <w:p>
            <w:pPr>
              <w:pStyle w:val="Compact"/>
            </w:pPr>
            <w:r>
              <w:t xml:space="preserve">603259</w:t>
            </w:r>
          </w:p>
        </w:tc>
        <w:tc>
          <w:tcPr/>
          <w:p>
            <w:pPr>
              <w:pStyle w:val="Compact"/>
              <w:jc w:val="right"/>
            </w:pPr>
            <w:r>
              <w:rPr>
                <w:rFonts w:hint="eastAsia"/>
              </w:rPr>
              <w:t xml:space="preserve">-22.24亿</w:t>
            </w:r>
          </w:p>
        </w:tc>
      </w:tr>
      <w:tr>
        <w:tc>
          <w:tcPr/>
          <w:p>
            <w:pPr>
              <w:pStyle w:val="Compact"/>
              <w:jc w:val="right"/>
            </w:pPr>
            <w:r>
              <w:t xml:space="preserve">7</w:t>
            </w:r>
          </w:p>
        </w:tc>
        <w:tc>
          <w:tcPr/>
          <w:p>
            <w:pPr>
              <w:pStyle w:val="Compact"/>
            </w:pPr>
            <w:r>
              <w:rPr>
                <w:rFonts w:hint="eastAsia"/>
              </w:rPr>
              <w:t xml:space="preserve">长电科技</w:t>
            </w:r>
          </w:p>
        </w:tc>
        <w:tc>
          <w:tcPr/>
          <w:p>
            <w:pPr>
              <w:pStyle w:val="Compact"/>
            </w:pPr>
            <w:r>
              <w:t xml:space="preserve">600584</w:t>
            </w:r>
          </w:p>
        </w:tc>
        <w:tc>
          <w:tcPr/>
          <w:p>
            <w:pPr>
              <w:pStyle w:val="Compact"/>
              <w:jc w:val="right"/>
            </w:pPr>
            <w:r>
              <w:rPr>
                <w:rFonts w:hint="eastAsia"/>
              </w:rPr>
              <w:t xml:space="preserve">-21.87亿</w:t>
            </w:r>
          </w:p>
        </w:tc>
      </w:tr>
      <w:tr>
        <w:tc>
          <w:tcPr/>
          <w:p>
            <w:pPr>
              <w:pStyle w:val="Compact"/>
              <w:jc w:val="right"/>
            </w:pPr>
            <w:r>
              <w:t xml:space="preserve">8</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-17.57亿</w:t>
            </w:r>
          </w:p>
        </w:tc>
      </w:tr>
      <w:tr>
        <w:tc>
          <w:tcPr/>
          <w:p>
            <w:pPr>
              <w:pStyle w:val="Compact"/>
              <w:jc w:val="right"/>
            </w:pPr>
            <w:r>
              <w:t xml:space="preserve">9</w:t>
            </w:r>
          </w:p>
        </w:tc>
        <w:tc>
          <w:tcPr/>
          <w:p>
            <w:pPr>
              <w:pStyle w:val="Compact"/>
            </w:pPr>
            <w:r>
              <w:rPr>
                <w:rFonts w:hint="eastAsia"/>
              </w:rPr>
              <w:t xml:space="preserve">澜起科技</w:t>
            </w:r>
          </w:p>
        </w:tc>
        <w:tc>
          <w:tcPr/>
          <w:p>
            <w:pPr>
              <w:pStyle w:val="Compact"/>
            </w:pPr>
            <w:r>
              <w:t xml:space="preserve">688008</w:t>
            </w:r>
          </w:p>
        </w:tc>
        <w:tc>
          <w:tcPr/>
          <w:p>
            <w:pPr>
              <w:pStyle w:val="Compact"/>
              <w:jc w:val="right"/>
            </w:pPr>
            <w:r>
              <w:rPr>
                <w:rFonts w:hint="eastAsia"/>
              </w:rPr>
              <w:t xml:space="preserve">-17.37亿</w:t>
            </w:r>
          </w:p>
        </w:tc>
      </w:tr>
      <w:tr>
        <w:tc>
          <w:tcPr/>
          <w:p>
            <w:pPr>
              <w:pStyle w:val="Compact"/>
              <w:jc w:val="right"/>
            </w:pPr>
            <w:r>
              <w:t xml:space="preserve">10</w:t>
            </w:r>
          </w:p>
        </w:tc>
        <w:tc>
          <w:tcPr/>
          <w:p>
            <w:pPr>
              <w:pStyle w:val="Compact"/>
            </w:pPr>
            <w:r>
              <w:rPr>
                <w:rFonts w:hint="eastAsia"/>
              </w:rPr>
              <w:t xml:space="preserve">亨通光电</w:t>
            </w:r>
          </w:p>
        </w:tc>
        <w:tc>
          <w:tcPr/>
          <w:p>
            <w:pPr>
              <w:pStyle w:val="Compact"/>
            </w:pPr>
            <w:r>
              <w:t xml:space="preserve">600487</w:t>
            </w:r>
          </w:p>
        </w:tc>
        <w:tc>
          <w:tcPr/>
          <w:p>
            <w:pPr>
              <w:pStyle w:val="Compact"/>
              <w:jc w:val="right"/>
            </w:pPr>
            <w:r>
              <w:rPr>
                <w:rFonts w:hint="eastAsia"/>
              </w:rPr>
              <w:t xml:space="preserve">-17.10亿</w:t>
            </w:r>
          </w:p>
        </w:tc>
      </w:tr>
    </w:tbl>
    <w:bookmarkEnd w:id="29"/>
    <w:bookmarkStart w:id="30" w:name="流入top10板块主力净流入"/>
    <w:p>
      <w:pPr>
        <w:pStyle w:val="Heading3"/>
      </w:pPr>
      <w:r>
        <w:t xml:space="preserve">💰 </w:t>
      </w:r>
      <w:r>
        <w:rPr>
          <w:rFonts w:hint="eastAsia"/>
        </w:rPr>
        <w:t xml:space="preserve">流入TOP10板块｜主力净流入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工业金属</w:t>
            </w:r>
          </w:p>
        </w:tc>
        <w:tc>
          <w:tcPr/>
          <w:p>
            <w:pPr>
              <w:pStyle w:val="Compact"/>
              <w:jc w:val="right"/>
            </w:pPr>
            <w:r>
              <w:rPr>
                <w:rFonts w:hint="eastAsia"/>
              </w:rPr>
              <w:t xml:space="preserve">+10.02亿元</w:t>
            </w:r>
          </w:p>
        </w:tc>
      </w:tr>
      <w:tr>
        <w:tc>
          <w:tcPr/>
          <w:p>
            <w:pPr>
              <w:pStyle w:val="Compact"/>
              <w:jc w:val="right"/>
            </w:pPr>
            <w:r>
              <w:t xml:space="preserve">2</w:t>
            </w:r>
          </w:p>
        </w:tc>
        <w:tc>
          <w:tcPr/>
          <w:p>
            <w:pPr>
              <w:pStyle w:val="Compact"/>
            </w:pPr>
            <w:r>
              <w:rPr>
                <w:rFonts w:hint="eastAsia"/>
              </w:rPr>
              <w:t xml:space="preserve">煤炭开采</w:t>
            </w:r>
          </w:p>
        </w:tc>
        <w:tc>
          <w:tcPr/>
          <w:p>
            <w:pPr>
              <w:pStyle w:val="Compact"/>
              <w:jc w:val="right"/>
            </w:pPr>
            <w:r>
              <w:rPr>
                <w:rFonts w:hint="eastAsia"/>
              </w:rPr>
              <w:t xml:space="preserve">+5.33亿元</w:t>
            </w:r>
          </w:p>
        </w:tc>
      </w:tr>
      <w:tr>
        <w:tc>
          <w:tcPr/>
          <w:p>
            <w:pPr>
              <w:pStyle w:val="Compact"/>
              <w:jc w:val="right"/>
            </w:pPr>
            <w:r>
              <w:t xml:space="preserve">3</w:t>
            </w:r>
          </w:p>
        </w:tc>
        <w:tc>
          <w:tcPr/>
          <w:p>
            <w:pPr>
              <w:pStyle w:val="Compact"/>
            </w:pPr>
            <w:r>
              <w:rPr>
                <w:rFonts w:hint="eastAsia"/>
              </w:rPr>
              <w:t xml:space="preserve">贵金属</w:t>
            </w:r>
          </w:p>
        </w:tc>
        <w:tc>
          <w:tcPr/>
          <w:p>
            <w:pPr>
              <w:pStyle w:val="Compact"/>
              <w:jc w:val="right"/>
            </w:pPr>
            <w:r>
              <w:rPr>
                <w:rFonts w:hint="eastAsia"/>
              </w:rPr>
              <w:t xml:space="preserve">+5.38亿元</w:t>
            </w:r>
          </w:p>
        </w:tc>
      </w:tr>
      <w:tr>
        <w:tc>
          <w:tcPr/>
          <w:p>
            <w:pPr>
              <w:pStyle w:val="Compact"/>
              <w:jc w:val="right"/>
            </w:pPr>
            <w:r>
              <w:t xml:space="preserve">4</w:t>
            </w:r>
          </w:p>
        </w:tc>
        <w:tc>
          <w:tcPr/>
          <w:p>
            <w:pPr>
              <w:pStyle w:val="Compact"/>
            </w:pPr>
            <w:r>
              <w:rPr>
                <w:rFonts w:hint="eastAsia"/>
              </w:rPr>
              <w:t xml:space="preserve">化学原料</w:t>
            </w:r>
          </w:p>
        </w:tc>
        <w:tc>
          <w:tcPr/>
          <w:p>
            <w:pPr>
              <w:pStyle w:val="Compact"/>
              <w:jc w:val="right"/>
            </w:pPr>
            <w:r>
              <w:rPr>
                <w:rFonts w:hint="eastAsia"/>
              </w:rPr>
              <w:t xml:space="preserve">+3.88亿元</w:t>
            </w:r>
          </w:p>
        </w:tc>
      </w:tr>
      <w:tr>
        <w:tc>
          <w:tcPr/>
          <w:p>
            <w:pPr>
              <w:pStyle w:val="Compact"/>
              <w:jc w:val="right"/>
            </w:pPr>
            <w:r>
              <w:t xml:space="preserve">5</w:t>
            </w:r>
          </w:p>
        </w:tc>
        <w:tc>
          <w:tcPr/>
          <w:p>
            <w:pPr>
              <w:pStyle w:val="Compact"/>
            </w:pPr>
            <w:r>
              <w:rPr>
                <w:rFonts w:hint="eastAsia"/>
              </w:rPr>
              <w:t xml:space="preserve">焦炭Ⅱ</w:t>
            </w:r>
          </w:p>
        </w:tc>
        <w:tc>
          <w:tcPr/>
          <w:p>
            <w:pPr>
              <w:pStyle w:val="Compact"/>
              <w:jc w:val="right"/>
            </w:pPr>
            <w:r>
              <w:rPr>
                <w:rFonts w:hint="eastAsia"/>
              </w:rPr>
              <w:t xml:space="preserve">+3.20亿元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银行Ⅱ</w:t>
            </w:r>
          </w:p>
        </w:tc>
        <w:tc>
          <w:tcPr/>
          <w:p>
            <w:pPr>
              <w:pStyle w:val="Compact"/>
              <w:jc w:val="right"/>
            </w:pPr>
            <w:r>
              <w:rPr>
                <w:rFonts w:hint="eastAsia"/>
              </w:rPr>
              <w:t xml:space="preserve">+2.87亿元</w:t>
            </w:r>
          </w:p>
        </w:tc>
      </w:tr>
      <w:tr>
        <w:tc>
          <w:tcPr/>
          <w:p>
            <w:pPr>
              <w:pStyle w:val="Compact"/>
              <w:jc w:val="right"/>
            </w:pPr>
            <w:r>
              <w:t xml:space="preserve">7</w:t>
            </w:r>
          </w:p>
        </w:tc>
        <w:tc>
          <w:tcPr/>
          <w:p>
            <w:pPr>
              <w:pStyle w:val="Compact"/>
            </w:pPr>
            <w:r>
              <w:rPr>
                <w:rFonts w:hint="eastAsia"/>
              </w:rPr>
              <w:t xml:space="preserve">房地产开发</w:t>
            </w:r>
          </w:p>
        </w:tc>
        <w:tc>
          <w:tcPr/>
          <w:p>
            <w:pPr>
              <w:pStyle w:val="Compact"/>
              <w:jc w:val="right"/>
            </w:pPr>
            <w:r>
              <w:rPr>
                <w:rFonts w:hint="eastAsia"/>
              </w:rPr>
              <w:t xml:space="preserve">+2.86亿元</w:t>
            </w:r>
          </w:p>
        </w:tc>
      </w:tr>
      <w:tr>
        <w:tc>
          <w:tcPr/>
          <w:p>
            <w:pPr>
              <w:pStyle w:val="Compact"/>
              <w:jc w:val="right"/>
            </w:pPr>
            <w:r>
              <w:t xml:space="preserve">8</w:t>
            </w:r>
          </w:p>
        </w:tc>
        <w:tc>
          <w:tcPr/>
          <w:p>
            <w:pPr>
              <w:pStyle w:val="Compact"/>
            </w:pPr>
            <w:r>
              <w:rPr>
                <w:rFonts w:hint="eastAsia"/>
              </w:rPr>
              <w:t xml:space="preserve">能源金属</w:t>
            </w:r>
          </w:p>
        </w:tc>
        <w:tc>
          <w:tcPr/>
          <w:p>
            <w:pPr>
              <w:pStyle w:val="Compact"/>
              <w:jc w:val="right"/>
            </w:pPr>
            <w:r>
              <w:rPr>
                <w:rFonts w:hint="eastAsia"/>
              </w:rPr>
              <w:t xml:space="preserve">+2.80亿元</w:t>
            </w:r>
          </w:p>
        </w:tc>
      </w:tr>
      <w:tr>
        <w:tc>
          <w:tcPr/>
          <w:p>
            <w:pPr>
              <w:pStyle w:val="Compact"/>
              <w:jc w:val="right"/>
            </w:pPr>
            <w:r>
              <w:t xml:space="preserve">9</w:t>
            </w:r>
          </w:p>
        </w:tc>
        <w:tc>
          <w:tcPr/>
          <w:p>
            <w:pPr>
              <w:pStyle w:val="Compact"/>
            </w:pPr>
            <w:r>
              <w:rPr>
                <w:rFonts w:hint="eastAsia"/>
              </w:rPr>
              <w:t xml:space="preserve">种植业</w:t>
            </w:r>
          </w:p>
        </w:tc>
        <w:tc>
          <w:tcPr/>
          <w:p>
            <w:pPr>
              <w:pStyle w:val="Compact"/>
              <w:jc w:val="right"/>
            </w:pPr>
            <w:r>
              <w:rPr>
                <w:rFonts w:hint="eastAsia"/>
              </w:rPr>
              <w:t xml:space="preserve">+2.56亿元</w:t>
            </w:r>
          </w:p>
        </w:tc>
      </w:tr>
      <w:tr>
        <w:tc>
          <w:tcPr/>
          <w:p>
            <w:pPr>
              <w:pStyle w:val="Compact"/>
              <w:jc w:val="right"/>
            </w:pPr>
            <w:r>
              <w:t xml:space="preserve">10</w:t>
            </w:r>
          </w:p>
        </w:tc>
        <w:tc>
          <w:tcPr/>
          <w:p>
            <w:pPr>
              <w:pStyle w:val="Compact"/>
            </w:pPr>
            <w:r>
              <w:rPr>
                <w:rFonts w:hint="eastAsia"/>
              </w:rPr>
              <w:t xml:space="preserve">普钢</w:t>
            </w:r>
          </w:p>
        </w:tc>
        <w:tc>
          <w:tcPr/>
          <w:p>
            <w:pPr>
              <w:pStyle w:val="Compact"/>
              <w:jc w:val="right"/>
            </w:pPr>
            <w:r>
              <w:rPr>
                <w:rFonts w:hint="eastAsia"/>
              </w:rPr>
              <w:t xml:space="preserve">+2.35亿元</w:t>
            </w:r>
          </w:p>
        </w:tc>
      </w:tr>
    </w:tbl>
    <w:bookmarkEnd w:id="30"/>
    <w:bookmarkStart w:id="31" w:name="流入top10个股主力净流入"/>
    <w:p>
      <w:pPr>
        <w:pStyle w:val="Heading3"/>
      </w:pPr>
      <w:r>
        <w:t xml:space="preserve">💰 </w:t>
      </w:r>
      <w:r>
        <w:rPr>
          <w:rFonts w:hint="eastAsia"/>
        </w:rPr>
        <w:t xml:space="preserve">流入TOP10个股｜主力净流入</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红星发展</w:t>
            </w:r>
          </w:p>
        </w:tc>
        <w:tc>
          <w:tcPr/>
          <w:p>
            <w:pPr>
              <w:pStyle w:val="Compact"/>
            </w:pPr>
            <w:r>
              <w:t xml:space="preserve">600367</w:t>
            </w:r>
          </w:p>
        </w:tc>
        <w:tc>
          <w:tcPr/>
          <w:p>
            <w:pPr>
              <w:pStyle w:val="Compact"/>
              <w:jc w:val="right"/>
            </w:pPr>
            <w:r>
              <w:rPr>
                <w:rFonts w:hint="eastAsia"/>
              </w:rPr>
              <w:t xml:space="preserve">+10.23亿</w:t>
            </w:r>
          </w:p>
        </w:tc>
      </w:tr>
      <w:tr>
        <w:tc>
          <w:tcPr/>
          <w:p>
            <w:pPr>
              <w:pStyle w:val="Compact"/>
              <w:jc w:val="right"/>
            </w:pPr>
            <w:r>
              <w:t xml:space="preserve">2</w:t>
            </w:r>
          </w:p>
        </w:tc>
        <w:tc>
          <w:tcPr/>
          <w:p>
            <w:pPr>
              <w:pStyle w:val="Compact"/>
            </w:pPr>
            <w:r>
              <w:rPr>
                <w:rFonts w:hint="eastAsia"/>
              </w:rPr>
              <w:t xml:space="preserve">中国石化</w:t>
            </w:r>
          </w:p>
        </w:tc>
        <w:tc>
          <w:tcPr/>
          <w:p>
            <w:pPr>
              <w:pStyle w:val="Compact"/>
            </w:pPr>
            <w:r>
              <w:t xml:space="preserve">600028</w:t>
            </w:r>
          </w:p>
        </w:tc>
        <w:tc>
          <w:tcPr/>
          <w:p>
            <w:pPr>
              <w:pStyle w:val="Compact"/>
              <w:jc w:val="right"/>
            </w:pPr>
            <w:r>
              <w:rPr>
                <w:rFonts w:hint="eastAsia"/>
              </w:rPr>
              <w:t xml:space="preserve">+8.94亿</w:t>
            </w:r>
          </w:p>
        </w:tc>
      </w:tr>
      <w:tr>
        <w:tc>
          <w:tcPr/>
          <w:p>
            <w:pPr>
              <w:pStyle w:val="Compact"/>
              <w:jc w:val="right"/>
            </w:pPr>
            <w:r>
              <w:t xml:space="preserve">3</w:t>
            </w:r>
          </w:p>
        </w:tc>
        <w:tc>
          <w:tcPr/>
          <w:p>
            <w:pPr>
              <w:pStyle w:val="Compact"/>
            </w:pPr>
            <w:r>
              <w:rPr>
                <w:rFonts w:hint="eastAsia"/>
              </w:rPr>
              <w:t xml:space="preserve">长飞光纤</w:t>
            </w:r>
          </w:p>
        </w:tc>
        <w:tc>
          <w:tcPr/>
          <w:p>
            <w:pPr>
              <w:pStyle w:val="Compact"/>
            </w:pPr>
            <w:r>
              <w:t xml:space="preserve">601869</w:t>
            </w:r>
          </w:p>
        </w:tc>
        <w:tc>
          <w:tcPr/>
          <w:p>
            <w:pPr>
              <w:pStyle w:val="Compact"/>
              <w:jc w:val="right"/>
            </w:pPr>
            <w:r>
              <w:rPr>
                <w:rFonts w:hint="eastAsia"/>
              </w:rPr>
              <w:t xml:space="preserve">+8.03亿</w:t>
            </w:r>
          </w:p>
        </w:tc>
      </w:tr>
      <w:tr>
        <w:tc>
          <w:tcPr/>
          <w:p>
            <w:pPr>
              <w:pStyle w:val="Compact"/>
              <w:jc w:val="right"/>
            </w:pPr>
            <w:r>
              <w:t xml:space="preserve">4</w:t>
            </w:r>
          </w:p>
        </w:tc>
        <w:tc>
          <w:tcPr/>
          <w:p>
            <w:pPr>
              <w:pStyle w:val="Compact"/>
            </w:pPr>
            <w:r>
              <w:rPr>
                <w:rFonts w:hint="eastAsia"/>
              </w:rPr>
              <w:t xml:space="preserve">风范股份</w:t>
            </w:r>
          </w:p>
        </w:tc>
        <w:tc>
          <w:tcPr/>
          <w:p>
            <w:pPr>
              <w:pStyle w:val="Compact"/>
            </w:pPr>
            <w:r>
              <w:t xml:space="preserve">601700</w:t>
            </w:r>
          </w:p>
        </w:tc>
        <w:tc>
          <w:tcPr/>
          <w:p>
            <w:pPr>
              <w:pStyle w:val="Compact"/>
              <w:jc w:val="right"/>
            </w:pPr>
            <w:r>
              <w:rPr>
                <w:rFonts w:hint="eastAsia"/>
              </w:rPr>
              <w:t xml:space="preserve">+7.58亿</w:t>
            </w:r>
          </w:p>
        </w:tc>
      </w:tr>
      <w:tr>
        <w:tc>
          <w:tcPr/>
          <w:p>
            <w:pPr>
              <w:pStyle w:val="Compact"/>
              <w:jc w:val="right"/>
            </w:pPr>
            <w:r>
              <w:t xml:space="preserve">5</w:t>
            </w:r>
          </w:p>
        </w:tc>
        <w:tc>
          <w:tcPr/>
          <w:p>
            <w:pPr>
              <w:pStyle w:val="Compact"/>
            </w:pPr>
            <w:r>
              <w:rPr>
                <w:rFonts w:hint="eastAsia"/>
              </w:rPr>
              <w:t xml:space="preserve">东芯股份</w:t>
            </w:r>
          </w:p>
        </w:tc>
        <w:tc>
          <w:tcPr/>
          <w:p>
            <w:pPr>
              <w:pStyle w:val="Compact"/>
            </w:pPr>
            <w:r>
              <w:t xml:space="preserve">688110</w:t>
            </w:r>
          </w:p>
        </w:tc>
        <w:tc>
          <w:tcPr/>
          <w:p>
            <w:pPr>
              <w:pStyle w:val="Compact"/>
              <w:jc w:val="right"/>
            </w:pPr>
            <w:r>
              <w:rPr>
                <w:rFonts w:hint="eastAsia"/>
              </w:rPr>
              <w:t xml:space="preserve">+6.97亿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圣阳股份</w:t>
            </w:r>
          </w:p>
        </w:tc>
        <w:tc>
          <w:tcPr/>
          <w:p>
            <w:pPr>
              <w:pStyle w:val="Compact"/>
            </w:pPr>
            <w:r>
              <w:t xml:space="preserve">002580</w:t>
            </w:r>
          </w:p>
        </w:tc>
        <w:tc>
          <w:tcPr/>
          <w:p>
            <w:pPr>
              <w:pStyle w:val="Compact"/>
              <w:jc w:val="right"/>
            </w:pPr>
            <w:r>
              <w:rPr>
                <w:rFonts w:hint="eastAsia"/>
              </w:rPr>
              <w:t xml:space="preserve">+6.89亿</w:t>
            </w:r>
          </w:p>
        </w:tc>
      </w:tr>
      <w:tr>
        <w:tc>
          <w:tcPr/>
          <w:p>
            <w:pPr>
              <w:pStyle w:val="Compact"/>
              <w:jc w:val="right"/>
            </w:pPr>
            <w:r>
              <w:t xml:space="preserve">7</w:t>
            </w:r>
          </w:p>
        </w:tc>
        <w:tc>
          <w:tcPr/>
          <w:p>
            <w:pPr>
              <w:pStyle w:val="Compact"/>
            </w:pPr>
            <w:r>
              <w:rPr>
                <w:rFonts w:hint="eastAsia"/>
              </w:rPr>
              <w:t xml:space="preserve">正帆科技</w:t>
            </w:r>
          </w:p>
        </w:tc>
        <w:tc>
          <w:tcPr/>
          <w:p>
            <w:pPr>
              <w:pStyle w:val="Compact"/>
            </w:pPr>
            <w:r>
              <w:t xml:space="preserve">688596</w:t>
            </w:r>
          </w:p>
        </w:tc>
        <w:tc>
          <w:tcPr/>
          <w:p>
            <w:pPr>
              <w:pStyle w:val="Compact"/>
              <w:jc w:val="right"/>
            </w:pPr>
            <w:r>
              <w:rPr>
                <w:rFonts w:hint="eastAsia"/>
              </w:rPr>
              <w:t xml:space="preserve">+5.59亿</w:t>
            </w:r>
          </w:p>
        </w:tc>
      </w:tr>
      <w:tr>
        <w:tc>
          <w:tcPr/>
          <w:p>
            <w:pPr>
              <w:pStyle w:val="Compact"/>
              <w:jc w:val="right"/>
            </w:pPr>
            <w:r>
              <w:t xml:space="preserve">8</w:t>
            </w:r>
          </w:p>
        </w:tc>
        <w:tc>
          <w:tcPr/>
          <w:p>
            <w:pPr>
              <w:pStyle w:val="Compact"/>
            </w:pPr>
            <w:r>
              <w:rPr>
                <w:rFonts w:hint="eastAsia"/>
              </w:rPr>
              <w:t xml:space="preserve">有研硅</w:t>
            </w:r>
          </w:p>
        </w:tc>
        <w:tc>
          <w:tcPr/>
          <w:p>
            <w:pPr>
              <w:pStyle w:val="Compact"/>
            </w:pPr>
            <w:r>
              <w:t xml:space="preserve">688432</w:t>
            </w:r>
          </w:p>
        </w:tc>
        <w:tc>
          <w:tcPr/>
          <w:p>
            <w:pPr>
              <w:pStyle w:val="Compact"/>
              <w:jc w:val="right"/>
            </w:pPr>
            <w:r>
              <w:rPr>
                <w:rFonts w:hint="eastAsia"/>
              </w:rPr>
              <w:t xml:space="preserve">+5.54亿</w:t>
            </w:r>
          </w:p>
        </w:tc>
      </w:tr>
      <w:tr>
        <w:tc>
          <w:tcPr/>
          <w:p>
            <w:pPr>
              <w:pStyle w:val="Compact"/>
              <w:jc w:val="right"/>
            </w:pPr>
            <w:r>
              <w:t xml:space="preserve">9</w:t>
            </w:r>
          </w:p>
        </w:tc>
        <w:tc>
          <w:tcPr/>
          <w:p>
            <w:pPr>
              <w:pStyle w:val="Compact"/>
            </w:pPr>
            <w:r>
              <w:rPr>
                <w:rFonts w:hint="eastAsia"/>
              </w:rPr>
              <w:t xml:space="preserve">洛阳钼业</w:t>
            </w:r>
          </w:p>
        </w:tc>
        <w:tc>
          <w:tcPr/>
          <w:p>
            <w:pPr>
              <w:pStyle w:val="Compact"/>
            </w:pPr>
            <w:r>
              <w:t xml:space="preserve">603993</w:t>
            </w:r>
          </w:p>
        </w:tc>
        <w:tc>
          <w:tcPr/>
          <w:p>
            <w:pPr>
              <w:pStyle w:val="Compact"/>
              <w:jc w:val="right"/>
            </w:pPr>
            <w:r>
              <w:rPr>
                <w:rFonts w:hint="eastAsia"/>
              </w:rPr>
              <w:t xml:space="preserve">+5.20亿</w:t>
            </w:r>
          </w:p>
        </w:tc>
      </w:tr>
      <w:tr>
        <w:tc>
          <w:tcPr/>
          <w:p>
            <w:pPr>
              <w:pStyle w:val="Compact"/>
              <w:jc w:val="right"/>
            </w:pPr>
            <w:r>
              <w:t xml:space="preserve">10</w:t>
            </w:r>
          </w:p>
        </w:tc>
        <w:tc>
          <w:tcPr/>
          <w:p>
            <w:pPr>
              <w:pStyle w:val="Compact"/>
            </w:pPr>
            <w:r>
              <w:rPr>
                <w:rFonts w:hint="eastAsia"/>
              </w:rPr>
              <w:t xml:space="preserve">盈新发展</w:t>
            </w:r>
          </w:p>
        </w:tc>
        <w:tc>
          <w:tcPr/>
          <w:p>
            <w:pPr>
              <w:pStyle w:val="Compact"/>
            </w:pPr>
            <w:r>
              <w:t xml:space="preserve">000620</w:t>
            </w:r>
          </w:p>
        </w:tc>
        <w:tc>
          <w:tcPr/>
          <w:p>
            <w:pPr>
              <w:pStyle w:val="Compact"/>
              <w:jc w:val="right"/>
            </w:pPr>
            <w:r>
              <w:rPr>
                <w:rFonts w:hint="eastAsia"/>
              </w:rPr>
              <w:t xml:space="preserve">+4.93亿</w:t>
            </w:r>
          </w:p>
        </w:tc>
      </w:tr>
    </w:tbl>
    <w:p>
      <w:pPr>
        <w:pStyle w:val="BodyText"/>
      </w:pPr>
      <w:r>
        <w:t xml:space="preserve">💡 </w:t>
      </w:r>
      <w:r>
        <w:rPr>
          <w:rFonts w:hint="eastAsia"/>
        </w:rPr>
        <w:t xml:space="preserve">资金结论：</w:t>
      </w:r>
      <w:r>
        <w:t xml:space="preserve"> </w:t>
      </w:r>
      <w:r>
        <w:t xml:space="preserve">- </w:t>
      </w:r>
      <w:r>
        <w:rPr>
          <w:rFonts w:hint="eastAsia"/>
        </w:rPr>
        <w:t xml:space="preserve">流出最集中：半导体、通信设备、元件，属于AI硬件/科技高位链条主动兑现。</w:t>
      </w:r>
      <w:r>
        <w:t xml:space="preserve"> </w:t>
      </w:r>
      <w:r>
        <w:t xml:space="preserve">- </w:t>
      </w:r>
      <w:r>
        <w:rPr>
          <w:rFonts w:hint="eastAsia"/>
        </w:rPr>
        <w:t xml:space="preserve">流入最集中：工业金属、煤炭、贵金属、银行，说明资金从高估值成长切向资源与红利防御。</w:t>
      </w:r>
      <w:r>
        <w:t xml:space="preserve"> </w:t>
      </w:r>
      <w:r>
        <w:t xml:space="preserve">- </w:t>
      </w:r>
      <w:r>
        <w:rPr>
          <w:rFonts w:hint="eastAsia"/>
        </w:rPr>
        <w:t xml:space="preserve">今日若科技反弹但资金榜仍未回流，只按反抽处理；若资源/红利继续净流入，可维持防守主线评级。</w:t>
      </w:r>
    </w:p>
    <w:p>
      <w:r>
        <w:pict>
          <v:rect style="width:0;height:1.5pt" o:hralign="center" o:hrstd="t" o:hr="t"/>
        </w:pict>
      </w:r>
    </w:p>
    <w:bookmarkEnd w:id="31"/>
    <w:bookmarkEnd w:id="32"/>
    <w:bookmarkStart w:id="37" w:name="两融宽基etf成交额恐慌联合信号"/>
    <w:p>
      <w:pPr>
        <w:pStyle w:val="Heading2"/>
      </w:pPr>
      <w:r>
        <w:t xml:space="preserve">💧 </w:t>
      </w:r>
      <w:r>
        <w:rPr>
          <w:rFonts w:hint="eastAsia"/>
        </w:rPr>
        <w:t xml:space="preserve">两融·宽基ETF·成交额·恐慌联合信号</w:t>
      </w:r>
    </w:p>
    <w:bookmarkStart w:id="33" w:name="两融余额t1滞后报告日当日两融尚未发布"/>
    <w:p>
      <w:pPr>
        <w:pStyle w:val="Heading3"/>
      </w:pPr>
      <w:r>
        <w:t xml:space="preserve">💰 </w:t>
      </w:r>
      <w:r>
        <w:rPr>
          <w:rFonts w:hint="eastAsia"/>
        </w:rPr>
        <w:t xml:space="preserve">两融余额：T+1滞后，报告日当日两融尚未发布</w:t>
      </w:r>
    </w:p>
    <w:tbl>
      <w:tblPr>
        <w:tblStyle w:val="Table"/>
        <w:tblW w:type="pct" w:w="5000"/>
        <w:tblLayout w:type="fixed"/>
        <w:tblLook w:firstRow="1" w:lastRow="0" w:firstColumn="0" w:lastColumn="0" w:noHBand="0" w:noVBand="0" w:val="0020"/>
      </w:tblPr>
      <w:tblGrid>
        <w:gridCol w:w="1584"/>
        <w:gridCol w:w="2112"/>
        <w:gridCol w:w="2112"/>
        <w:gridCol w:w="2112"/>
      </w:tblGrid>
      <w:tr>
        <w:trPr>
          <w:tblHeader w:val="on"/>
        </w:trPr>
        <w:tc>
          <w:tcPr/>
          <w:p>
            <w:pPr>
              <w:pStyle w:val="Compact"/>
            </w:pPr>
            <w:r>
              <w:rPr>
                <w:rFonts w:hint="eastAsia"/>
              </w:rPr>
              <w:t xml:space="preserve">指标</w:t>
            </w:r>
          </w:p>
        </w:tc>
        <w:tc>
          <w:tcPr/>
          <w:p>
            <w:pPr>
              <w:pStyle w:val="Compact"/>
              <w:jc w:val="right"/>
            </w:pPr>
            <w:r>
              <w:rPr>
                <w:rFonts w:hint="eastAsia"/>
              </w:rPr>
              <w:t xml:space="preserve">最新结算日2026-08-21</w:t>
            </w:r>
          </w:p>
        </w:tc>
        <w:tc>
          <w:tcPr/>
          <w:p>
            <w:pPr>
              <w:pStyle w:val="Compact"/>
              <w:jc w:val="right"/>
            </w:pPr>
            <w:r>
              <w:rPr>
                <w:rFonts w:hint="eastAsia"/>
              </w:rPr>
              <w:t xml:space="preserve">前一结算日2026-08-20</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26603.69601883亿元</w:t>
            </w:r>
          </w:p>
        </w:tc>
        <w:tc>
          <w:tcPr/>
          <w:p>
            <w:pPr>
              <w:pStyle w:val="Compact"/>
              <w:jc w:val="right"/>
            </w:pPr>
            <w:r>
              <w:rPr>
                <w:rFonts w:hint="eastAsia"/>
              </w:rPr>
              <w:t xml:space="preserve">26663.56485483亿元</w:t>
            </w:r>
          </w:p>
        </w:tc>
        <w:tc>
          <w:tcPr/>
          <w:p>
            <w:pPr>
              <w:pStyle w:val="Compact"/>
              <w:jc w:val="right"/>
            </w:pPr>
            <w:r>
              <w:rPr>
                <w:rFonts w:hint="eastAsia"/>
              </w:rPr>
              <w:t xml:space="preserve">减少59.868836亿元</w:t>
            </w:r>
          </w:p>
        </w:tc>
      </w:tr>
      <w:tr>
        <w:tc>
          <w:tcPr/>
          <w:p>
            <w:pPr>
              <w:pStyle w:val="Compact"/>
            </w:pPr>
            <w:r>
              <w:rPr>
                <w:rFonts w:hint="eastAsia"/>
              </w:rPr>
              <w:t xml:space="preserve">融资余额</w:t>
            </w:r>
          </w:p>
        </w:tc>
        <w:tc>
          <w:tcPr/>
          <w:p>
            <w:pPr>
              <w:pStyle w:val="Compact"/>
              <w:jc w:val="right"/>
            </w:pPr>
            <w:r>
              <w:rPr>
                <w:rFonts w:hint="eastAsia"/>
              </w:rPr>
              <w:t xml:space="preserve">26333.15270087亿元</w:t>
            </w:r>
          </w:p>
        </w:tc>
        <w:tc>
          <w:tcPr/>
          <w:p>
            <w:pPr>
              <w:pStyle w:val="Compact"/>
              <w:jc w:val="right"/>
            </w:pPr>
            <w:r>
              <w:rPr>
                <w:rFonts w:hint="eastAsia"/>
              </w:rPr>
              <w:t xml:space="preserve">26395.21849011亿元</w:t>
            </w:r>
          </w:p>
        </w:tc>
        <w:tc>
          <w:tcPr/>
          <w:p>
            <w:pPr>
              <w:pStyle w:val="Compact"/>
              <w:jc w:val="right"/>
            </w:pPr>
            <w:r>
              <w:rPr>
                <w:rFonts w:hint="eastAsia"/>
              </w:rPr>
              <w:t xml:space="preserve">减少62.06578924亿元</w:t>
            </w:r>
          </w:p>
        </w:tc>
      </w:tr>
      <w:tr>
        <w:tc>
          <w:tcPr/>
          <w:p>
            <w:pPr>
              <w:pStyle w:val="Compact"/>
            </w:pPr>
            <w:r>
              <w:rPr>
                <w:rFonts w:hint="eastAsia"/>
              </w:rPr>
              <w:t xml:space="preserve">融券余额</w:t>
            </w:r>
          </w:p>
        </w:tc>
        <w:tc>
          <w:tcPr/>
          <w:p>
            <w:pPr>
              <w:pStyle w:val="Compact"/>
              <w:jc w:val="right"/>
            </w:pPr>
            <w:r>
              <w:rPr>
                <w:rFonts w:hint="eastAsia"/>
              </w:rPr>
              <w:t xml:space="preserve">270.54331796亿元</w:t>
            </w:r>
          </w:p>
        </w:tc>
        <w:tc>
          <w:tcPr/>
          <w:p>
            <w:pPr>
              <w:pStyle w:val="Compact"/>
              <w:jc w:val="right"/>
            </w:pPr>
            <w:r>
              <w:rPr>
                <w:rFonts w:hint="eastAsia"/>
              </w:rPr>
              <w:t xml:space="preserve">268.34636472亿元</w:t>
            </w:r>
          </w:p>
        </w:tc>
        <w:tc>
          <w:tcPr/>
          <w:p>
            <w:pPr>
              <w:pStyle w:val="Compact"/>
              <w:jc w:val="right"/>
            </w:pPr>
            <w:r>
              <w:rPr>
                <w:rFonts w:hint="eastAsia"/>
              </w:rPr>
              <w:t xml:space="preserve">增加2.19695324亿元</w:t>
            </w:r>
          </w:p>
        </w:tc>
      </w:tr>
    </w:tbl>
    <w:p>
      <w:pPr>
        <w:pStyle w:val="BodyText"/>
      </w:pPr>
      <w:r>
        <w:t xml:space="preserve">💡 </w:t>
      </w:r>
      <w:r>
        <w:rPr>
          <w:rFonts w:hint="eastAsia"/>
        </w:rPr>
        <w:t xml:space="preserve">杠杆风险偏好解读：</w:t>
      </w:r>
      <w:r>
        <w:t xml:space="preserve"> </w:t>
      </w:r>
      <w:r>
        <w:t xml:space="preserve">- </w:t>
      </w:r>
      <w:r>
        <w:rPr>
          <w:rFonts w:hint="eastAsia"/>
        </w:rPr>
        <w:t xml:space="preserve">本轮两融余额下降主要由融资余额减少驱动。</w:t>
      </w:r>
      <w:r>
        <w:t xml:space="preserve"> </w:t>
      </w:r>
      <w:r>
        <w:t xml:space="preserve">- </w:t>
      </w:r>
      <w:r>
        <w:rPr>
          <w:rFonts w:hint="eastAsia"/>
        </w:rPr>
        <w:t xml:space="preserve">融资余额减少62.06578924亿元，说明杠杆多头在2026-08-21结算日主动降风险。</w:t>
      </w:r>
      <w:r>
        <w:t xml:space="preserve"> </w:t>
      </w:r>
      <w:r>
        <w:t xml:space="preserve">- </w:t>
      </w:r>
      <w:r>
        <w:rPr>
          <w:rFonts w:hint="eastAsia"/>
        </w:rPr>
        <w:t xml:space="preserve">融券余额增加2.19695324亿元，幅度小于融资收缩，对总量方向影响有限。</w:t>
      </w:r>
      <w:r>
        <w:t xml:space="preserve"> </w:t>
      </w:r>
      <w:r>
        <w:t xml:space="preserve">- </w:t>
      </w:r>
      <w:r>
        <w:rPr>
          <w:rFonts w:hint="eastAsia"/>
        </w:rPr>
        <w:t xml:space="preserve">必须强调：T+1滞后，报告日当日两融尚未发布，不能写成“今日两融减少”。</w:t>
      </w:r>
    </w:p>
    <w:bookmarkEnd w:id="33"/>
    <w:bookmarkStart w:id="34" w:name="宽基etf份额与净申购估算"/>
    <w:p>
      <w:pPr>
        <w:pStyle w:val="Heading3"/>
      </w:pPr>
      <w:r>
        <w:t xml:space="preserve">💧 </w:t>
      </w:r>
      <w:r>
        <w:rPr>
          <w:rFonts w:hint="eastAsia"/>
        </w:rPr>
        <w:t xml:space="preserve">宽基ETF份额与净申购估算</w:t>
      </w:r>
    </w:p>
    <w:tbl>
      <w:tblPr>
        <w:tblStyle w:val="Table"/>
        <w:tblW w:type="pct" w:w="5000"/>
        <w:tblLayout w:type="fixed"/>
        <w:tblLook w:firstRow="1" w:lastRow="0" w:firstColumn="0" w:lastColumn="0" w:noHBand="0" w:noVBand="0" w:val="0020"/>
      </w:tblPr>
      <w:tblGrid>
        <w:gridCol w:w="1397"/>
        <w:gridCol w:w="1397"/>
        <w:gridCol w:w="1863"/>
        <w:gridCol w:w="1863"/>
        <w:gridCol w:w="1397"/>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上证50ETF</w:t>
            </w:r>
          </w:p>
        </w:tc>
        <w:tc>
          <w:tcPr/>
          <w:p>
            <w:pPr>
              <w:pStyle w:val="Compact"/>
            </w:pPr>
            <w:r>
              <w:t xml:space="preserve">2026-08-24</w:t>
            </w:r>
          </w:p>
        </w:tc>
        <w:tc>
          <w:tcPr/>
          <w:p>
            <w:pPr>
              <w:pStyle w:val="Compact"/>
              <w:jc w:val="right"/>
            </w:pPr>
            <w:r>
              <w:rPr>
                <w:rFonts w:hint="eastAsia"/>
              </w:rPr>
              <w:t xml:space="preserve">+195300000份</w:t>
            </w:r>
          </w:p>
        </w:tc>
        <w:tc>
          <w:tcPr/>
          <w:p>
            <w:pPr>
              <w:pStyle w:val="Compact"/>
              <w:jc w:val="right"/>
            </w:pPr>
            <w:r>
              <w:rPr>
                <w:rFonts w:hint="eastAsia"/>
              </w:rPr>
              <w:t xml:space="preserve">+5.817987亿元</w:t>
            </w:r>
          </w:p>
        </w:tc>
        <w:tc>
          <w:tcPr/>
          <w:p>
            <w:pPr>
              <w:pStyle w:val="Compact"/>
            </w:pPr>
            <w:r>
              <w:rPr>
                <w:rFonts w:hint="eastAsia"/>
              </w:rPr>
              <w:t xml:space="preserve">是，3个区间</w:t>
            </w:r>
          </w:p>
        </w:tc>
      </w:tr>
      <w:tr>
        <w:tc>
          <w:tcPr/>
          <w:p>
            <w:pPr>
              <w:pStyle w:val="Compact"/>
            </w:pPr>
            <w:r>
              <w:rPr>
                <w:rFonts w:hint="eastAsia"/>
              </w:rPr>
              <w:t xml:space="preserve">沪深300ETF</w:t>
            </w:r>
          </w:p>
        </w:tc>
        <w:tc>
          <w:tcPr/>
          <w:p>
            <w:pPr>
              <w:pStyle w:val="Compact"/>
            </w:pPr>
            <w:r>
              <w:t xml:space="preserve">2026-08-24</w:t>
            </w:r>
          </w:p>
        </w:tc>
        <w:tc>
          <w:tcPr/>
          <w:p>
            <w:pPr>
              <w:pStyle w:val="Compact"/>
              <w:jc w:val="right"/>
            </w:pPr>
            <w:r>
              <w:rPr>
                <w:rFonts w:hint="eastAsia"/>
              </w:rPr>
              <w:t xml:space="preserve">+327600000份</w:t>
            </w:r>
          </w:p>
        </w:tc>
        <w:tc>
          <w:tcPr/>
          <w:p>
            <w:pPr>
              <w:pStyle w:val="Compact"/>
              <w:jc w:val="right"/>
            </w:pPr>
            <w:r>
              <w:rPr>
                <w:rFonts w:hint="eastAsia"/>
              </w:rPr>
              <w:t xml:space="preserve">+15.158052亿元</w:t>
            </w:r>
          </w:p>
        </w:tc>
        <w:tc>
          <w:tcPr/>
          <w:p>
            <w:pPr>
              <w:pStyle w:val="Compact"/>
            </w:pPr>
            <w:r>
              <w:rPr>
                <w:rFonts w:hint="eastAsia"/>
              </w:rPr>
              <w:t xml:space="preserve">否，1个区间</w:t>
            </w:r>
          </w:p>
        </w:tc>
      </w:tr>
      <w:tr>
        <w:tc>
          <w:tcPr/>
          <w:p>
            <w:pPr>
              <w:pStyle w:val="Compact"/>
            </w:pPr>
            <w:r>
              <w:rPr>
                <w:rFonts w:hint="eastAsia"/>
              </w:rPr>
              <w:t xml:space="preserve">科创50ETF</w:t>
            </w:r>
          </w:p>
        </w:tc>
        <w:tc>
          <w:tcPr/>
          <w:p>
            <w:pPr>
              <w:pStyle w:val="Compact"/>
            </w:pPr>
            <w:r>
              <w:t xml:space="preserve">2026-08-24</w:t>
            </w:r>
          </w:p>
        </w:tc>
        <w:tc>
          <w:tcPr/>
          <w:p>
            <w:pPr>
              <w:pStyle w:val="Compact"/>
              <w:jc w:val="right"/>
            </w:pPr>
            <w:r>
              <w:rPr>
                <w:rFonts w:hint="eastAsia"/>
              </w:rPr>
              <w:t xml:space="preserve">+1269000000份</w:t>
            </w:r>
          </w:p>
        </w:tc>
        <w:tc>
          <w:tcPr/>
          <w:p>
            <w:pPr>
              <w:pStyle w:val="Compact"/>
              <w:jc w:val="right"/>
            </w:pPr>
            <w:r>
              <w:rPr>
                <w:rFonts w:hint="eastAsia"/>
              </w:rPr>
              <w:t xml:space="preserve">+21.45879亿元</w:t>
            </w:r>
          </w:p>
        </w:tc>
        <w:tc>
          <w:tcPr/>
          <w:p>
            <w:pPr>
              <w:pStyle w:val="Compact"/>
            </w:pPr>
            <w:r>
              <w:rPr>
                <w:rFonts w:hint="eastAsia"/>
              </w:rPr>
              <w:t xml:space="preserve">否，1个区间</w:t>
            </w:r>
          </w:p>
        </w:tc>
      </w:tr>
      <w:tr>
        <w:tc>
          <w:tcPr/>
          <w:p>
            <w:pPr>
              <w:pStyle w:val="Compact"/>
            </w:pPr>
            <w:r>
              <w:rPr>
                <w:rFonts w:hint="eastAsia"/>
              </w:rPr>
              <w:t xml:space="preserve">科创板50ETF</w:t>
            </w:r>
          </w:p>
        </w:tc>
        <w:tc>
          <w:tcPr/>
          <w:p>
            <w:pPr>
              <w:pStyle w:val="Compact"/>
            </w:pPr>
            <w:r>
              <w:t xml:space="preserve">2026-08-24</w:t>
            </w:r>
          </w:p>
        </w:tc>
        <w:tc>
          <w:tcPr/>
          <w:p>
            <w:pPr>
              <w:pStyle w:val="Compact"/>
              <w:jc w:val="right"/>
            </w:pPr>
            <w:r>
              <w:rPr>
                <w:rFonts w:hint="eastAsia"/>
              </w:rPr>
              <w:t xml:space="preserve">+351000000份</w:t>
            </w:r>
          </w:p>
        </w:tc>
        <w:tc>
          <w:tcPr/>
          <w:p>
            <w:pPr>
              <w:pStyle w:val="Compact"/>
              <w:jc w:val="right"/>
            </w:pPr>
            <w:r>
              <w:rPr>
                <w:rFonts w:hint="eastAsia"/>
              </w:rPr>
              <w:t xml:space="preserve">+5.75991亿元</w:t>
            </w:r>
          </w:p>
        </w:tc>
        <w:tc>
          <w:tcPr/>
          <w:p>
            <w:pPr>
              <w:pStyle w:val="Compact"/>
            </w:pPr>
            <w:r>
              <w:rPr>
                <w:rFonts w:hint="eastAsia"/>
              </w:rPr>
              <w:t xml:space="preserve">是，3个区间</w:t>
            </w:r>
          </w:p>
        </w:tc>
      </w:tr>
      <w:tr>
        <w:tc>
          <w:tcPr/>
          <w:p>
            <w:pPr>
              <w:pStyle w:val="Compact"/>
            </w:pPr>
            <w:r>
              <w:rPr>
                <w:rFonts w:hint="eastAsia"/>
              </w:rPr>
              <w:t xml:space="preserve">创业板ETF</w:t>
            </w:r>
          </w:p>
        </w:tc>
        <w:tc>
          <w:tcPr/>
          <w:p>
            <w:pPr>
              <w:pStyle w:val="Compact"/>
            </w:pPr>
            <w:r>
              <w:t xml:space="preserve">2026-08-24</w:t>
            </w:r>
          </w:p>
        </w:tc>
        <w:tc>
          <w:tcPr/>
          <w:p>
            <w:pPr>
              <w:pStyle w:val="Compact"/>
              <w:jc w:val="right"/>
            </w:pPr>
            <w:r>
              <w:rPr>
                <w:rFonts w:hint="eastAsia"/>
              </w:rPr>
              <w:t xml:space="preserve">+571000000份</w:t>
            </w:r>
          </w:p>
        </w:tc>
        <w:tc>
          <w:tcPr/>
          <w:p>
            <w:pPr>
              <w:pStyle w:val="Compact"/>
              <w:jc w:val="right"/>
            </w:pPr>
            <w:r>
              <w:rPr>
                <w:rFonts w:hint="eastAsia"/>
              </w:rPr>
              <w:t xml:space="preserve">+19.73947亿元</w:t>
            </w:r>
          </w:p>
        </w:tc>
        <w:tc>
          <w:tcPr/>
          <w:p>
            <w:pPr>
              <w:pStyle w:val="Compact"/>
            </w:pPr>
            <w:r>
              <w:rPr>
                <w:rFonts w:hint="eastAsia"/>
              </w:rPr>
              <w:t xml:space="preserve">否，1个区间</w:t>
            </w:r>
          </w:p>
        </w:tc>
      </w:tr>
    </w:tbl>
    <w:p>
      <w:pPr>
        <w:pStyle w:val="BodyText"/>
      </w:pPr>
      <w:r>
        <w:t xml:space="preserve">💡 </w:t>
      </w:r>
      <w:r>
        <w:rPr>
          <w:rFonts w:hint="eastAsia"/>
        </w:rPr>
        <w:t xml:space="preserve">ETF信号：</w:t>
      </w:r>
      <w:r>
        <w:t xml:space="preserve"> </w:t>
      </w:r>
      <w:r>
        <w:t xml:space="preserve">- </w:t>
      </w:r>
      <w:r>
        <w:rPr>
          <w:rFonts w:hint="eastAsia"/>
        </w:rPr>
        <w:t xml:space="preserve">连续净申购的宽基ETF为上证50ETF、科创板50ETF。</w:t>
      </w:r>
      <w:r>
        <w:t xml:space="preserve"> </w:t>
      </w:r>
      <w:r>
        <w:t xml:space="preserve">- </w:t>
      </w:r>
      <w:r>
        <w:rPr>
          <w:rFonts w:hint="eastAsia"/>
        </w:rPr>
        <w:t xml:space="preserve">上证50ETF与科创板50ETF同时达到连续大额净申购条件。</w:t>
      </w:r>
      <w:r>
        <w:t xml:space="preserve"> </w:t>
      </w:r>
      <w:r>
        <w:t xml:space="preserve">- </w:t>
      </w:r>
      <w:r>
        <w:rPr>
          <w:rFonts w:hint="eastAsia"/>
        </w:rPr>
        <w:t xml:space="preserve">但沪深300ETF、科创50ETF、创业板ETF均为单区间回流，不能直接判定全面持续托底。</w:t>
      </w:r>
    </w:p>
    <w:bookmarkEnd w:id="34"/>
    <w:bookmarkStart w:id="35" w:name="成交额与恐慌代理"/>
    <w:p>
      <w:pPr>
        <w:pStyle w:val="Heading3"/>
      </w:pPr>
      <w:r>
        <w:t xml:space="preserve">📊 </w:t>
      </w:r>
      <w:r>
        <w:rPr>
          <w:rFonts w:hint="eastAsia"/>
        </w:rPr>
        <w:t xml:space="preserve">成交额与恐慌代理</w:t>
      </w:r>
    </w:p>
    <w:p>
      <w:pPr>
        <w:pStyle w:val="Compact"/>
        <w:numPr>
          <w:ilvl w:val="0"/>
          <w:numId w:val="1005"/>
        </w:numPr>
      </w:pPr>
      <w:r>
        <w:rPr>
          <w:rFonts w:hint="eastAsia"/>
        </w:rPr>
        <w:t xml:space="preserve">全市场成交额：20212.14亿元。</w:t>
      </w:r>
    </w:p>
    <w:p>
      <w:pPr>
        <w:pStyle w:val="Compact"/>
        <w:numPr>
          <w:ilvl w:val="0"/>
          <w:numId w:val="1005"/>
        </w:numPr>
      </w:pPr>
      <w:r>
        <w:rPr>
          <w:rFonts w:hint="eastAsia"/>
        </w:rPr>
        <w:t xml:space="preserve">前一交易日成交额：18922.57亿元。</w:t>
      </w:r>
    </w:p>
    <w:p>
      <w:pPr>
        <w:pStyle w:val="Compact"/>
        <w:numPr>
          <w:ilvl w:val="0"/>
          <w:numId w:val="1005"/>
        </w:numPr>
      </w:pPr>
      <w:r>
        <w:rPr>
          <w:rFonts w:hint="eastAsia"/>
        </w:rPr>
        <w:t xml:space="preserve">成交额变化：+1289.57亿元，+6.81%。</w:t>
      </w:r>
    </w:p>
    <w:p>
      <w:pPr>
        <w:pStyle w:val="Compact"/>
        <w:numPr>
          <w:ilvl w:val="0"/>
          <w:numId w:val="1005"/>
        </w:numPr>
      </w:pPr>
      <w:r>
        <w:t xml:space="preserve">300ETF </w:t>
      </w:r>
      <w:r>
        <w:rPr>
          <w:rFonts w:hint="eastAsia"/>
        </w:rPr>
        <w:t xml:space="preserve">QVIX最新结算值：20.52。</w:t>
      </w:r>
    </w:p>
    <w:p>
      <w:pPr>
        <w:pStyle w:val="Compact"/>
        <w:numPr>
          <w:ilvl w:val="0"/>
          <w:numId w:val="1005"/>
        </w:numPr>
      </w:pPr>
      <w:r>
        <w:t xml:space="preserve">300ETF </w:t>
      </w:r>
      <w:r>
        <w:rPr>
          <w:rFonts w:hint="eastAsia"/>
        </w:rPr>
        <w:t xml:space="preserve">QVIX前收盘：18.73。</w:t>
      </w:r>
    </w:p>
    <w:p>
      <w:pPr>
        <w:pStyle w:val="Compact"/>
        <w:numPr>
          <w:ilvl w:val="0"/>
          <w:numId w:val="1005"/>
        </w:numPr>
      </w:pPr>
      <w:r>
        <w:rPr>
          <w:rFonts w:hint="eastAsia"/>
        </w:rPr>
        <w:t xml:space="preserve">QVIX变化：+1.79，+9.556860651361447%。</w:t>
      </w:r>
    </w:p>
    <w:p>
      <w:pPr>
        <w:pStyle w:val="Compact"/>
        <w:numPr>
          <w:ilvl w:val="0"/>
          <w:numId w:val="1005"/>
        </w:numPr>
      </w:pPr>
      <w:r>
        <w:rPr>
          <w:rFonts w:hint="eastAsia"/>
        </w:rPr>
        <w:t xml:space="preserve">20日峰值：2026-07-30，27.14。</w:t>
      </w:r>
    </w:p>
    <w:p>
      <w:pPr>
        <w:pStyle w:val="Compact"/>
        <w:numPr>
          <w:ilvl w:val="0"/>
          <w:numId w:val="1005"/>
        </w:numPr>
      </w:pPr>
      <w:r>
        <w:rPr>
          <w:rFonts w:hint="eastAsia"/>
        </w:rPr>
        <w:t xml:space="preserve">较20日峰值回落：24.392041267501845%。</w:t>
      </w:r>
    </w:p>
    <w:bookmarkEnd w:id="35"/>
    <w:bookmarkStart w:id="36" w:name="联合信号结论"/>
    <w:p>
      <w:pPr>
        <w:pStyle w:val="Heading3"/>
      </w:pPr>
      <w:r>
        <w:t xml:space="preserve">⚠️ </w:t>
      </w:r>
      <w:r>
        <w:rPr>
          <w:rFonts w:hint="eastAsia"/>
        </w:rPr>
        <w:t xml:space="preserve">联合信号结论</w:t>
      </w:r>
    </w:p>
    <w:p>
      <w:pPr>
        <w:pStyle w:val="FirstParagraph"/>
      </w:pPr>
      <w:r>
        <w:t xml:space="preserve">derived.liquidity_panic_signal.status=not_confirmed。</w:t>
      </w:r>
    </w:p>
    <w:p>
      <w:pPr>
        <w:pStyle w:val="BodyText"/>
      </w:pPr>
      <w:r>
        <w:t xml:space="preserve">💡 </w:t>
      </w:r>
      <w:r>
        <w:rPr>
          <w:rFonts w:hint="eastAsia"/>
        </w:rPr>
        <w:t xml:space="preserve">明确判断：</w:t>
      </w:r>
      <w:r>
        <w:t xml:space="preserve"> </w:t>
      </w:r>
      <w:r>
        <w:t xml:space="preserve">- </w:t>
      </w:r>
      <w:r>
        <w:rPr>
          <w:rFonts w:hint="eastAsia"/>
        </w:rPr>
        <w:t xml:space="preserve">恐慌高位降温且宽基ETF持续流入未确认。</w:t>
      </w:r>
      <w:r>
        <w:t xml:space="preserve"> </w:t>
      </w:r>
      <w:r>
        <w:t xml:space="preserve">- </w:t>
      </w:r>
      <w:r>
        <w:rPr>
          <w:rFonts w:hint="eastAsia"/>
        </w:rPr>
        <w:t xml:space="preserve">原因：虽然较20日峰值回落24.392041267501845%，但300ETF</w:t>
      </w:r>
      <w:r>
        <w:t xml:space="preserve"> </w:t>
      </w:r>
      <w:r>
        <w:rPr>
          <w:rFonts w:hint="eastAsia"/>
        </w:rPr>
        <w:t xml:space="preserve">QVIX较前收盘上升9.556860651361447%，不满足“较前收盘下降”的恐慌降温条件。</w:t>
      </w:r>
      <w:r>
        <w:t xml:space="preserve"> </w:t>
      </w:r>
      <w:r>
        <w:t xml:space="preserve">- </w:t>
      </w:r>
      <w:r>
        <w:rPr>
          <w:rFonts w:hint="eastAsia"/>
        </w:rPr>
        <w:t xml:space="preserve">操作含义：ETF资金有托底动作，但波动率重新抬升，今日仓位不能因ETF流入而盲目上调。</w:t>
      </w:r>
    </w:p>
    <w:p>
      <w:r>
        <w:pict>
          <v:rect style="width:0;height:1.5pt" o:hralign="center" o:hrstd="t" o:hr="t"/>
        </w:pict>
      </w:r>
    </w:p>
    <w:bookmarkEnd w:id="36"/>
    <w:bookmarkEnd w:id="37"/>
    <w:bookmarkStart w:id="39" w:name="今日操作策略先防守再等科技承接确认"/>
    <w:p>
      <w:pPr>
        <w:pStyle w:val="Heading2"/>
      </w:pPr>
      <w:r>
        <w:t xml:space="preserve">💡 </w:t>
      </w:r>
      <w:r>
        <w:rPr>
          <w:rFonts w:hint="eastAsia"/>
        </w:rPr>
        <w:t xml:space="preserve">今日操作策略：先防守，再等科技承接确认</w:t>
      </w:r>
    </w:p>
    <w:bookmarkStart w:id="38" w:name="三档仓位"/>
    <w:p>
      <w:pPr>
        <w:pStyle w:val="Heading3"/>
      </w:pPr>
      <w:r>
        <w:rPr>
          <w:rFonts w:hint="eastAsia"/>
        </w:rPr>
        <w:t xml:space="preserve">三档仓位</w:t>
      </w:r>
    </w:p>
    <w:tbl>
      <w:tblPr>
        <w:tblStyle w:val="Table"/>
        <w:tblW w:type="pct" w:w="5000"/>
        <w:tblLayout w:type="fixed"/>
        <w:tblLook w:firstRow="1" w:lastRow="0" w:firstColumn="0" w:lastColumn="0" w:noHBand="0" w:noVBand="0" w:val="0020"/>
      </w:tblPr>
      <w:tblGrid>
        <w:gridCol w:w="1827"/>
        <w:gridCol w:w="2436"/>
        <w:gridCol w:w="1827"/>
        <w:gridCol w:w="1827"/>
      </w:tblGrid>
      <w:tr>
        <w:trPr>
          <w:tblHeader w:val="on"/>
        </w:trPr>
        <w:tc>
          <w:tcPr/>
          <w:p>
            <w:pPr>
              <w:pStyle w:val="Compact"/>
            </w:pPr>
            <w:r>
              <w:rPr>
                <w:rFonts w:hint="eastAsia"/>
              </w:rPr>
              <w:t xml:space="preserve">档位</w:t>
            </w:r>
          </w:p>
        </w:tc>
        <w:tc>
          <w:tcPr/>
          <w:p>
            <w:pPr>
              <w:pStyle w:val="Compact"/>
              <w:jc w:val="right"/>
            </w:pPr>
            <w:r>
              <w:rPr>
                <w:rFonts w:hint="eastAsia"/>
              </w:rPr>
              <w:t xml:space="preserve">仓位</w:t>
            </w:r>
          </w:p>
        </w:tc>
        <w:tc>
          <w:tcPr/>
          <w:p>
            <w:pPr>
              <w:pStyle w:val="Compact"/>
            </w:pPr>
            <w:r>
              <w:rPr>
                <w:rFonts w:hint="eastAsia"/>
              </w:rPr>
              <w:t xml:space="preserve">触发条件</w:t>
            </w:r>
          </w:p>
        </w:tc>
        <w:tc>
          <w:tcPr/>
          <w:p>
            <w:pPr>
              <w:pStyle w:val="Compact"/>
            </w:pPr>
            <w:r>
              <w:rPr>
                <w:rFonts w:hint="eastAsia"/>
              </w:rPr>
              <w:t xml:space="preserve">今日动作</w:t>
            </w:r>
          </w:p>
        </w:tc>
      </w:tr>
      <w:tr>
        <w:tc>
          <w:tcPr/>
          <w:p>
            <w:pPr>
              <w:pStyle w:val="Compact"/>
            </w:pPr>
            <w:r>
              <w:rPr>
                <w:rFonts w:hint="eastAsia"/>
              </w:rPr>
              <w:t xml:space="preserve">保守</w:t>
            </w:r>
          </w:p>
        </w:tc>
        <w:tc>
          <w:tcPr/>
          <w:p>
            <w:pPr>
              <w:pStyle w:val="Compact"/>
              <w:jc w:val="right"/>
            </w:pPr>
            <w:r>
              <w:t xml:space="preserve">15%</w:t>
            </w:r>
          </w:p>
        </w:tc>
        <w:tc>
          <w:tcPr/>
          <w:p>
            <w:pPr>
              <w:pStyle w:val="Compact"/>
            </w:pPr>
            <w:r>
              <w:rPr>
                <w:rFonts w:hint="eastAsia"/>
              </w:rPr>
              <w:t xml:space="preserve">开盘延续下跌，涨跌比无法修复，科技核心继续放量下杀</w:t>
            </w:r>
          </w:p>
        </w:tc>
        <w:tc>
          <w:tcPr/>
          <w:p>
            <w:pPr>
              <w:pStyle w:val="Compact"/>
            </w:pPr>
            <w:r>
              <w:rPr>
                <w:rFonts w:hint="eastAsia"/>
              </w:rPr>
              <w:t xml:space="preserve">只保留资源/红利中低位趋势股</w:t>
            </w:r>
          </w:p>
        </w:tc>
      </w:tr>
      <w:tr>
        <w:tc>
          <w:tcPr/>
          <w:p>
            <w:pPr>
              <w:pStyle w:val="Compact"/>
            </w:pPr>
            <w:r>
              <w:rPr>
                <w:rFonts w:hint="eastAsia"/>
              </w:rPr>
              <w:t xml:space="preserve">均衡</w:t>
            </w:r>
          </w:p>
        </w:tc>
        <w:tc>
          <w:tcPr/>
          <w:p>
            <w:pPr>
              <w:pStyle w:val="Compact"/>
              <w:jc w:val="right"/>
            </w:pPr>
            <w:r>
              <w:t xml:space="preserve">30%</w:t>
            </w:r>
          </w:p>
        </w:tc>
        <w:tc>
          <w:tcPr/>
          <w:p>
            <w:pPr>
              <w:pStyle w:val="Compact"/>
            </w:pPr>
            <w:r>
              <w:rPr>
                <w:rFonts w:hint="eastAsia"/>
              </w:rPr>
              <w:t xml:space="preserve">指数止跌，成交额不失真，资源与红利延续，科技不再扩大流出</w:t>
            </w:r>
          </w:p>
        </w:tc>
        <w:tc>
          <w:tcPr/>
          <w:p>
            <w:pPr>
              <w:pStyle w:val="Compact"/>
            </w:pPr>
            <w:r>
              <w:rPr>
                <w:rFonts w:hint="eastAsia"/>
              </w:rPr>
              <w:t xml:space="preserve">参与A类右侧趋势，不追高</w:t>
            </w:r>
          </w:p>
        </w:tc>
      </w:tr>
      <w:tr>
        <w:tc>
          <w:tcPr/>
          <w:p>
            <w:pPr>
              <w:pStyle w:val="Compact"/>
            </w:pPr>
            <w:r>
              <w:rPr>
                <w:rFonts w:hint="eastAsia"/>
              </w:rPr>
              <w:t xml:space="preserve">进攻</w:t>
            </w:r>
          </w:p>
        </w:tc>
        <w:tc>
          <w:tcPr/>
          <w:p>
            <w:pPr>
              <w:pStyle w:val="Compact"/>
              <w:jc w:val="right"/>
            </w:pPr>
            <w:r>
              <w:t xml:space="preserve">40%</w:t>
            </w:r>
          </w:p>
        </w:tc>
        <w:tc>
          <w:tcPr/>
          <w:p>
            <w:pPr>
              <w:pStyle w:val="Compact"/>
            </w:pPr>
            <w:r>
              <w:rPr>
                <w:rFonts w:hint="eastAsia"/>
              </w:rPr>
              <w:t xml:space="preserve">放量修复，涨跌比回到1以上，科技核心资金明显回流</w:t>
            </w:r>
          </w:p>
        </w:tc>
        <w:tc>
          <w:tcPr/>
          <w:p>
            <w:pPr>
              <w:pStyle w:val="Compact"/>
            </w:pPr>
            <w:r>
              <w:rPr>
                <w:rFonts w:hint="eastAsia"/>
              </w:rPr>
              <w:t xml:space="preserve">只做确认后的二波，不做反抽追涨</w:t>
            </w:r>
          </w:p>
        </w:tc>
      </w:tr>
    </w:tbl>
    <w:p>
      <w:pPr>
        <w:pStyle w:val="BodyText"/>
      </w:pPr>
      <w:r>
        <w:t xml:space="preserve">💡 </w:t>
      </w:r>
      <w:r>
        <w:rPr>
          <w:rFonts w:hint="eastAsia"/>
        </w:rPr>
        <w:t xml:space="preserve">总仓位上限：</w:t>
      </w:r>
      <w:r>
        <w:t xml:space="preserve"> </w:t>
      </w:r>
      <w:r>
        <w:t xml:space="preserve">- derived.position_model.max_position_pct=50%。</w:t>
      </w:r>
      <w:r>
        <w:t xml:space="preserve"> </w:t>
      </w:r>
      <w:r>
        <w:t xml:space="preserve">- </w:t>
      </w:r>
      <w:r>
        <w:rPr>
          <w:rFonts w:hint="eastAsia"/>
        </w:rPr>
        <w:t xml:space="preserve">今日建议实际中枢30%，上限40%，除非盘中出现资金回流、涨跌比修复、核心股止跌三重确认，否则不打满。</w:t>
      </w:r>
      <w:r>
        <w:t xml:space="preserve"> </w:t>
      </w:r>
      <w:r>
        <w:t xml:space="preserve">- </w:t>
      </w:r>
      <w:r>
        <w:rPr>
          <w:rFonts w:hint="eastAsia"/>
        </w:rPr>
        <w:t xml:space="preserve">行为金融信号risk_score=1，系统提示“按原仓位模型执行，避免无依据扩大仓位”。</w:t>
      </w:r>
    </w:p>
    <w:p>
      <w:r>
        <w:pict>
          <v:rect style="width:0;height:1.5pt" o:hralign="center" o:hrstd="t" o:hr="t"/>
        </w:pict>
      </w:r>
    </w:p>
    <w:bookmarkEnd w:id="38"/>
    <w:bookmarkEnd w:id="39"/>
    <w:bookmarkStart w:id="41" w:name="市场风格预判偏权重偏价值偏防守"/>
    <w:p>
      <w:pPr>
        <w:pStyle w:val="Heading2"/>
      </w:pPr>
      <w:r>
        <w:t xml:space="preserve">🎨 </w:t>
      </w:r>
      <w:r>
        <w:rPr>
          <w:rFonts w:hint="eastAsia"/>
        </w:rPr>
        <w:t xml:space="preserve">市场风格预判：偏权重、偏价值、偏防守</w:t>
      </w:r>
    </w:p>
    <w:bookmarkStart w:id="40" w:name="风格仪表盘"/>
    <w:p>
      <w:pPr>
        <w:pStyle w:val="Heading3"/>
      </w:pPr>
      <w:r>
        <w:t xml:space="preserve">📌 </w:t>
      </w:r>
      <w:r>
        <w:rPr>
          <w:rFonts w:hint="eastAsia"/>
        </w:rPr>
        <w:t xml:space="preserve">风格仪表盘</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维度</w:t>
            </w:r>
          </w:p>
        </w:tc>
        <w:tc>
          <w:tcPr/>
          <w:p>
            <w:pPr>
              <w:pStyle w:val="Compact"/>
            </w:pPr>
            <w:r>
              <w:rPr>
                <w:rFonts w:hint="eastAsia"/>
              </w:rPr>
              <w:t xml:space="preserve">当前判断</w:t>
            </w:r>
          </w:p>
        </w:tc>
      </w:tr>
      <w:tr>
        <w:tc>
          <w:tcPr/>
          <w:p>
            <w:pPr>
              <w:pStyle w:val="Compact"/>
            </w:pPr>
            <w:r>
              <w:rPr>
                <w:rFonts w:hint="eastAsia"/>
              </w:rPr>
              <w:t xml:space="preserve">大小盘</w:t>
            </w:r>
          </w:p>
        </w:tc>
        <w:tc>
          <w:tcPr/>
          <w:p>
            <w:pPr>
              <w:pStyle w:val="Compact"/>
            </w:pPr>
            <w:r>
              <w:rPr>
                <w:rFonts w:hint="eastAsia"/>
              </w:rPr>
              <w:t xml:space="preserve">偏权重</w:t>
            </w:r>
          </w:p>
        </w:tc>
      </w:tr>
      <w:tr>
        <w:tc>
          <w:tcPr/>
          <w:p>
            <w:pPr>
              <w:pStyle w:val="Compact"/>
            </w:pPr>
            <w:r>
              <w:rPr>
                <w:rFonts w:hint="eastAsia"/>
              </w:rPr>
              <w:t xml:space="preserve">成长/价值</w:t>
            </w:r>
          </w:p>
        </w:tc>
        <w:tc>
          <w:tcPr/>
          <w:p>
            <w:pPr>
              <w:pStyle w:val="Compact"/>
            </w:pPr>
            <w:r>
              <w:rPr>
                <w:rFonts w:hint="eastAsia"/>
              </w:rPr>
              <w:t xml:space="preserve">偏价值/权重</w:t>
            </w:r>
          </w:p>
        </w:tc>
      </w:tr>
      <w:tr>
        <w:tc>
          <w:tcPr/>
          <w:p>
            <w:pPr>
              <w:pStyle w:val="Compact"/>
            </w:pPr>
            <w:r>
              <w:rPr>
                <w:rFonts w:hint="eastAsia"/>
              </w:rPr>
              <w:t xml:space="preserve">攻防</w:t>
            </w:r>
          </w:p>
        </w:tc>
        <w:tc>
          <w:tcPr/>
          <w:p>
            <w:pPr>
              <w:pStyle w:val="Compact"/>
            </w:pPr>
            <w:r>
              <w:rPr>
                <w:rFonts w:hint="eastAsia"/>
              </w:rPr>
              <w:t xml:space="preserve">防守/退潮</w:t>
            </w:r>
          </w:p>
        </w:tc>
      </w:tr>
      <w:tr>
        <w:tc>
          <w:tcPr/>
          <w:p>
            <w:pPr>
              <w:pStyle w:val="Compact"/>
            </w:pPr>
            <w:r>
              <w:rPr>
                <w:rFonts w:hint="eastAsia"/>
              </w:rPr>
              <w:t xml:space="preserve">机构/题材</w:t>
            </w:r>
          </w:p>
        </w:tc>
        <w:tc>
          <w:tcPr/>
          <w:p>
            <w:pPr>
              <w:pStyle w:val="Compact"/>
            </w:pPr>
            <w:r>
              <w:rPr>
                <w:rFonts w:hint="eastAsia"/>
              </w:rPr>
              <w:t xml:space="preserve">机构/成交额核心主导</w:t>
            </w:r>
          </w:p>
        </w:tc>
      </w:tr>
      <w:tr>
        <w:tc>
          <w:tcPr/>
          <w:p>
            <w:pPr>
              <w:pStyle w:val="Compact"/>
            </w:pPr>
            <w:r>
              <w:rPr>
                <w:rFonts w:hint="eastAsia"/>
              </w:rPr>
              <w:t xml:space="preserve">高低位</w:t>
            </w:r>
          </w:p>
        </w:tc>
        <w:tc>
          <w:tcPr/>
          <w:p>
            <w:pPr>
              <w:pStyle w:val="Compact"/>
            </w:pPr>
            <w:r>
              <w:rPr>
                <w:rFonts w:hint="eastAsia"/>
              </w:rPr>
              <w:t xml:space="preserve">数据源缺失，不估算</w:t>
            </w:r>
          </w:p>
        </w:tc>
      </w:tr>
    </w:tbl>
    <w:p>
      <w:pPr>
        <w:pStyle w:val="BodyText"/>
      </w:pPr>
      <w:r>
        <w:t xml:space="preserve">💡 </w:t>
      </w:r>
      <w:r>
        <w:rPr>
          <w:rFonts w:hint="eastAsia"/>
        </w:rPr>
        <w:t xml:space="preserve">今日风格判断：</w:t>
      </w:r>
      <w:r>
        <w:t xml:space="preserve"> </w:t>
      </w:r>
      <w:r>
        <w:t xml:space="preserve">- </w:t>
      </w:r>
      <w:r>
        <w:rPr>
          <w:rFonts w:hint="eastAsia"/>
        </w:rPr>
        <w:t xml:space="preserve">上证指数📉</w:t>
      </w:r>
      <w:r>
        <w:t xml:space="preserve"> </w:t>
      </w:r>
      <w:r>
        <w:rPr>
          <w:rFonts w:hint="eastAsia"/>
        </w:rPr>
        <w:t xml:space="preserve">-0.5939%，创业板指📉</w:t>
      </w:r>
      <w:r>
        <w:t xml:space="preserve"> </w:t>
      </w:r>
      <w:r>
        <w:rPr>
          <w:rFonts w:hint="eastAsia"/>
        </w:rPr>
        <w:t xml:space="preserve">-3.2066%，科创50📉</w:t>
      </w:r>
      <w:r>
        <w:t xml:space="preserve"> </w:t>
      </w:r>
      <w:r>
        <w:rPr>
          <w:rFonts w:hint="eastAsia"/>
        </w:rPr>
        <w:t xml:space="preserve">-3.0975%，说明小盘成长与硬科技承压更重。</w:t>
      </w:r>
      <w:r>
        <w:t xml:space="preserve"> </w:t>
      </w:r>
      <w:r>
        <w:t xml:space="preserve">- </w:t>
      </w:r>
      <w:r>
        <w:rPr>
          <w:rFonts w:hint="eastAsia"/>
        </w:rPr>
        <w:t xml:space="preserve">红利、银行、煤炭、贵金属、工业金属相对占优。</w:t>
      </w:r>
      <w:r>
        <w:t xml:space="preserve"> </w:t>
      </w:r>
      <w:r>
        <w:t xml:space="preserve">- </w:t>
      </w:r>
      <w:r>
        <w:rPr>
          <w:rFonts w:hint="eastAsia"/>
        </w:rPr>
        <w:t xml:space="preserve">若盘初半导体、通信设备低开后无法快速收回，科技仍按退潮中的反抽看待。</w:t>
      </w:r>
      <w:r>
        <w:t xml:space="preserve"> </w:t>
      </w:r>
      <w:r>
        <w:t xml:space="preserve">- </w:t>
      </w:r>
      <w:r>
        <w:rPr>
          <w:rFonts w:hint="eastAsia"/>
        </w:rPr>
        <w:t xml:space="preserve">若资源品高开过猛，不追；只等分歧回踩不破，再观察二次放量。</w:t>
      </w:r>
    </w:p>
    <w:p>
      <w:r>
        <w:pict>
          <v:rect style="width:0;height:1.5pt" o:hralign="center" o:hrstd="t" o:hr="t"/>
        </w:pict>
      </w:r>
    </w:p>
    <w:bookmarkEnd w:id="40"/>
    <w:bookmarkEnd w:id="41"/>
    <w:bookmarkStart w:id="42" w:name="投资方向分层可参与只观察应回避"/>
    <w:p>
      <w:pPr>
        <w:pStyle w:val="Heading2"/>
      </w:pPr>
      <w:r>
        <w:t xml:space="preserve">🧭 </w:t>
      </w:r>
      <w:r>
        <w:rPr>
          <w:rFonts w:hint="eastAsia"/>
        </w:rPr>
        <w:t xml:space="preserve">投资方向分层：可参与、只观察、应回避</w:t>
      </w:r>
    </w:p>
    <w:bookmarkEnd w:id="42"/>
    <w:bookmarkStart w:id="48" w:name="可参与方向一贵金属工业金属资源品"/>
    <w:p>
      <w:pPr>
        <w:pStyle w:val="Heading2"/>
      </w:pPr>
      <w:r>
        <w:t xml:space="preserve">✅ </w:t>
      </w:r>
      <w:r>
        <w:rPr>
          <w:rFonts w:hint="eastAsia"/>
        </w:rPr>
        <w:t xml:space="preserve">可参与方向一：贵金属/工业金属/资源品</w:t>
      </w:r>
    </w:p>
    <w:bookmarkStart w:id="43" w:name="证据链"/>
    <w:p>
      <w:pPr>
        <w:pStyle w:val="Heading3"/>
      </w:pPr>
      <w:r>
        <w:rPr>
          <w:rFonts w:hint="eastAsia"/>
        </w:rPr>
        <w:t xml:space="preserve">证据链</w:t>
      </w:r>
    </w:p>
    <w:p>
      <w:pPr>
        <w:pStyle w:val="Compact"/>
        <w:numPr>
          <w:ilvl w:val="0"/>
          <w:numId w:val="1006"/>
        </w:numPr>
      </w:pPr>
      <w:r>
        <w:rPr>
          <w:rFonts w:hint="eastAsia"/>
        </w:rPr>
        <w:t xml:space="preserve">工业金属主力净流入+10.02亿元，流入板块第1。</w:t>
      </w:r>
    </w:p>
    <w:p>
      <w:pPr>
        <w:pStyle w:val="Compact"/>
        <w:numPr>
          <w:ilvl w:val="0"/>
          <w:numId w:val="1006"/>
        </w:numPr>
      </w:pPr>
      <w:r>
        <w:rPr>
          <w:rFonts w:hint="eastAsia"/>
        </w:rPr>
        <w:t xml:space="preserve">贵金属主力净流入+5.38亿元，流入板块第3。</w:t>
      </w:r>
    </w:p>
    <w:p>
      <w:pPr>
        <w:pStyle w:val="Compact"/>
        <w:numPr>
          <w:ilvl w:val="0"/>
          <w:numId w:val="1006"/>
        </w:numPr>
      </w:pPr>
      <w:r>
        <w:rPr>
          <w:rFonts w:hint="eastAsia"/>
        </w:rPr>
        <w:t xml:space="preserve">洛阳钼业主力净流入+5.20亿。</w:t>
      </w:r>
    </w:p>
    <w:p>
      <w:pPr>
        <w:pStyle w:val="Compact"/>
        <w:numPr>
          <w:ilvl w:val="0"/>
          <w:numId w:val="1006"/>
        </w:numPr>
      </w:pPr>
      <w:r>
        <w:rPr>
          <w:rFonts w:hint="eastAsia"/>
        </w:rPr>
        <w:t xml:space="preserve">COMEX黄金4740.72，📈</w:t>
      </w:r>
      <w:r>
        <w:t xml:space="preserve"> +0.91%。</w:t>
      </w:r>
    </w:p>
    <w:p>
      <w:pPr>
        <w:pStyle w:val="Compact"/>
        <w:numPr>
          <w:ilvl w:val="0"/>
          <w:numId w:val="1006"/>
        </w:numPr>
      </w:pPr>
      <w:r>
        <w:rPr>
          <w:rFonts w:hint="eastAsia"/>
        </w:rPr>
        <w:t xml:space="preserve">紫金矿业TickFlow右侧评级A，站上MA20/MA60，距离60日高点-2.0%，vol_ratio_5d=1.2768313530599193。</w:t>
      </w:r>
    </w:p>
    <w:bookmarkEnd w:id="43"/>
    <w:bookmarkStart w:id="44" w:name="核心标的"/>
    <w:p>
      <w:pPr>
        <w:pStyle w:val="Heading3"/>
      </w:pPr>
      <w:r>
        <w:rPr>
          <w:rFonts w:hint="eastAsia"/>
        </w:rPr>
        <w:t xml:space="preserve">核心标的</w:t>
      </w:r>
    </w:p>
    <w:p>
      <w:pPr>
        <w:pStyle w:val="Compact"/>
        <w:numPr>
          <w:ilvl w:val="0"/>
          <w:numId w:val="1007"/>
        </w:numPr>
      </w:pPr>
      <w:r>
        <w:rPr>
          <w:rFonts w:hint="eastAsia"/>
        </w:rPr>
        <w:t xml:space="preserve">紫金矿业：A类右侧趋势确认；MA20=33.265，MA60=30.26533333333333，60日高点35.45，ATR证伪参考32.571。</w:t>
      </w:r>
    </w:p>
    <w:p>
      <w:pPr>
        <w:pStyle w:val="Compact"/>
        <w:numPr>
          <w:ilvl w:val="0"/>
          <w:numId w:val="1007"/>
        </w:numPr>
      </w:pPr>
      <w:r>
        <w:rPr>
          <w:rFonts w:hint="eastAsia"/>
        </w:rPr>
        <w:t xml:space="preserve">洛阳钼业：资金流入TOP10个股第9，主力净流入+5.20亿。</w:t>
      </w:r>
    </w:p>
    <w:bookmarkEnd w:id="44"/>
    <w:bookmarkStart w:id="45" w:name="触发条件"/>
    <w:p>
      <w:pPr>
        <w:pStyle w:val="Heading3"/>
      </w:pPr>
      <w:r>
        <w:rPr>
          <w:rFonts w:hint="eastAsia"/>
        </w:rPr>
        <w:t xml:space="preserve">触发条件</w:t>
      </w:r>
    </w:p>
    <w:p>
      <w:pPr>
        <w:pStyle w:val="Compact"/>
        <w:numPr>
          <w:ilvl w:val="0"/>
          <w:numId w:val="1008"/>
        </w:numPr>
      </w:pPr>
      <w:r>
        <w:rPr>
          <w:rFonts w:hint="eastAsia"/>
        </w:rPr>
        <w:t xml:space="preserve">紫金矿业收盘站稳35.45且量比≥1.2。</w:t>
      </w:r>
    </w:p>
    <w:p>
      <w:pPr>
        <w:pStyle w:val="Compact"/>
        <w:numPr>
          <w:ilvl w:val="0"/>
          <w:numId w:val="1008"/>
        </w:numPr>
      </w:pPr>
      <w:r>
        <w:rPr>
          <w:rFonts w:hint="eastAsia"/>
        </w:rPr>
        <w:t xml:space="preserve">或缩量回踩MA20不破后再放量。</w:t>
      </w:r>
    </w:p>
    <w:bookmarkEnd w:id="45"/>
    <w:bookmarkStart w:id="46" w:name="失效条件"/>
    <w:p>
      <w:pPr>
        <w:pStyle w:val="Heading3"/>
      </w:pPr>
      <w:r>
        <w:rPr>
          <w:rFonts w:hint="eastAsia"/>
        </w:rPr>
        <w:t xml:space="preserve">失效条件</w:t>
      </w:r>
    </w:p>
    <w:p>
      <w:pPr>
        <w:pStyle w:val="Compact"/>
        <w:numPr>
          <w:ilvl w:val="0"/>
          <w:numId w:val="1009"/>
        </w:numPr>
      </w:pPr>
      <w:r>
        <w:rPr>
          <w:rFonts w:hint="eastAsia"/>
        </w:rPr>
        <w:t xml:space="preserve">紫金矿业收盘跌破32.571。</w:t>
      </w:r>
    </w:p>
    <w:p>
      <w:pPr>
        <w:pStyle w:val="Compact"/>
        <w:numPr>
          <w:ilvl w:val="0"/>
          <w:numId w:val="1009"/>
        </w:numPr>
      </w:pPr>
      <w:r>
        <w:rPr>
          <w:rFonts w:hint="eastAsia"/>
        </w:rPr>
        <w:t xml:space="preserve">工业金属、贵金属资金转为大额流出。</w:t>
      </w:r>
    </w:p>
    <w:p>
      <w:pPr>
        <w:pStyle w:val="Compact"/>
        <w:numPr>
          <w:ilvl w:val="0"/>
          <w:numId w:val="1009"/>
        </w:numPr>
      </w:pPr>
      <w:r>
        <w:rPr>
          <w:rFonts w:hint="eastAsia"/>
        </w:rPr>
        <w:t xml:space="preserve">黄金冲高回落且A股资源股放量长上影。</w:t>
      </w:r>
    </w:p>
    <w:bookmarkEnd w:id="46"/>
    <w:bookmarkStart w:id="47" w:name="行动"/>
    <w:p>
      <w:pPr>
        <w:pStyle w:val="Heading3"/>
      </w:pPr>
      <w:r>
        <w:t xml:space="preserve">💡 </w:t>
      </w:r>
      <w:r>
        <w:rPr>
          <w:rFonts w:hint="eastAsia"/>
        </w:rPr>
        <w:t xml:space="preserve">行动</w:t>
      </w:r>
    </w:p>
    <w:p>
      <w:pPr>
        <w:pStyle w:val="Compact"/>
        <w:numPr>
          <w:ilvl w:val="0"/>
          <w:numId w:val="1010"/>
        </w:numPr>
      </w:pPr>
      <w:r>
        <w:rPr>
          <w:rFonts w:hint="eastAsia"/>
        </w:rPr>
        <w:t xml:space="preserve">评级：A-。</w:t>
      </w:r>
    </w:p>
    <w:p>
      <w:pPr>
        <w:pStyle w:val="Compact"/>
        <w:numPr>
          <w:ilvl w:val="0"/>
          <w:numId w:val="1010"/>
        </w:numPr>
      </w:pPr>
      <w:r>
        <w:rPr>
          <w:rFonts w:hint="eastAsia"/>
        </w:rPr>
        <w:t xml:space="preserve">只低吸确认，不追连续大阳。</w:t>
      </w:r>
    </w:p>
    <w:p>
      <w:pPr>
        <w:pStyle w:val="Compact"/>
        <w:numPr>
          <w:ilvl w:val="0"/>
          <w:numId w:val="1010"/>
        </w:numPr>
      </w:pPr>
      <w:r>
        <w:rPr>
          <w:rFonts w:hint="eastAsia"/>
        </w:rPr>
        <w:t xml:space="preserve">底仓不超过3成方向仓，确认突破后再加到6成方向仓。</w:t>
      </w:r>
    </w:p>
    <w:p>
      <w:r>
        <w:pict>
          <v:rect style="width:0;height:1.5pt" o:hralign="center" o:hrstd="t" o:hr="t"/>
        </w:pict>
      </w:r>
    </w:p>
    <w:bookmarkEnd w:id="47"/>
    <w:bookmarkEnd w:id="48"/>
    <w:bookmarkStart w:id="54" w:name="可参与方向二红利银行煤炭石化防御"/>
    <w:p>
      <w:pPr>
        <w:pStyle w:val="Heading2"/>
      </w:pPr>
      <w:r>
        <w:t xml:space="preserve">✅ </w:t>
      </w:r>
      <w:r>
        <w:rPr>
          <w:rFonts w:hint="eastAsia"/>
        </w:rPr>
        <w:t xml:space="preserve">可参与方向二：红利/银行/煤炭/石化防御</w:t>
      </w:r>
    </w:p>
    <w:bookmarkStart w:id="49" w:name="证据链-1"/>
    <w:p>
      <w:pPr>
        <w:pStyle w:val="Heading3"/>
      </w:pPr>
      <w:r>
        <w:rPr>
          <w:rFonts w:hint="eastAsia"/>
        </w:rPr>
        <w:t xml:space="preserve">证据链</w:t>
      </w:r>
    </w:p>
    <w:p>
      <w:pPr>
        <w:pStyle w:val="Compact"/>
        <w:numPr>
          <w:ilvl w:val="0"/>
          <w:numId w:val="1011"/>
        </w:numPr>
      </w:pPr>
      <w:r>
        <w:rPr>
          <w:rFonts w:hint="eastAsia"/>
        </w:rPr>
        <w:t xml:space="preserve">煤炭开采主力净流入+5.33亿元。</w:t>
      </w:r>
    </w:p>
    <w:p>
      <w:pPr>
        <w:pStyle w:val="Compact"/>
        <w:numPr>
          <w:ilvl w:val="0"/>
          <w:numId w:val="1011"/>
        </w:numPr>
      </w:pPr>
      <w:r>
        <w:rPr>
          <w:rFonts w:hint="eastAsia"/>
        </w:rPr>
        <w:t xml:space="preserve">银行Ⅱ主力净流入+2.87亿元。</w:t>
      </w:r>
    </w:p>
    <w:p>
      <w:pPr>
        <w:pStyle w:val="Compact"/>
        <w:numPr>
          <w:ilvl w:val="0"/>
          <w:numId w:val="1011"/>
        </w:numPr>
      </w:pPr>
      <w:r>
        <w:rPr>
          <w:rFonts w:hint="eastAsia"/>
        </w:rPr>
        <w:t xml:space="preserve">中国石化主力净流入+8.94亿，流入个股第2。</w:t>
      </w:r>
    </w:p>
    <w:p>
      <w:pPr>
        <w:pStyle w:val="Compact"/>
        <w:numPr>
          <w:ilvl w:val="0"/>
          <w:numId w:val="1011"/>
        </w:numPr>
      </w:pPr>
      <w:r>
        <w:rPr>
          <w:rFonts w:hint="eastAsia"/>
        </w:rPr>
        <w:t xml:space="preserve">上证50ETF连续3个区间净申购，最新估算净申购+5.817987亿元。</w:t>
      </w:r>
    </w:p>
    <w:bookmarkEnd w:id="49"/>
    <w:bookmarkStart w:id="50" w:name="核心标的-1"/>
    <w:p>
      <w:pPr>
        <w:pStyle w:val="Heading3"/>
      </w:pPr>
      <w:r>
        <w:rPr>
          <w:rFonts w:hint="eastAsia"/>
        </w:rPr>
        <w:t xml:space="preserve">核心标的</w:t>
      </w:r>
    </w:p>
    <w:p>
      <w:pPr>
        <w:pStyle w:val="Compact"/>
        <w:numPr>
          <w:ilvl w:val="0"/>
          <w:numId w:val="1012"/>
        </w:numPr>
      </w:pPr>
      <w:r>
        <w:rPr>
          <w:rFonts w:hint="eastAsia"/>
        </w:rPr>
        <w:t xml:space="preserve">中国石化：主力净流入+8.94亿。</w:t>
      </w:r>
    </w:p>
    <w:p>
      <w:pPr>
        <w:pStyle w:val="Compact"/>
        <w:numPr>
          <w:ilvl w:val="0"/>
          <w:numId w:val="1012"/>
        </w:numPr>
      </w:pPr>
      <w:r>
        <w:rPr>
          <w:rFonts w:hint="eastAsia"/>
        </w:rPr>
        <w:t xml:space="preserve">银行Ⅱ：资金流入+2.87亿元。</w:t>
      </w:r>
    </w:p>
    <w:p>
      <w:pPr>
        <w:pStyle w:val="Compact"/>
        <w:numPr>
          <w:ilvl w:val="0"/>
          <w:numId w:val="1012"/>
        </w:numPr>
      </w:pPr>
      <w:r>
        <w:rPr>
          <w:rFonts w:hint="eastAsia"/>
        </w:rPr>
        <w:t xml:space="preserve">煤炭开采：资金流入+5.33亿元。</w:t>
      </w:r>
    </w:p>
    <w:bookmarkEnd w:id="50"/>
    <w:bookmarkStart w:id="51" w:name="触发条件-1"/>
    <w:p>
      <w:pPr>
        <w:pStyle w:val="Heading3"/>
      </w:pPr>
      <w:r>
        <w:rPr>
          <w:rFonts w:hint="eastAsia"/>
        </w:rPr>
        <w:t xml:space="preserve">触发条件</w:t>
      </w:r>
    </w:p>
    <w:p>
      <w:pPr>
        <w:pStyle w:val="Compact"/>
        <w:numPr>
          <w:ilvl w:val="0"/>
          <w:numId w:val="1013"/>
        </w:numPr>
      </w:pPr>
      <w:r>
        <w:rPr>
          <w:rFonts w:hint="eastAsia"/>
        </w:rPr>
        <w:t xml:space="preserve">指数弱修复时红利/银行继续逆势抗跌。</w:t>
      </w:r>
    </w:p>
    <w:p>
      <w:pPr>
        <w:pStyle w:val="Compact"/>
        <w:numPr>
          <w:ilvl w:val="0"/>
          <w:numId w:val="1013"/>
        </w:numPr>
      </w:pPr>
      <w:r>
        <w:rPr>
          <w:rFonts w:hint="eastAsia"/>
        </w:rPr>
        <w:t xml:space="preserve">上证50ETF继续份额增加。</w:t>
      </w:r>
    </w:p>
    <w:p>
      <w:pPr>
        <w:pStyle w:val="Compact"/>
        <w:numPr>
          <w:ilvl w:val="0"/>
          <w:numId w:val="1013"/>
        </w:numPr>
      </w:pPr>
      <w:r>
        <w:rPr>
          <w:rFonts w:hint="eastAsia"/>
        </w:rPr>
        <w:t xml:space="preserve">高股息方向不出现放量冲高回落。</w:t>
      </w:r>
    </w:p>
    <w:bookmarkEnd w:id="51"/>
    <w:bookmarkStart w:id="52" w:name="失效条件-1"/>
    <w:p>
      <w:pPr>
        <w:pStyle w:val="Heading3"/>
      </w:pPr>
      <w:r>
        <w:rPr>
          <w:rFonts w:hint="eastAsia"/>
        </w:rPr>
        <w:t xml:space="preserve">失效条件</w:t>
      </w:r>
    </w:p>
    <w:p>
      <w:pPr>
        <w:pStyle w:val="Compact"/>
        <w:numPr>
          <w:ilvl w:val="0"/>
          <w:numId w:val="1014"/>
        </w:numPr>
      </w:pPr>
      <w:r>
        <w:rPr>
          <w:rFonts w:hint="eastAsia"/>
        </w:rPr>
        <w:t xml:space="preserve">上证50ETF份额转为净赎回。</w:t>
      </w:r>
    </w:p>
    <w:p>
      <w:pPr>
        <w:pStyle w:val="Compact"/>
        <w:numPr>
          <w:ilvl w:val="0"/>
          <w:numId w:val="1014"/>
        </w:numPr>
      </w:pPr>
      <w:r>
        <w:rPr>
          <w:rFonts w:hint="eastAsia"/>
        </w:rPr>
        <w:t xml:space="preserve">银行、煤炭、石化资金榜退出流入前列。</w:t>
      </w:r>
    </w:p>
    <w:p>
      <w:pPr>
        <w:pStyle w:val="Compact"/>
        <w:numPr>
          <w:ilvl w:val="0"/>
          <w:numId w:val="1014"/>
        </w:numPr>
      </w:pPr>
      <w:r>
        <w:rPr>
          <w:rFonts w:hint="eastAsia"/>
        </w:rPr>
        <w:t xml:space="preserve">红利资产补跌并带动上证指数跌破关键心理位。</w:t>
      </w:r>
    </w:p>
    <w:bookmarkEnd w:id="52"/>
    <w:bookmarkStart w:id="53" w:name="行动-1"/>
    <w:p>
      <w:pPr>
        <w:pStyle w:val="Heading3"/>
      </w:pPr>
      <w:r>
        <w:t xml:space="preserve">💡 </w:t>
      </w:r>
      <w:r>
        <w:rPr>
          <w:rFonts w:hint="eastAsia"/>
        </w:rPr>
        <w:t xml:space="preserve">行动</w:t>
      </w:r>
    </w:p>
    <w:p>
      <w:pPr>
        <w:pStyle w:val="Compact"/>
        <w:numPr>
          <w:ilvl w:val="0"/>
          <w:numId w:val="1015"/>
        </w:numPr>
      </w:pPr>
      <w:r>
        <w:rPr>
          <w:rFonts w:hint="eastAsia"/>
        </w:rPr>
        <w:t xml:space="preserve">评级：B+。</w:t>
      </w:r>
    </w:p>
    <w:p>
      <w:pPr>
        <w:pStyle w:val="Compact"/>
        <w:numPr>
          <w:ilvl w:val="0"/>
          <w:numId w:val="1015"/>
        </w:numPr>
      </w:pPr>
      <w:r>
        <w:rPr>
          <w:rFonts w:hint="eastAsia"/>
        </w:rPr>
        <w:t xml:space="preserve">防守仓可配，弹性不如资源。</w:t>
      </w:r>
    </w:p>
    <w:p>
      <w:pPr>
        <w:pStyle w:val="Compact"/>
        <w:numPr>
          <w:ilvl w:val="0"/>
          <w:numId w:val="1015"/>
        </w:numPr>
      </w:pPr>
      <w:r>
        <w:rPr>
          <w:rFonts w:hint="eastAsia"/>
        </w:rPr>
        <w:t xml:space="preserve">适合对冲科技高位波动，不适合追涨博短线暴利。</w:t>
      </w:r>
    </w:p>
    <w:p>
      <w:r>
        <w:pict>
          <v:rect style="width:0;height:1.5pt" o:hralign="center" o:hrstd="t" o:hr="t"/>
        </w:pict>
      </w:r>
    </w:p>
    <w:bookmarkEnd w:id="53"/>
    <w:bookmarkEnd w:id="54"/>
    <w:bookmarkStart w:id="59" w:name="只观察方向一ai光模块算力硬件"/>
    <w:p>
      <w:pPr>
        <w:pStyle w:val="Heading2"/>
      </w:pPr>
      <w:r>
        <w:t xml:space="preserve">👀 </w:t>
      </w:r>
      <w:r>
        <w:rPr>
          <w:rFonts w:hint="eastAsia"/>
        </w:rPr>
        <w:t xml:space="preserve">只观察方向一：AI光模块/算力硬件</w:t>
      </w:r>
    </w:p>
    <w:bookmarkStart w:id="55" w:name="证据链-2"/>
    <w:p>
      <w:pPr>
        <w:pStyle w:val="Heading3"/>
      </w:pPr>
      <w:r>
        <w:rPr>
          <w:rFonts w:hint="eastAsia"/>
        </w:rPr>
        <w:t xml:space="preserve">证据链</w:t>
      </w:r>
    </w:p>
    <w:p>
      <w:pPr>
        <w:pStyle w:val="Compact"/>
        <w:numPr>
          <w:ilvl w:val="0"/>
          <w:numId w:val="1016"/>
        </w:numPr>
      </w:pPr>
      <w:r>
        <w:rPr>
          <w:rFonts w:hint="eastAsia"/>
        </w:rPr>
        <w:t xml:space="preserve">中际旭创成交额344.92亿，上一交易日📉</w:t>
      </w:r>
      <w:r>
        <w:t xml:space="preserve"> -7.72%。</w:t>
      </w:r>
    </w:p>
    <w:p>
      <w:pPr>
        <w:pStyle w:val="Compact"/>
        <w:numPr>
          <w:ilvl w:val="0"/>
          <w:numId w:val="1016"/>
        </w:numPr>
      </w:pPr>
      <w:r>
        <w:rPr>
          <w:rFonts w:hint="eastAsia"/>
        </w:rPr>
        <w:t xml:space="preserve">新易盛成交额205.75亿，上一交易日📉</w:t>
      </w:r>
      <w:r>
        <w:t xml:space="preserve"> -6.79%。</w:t>
      </w:r>
    </w:p>
    <w:p>
      <w:pPr>
        <w:pStyle w:val="Compact"/>
        <w:numPr>
          <w:ilvl w:val="0"/>
          <w:numId w:val="1016"/>
        </w:numPr>
      </w:pPr>
      <w:r>
        <w:rPr>
          <w:rFonts w:hint="eastAsia"/>
        </w:rPr>
        <w:t xml:space="preserve">天孚通信成交额163.45亿，上一交易日📉</w:t>
      </w:r>
      <w:r>
        <w:t xml:space="preserve"> -8.63%。</w:t>
      </w:r>
    </w:p>
    <w:p>
      <w:pPr>
        <w:pStyle w:val="Compact"/>
        <w:numPr>
          <w:ilvl w:val="0"/>
          <w:numId w:val="1016"/>
        </w:numPr>
      </w:pPr>
      <w:r>
        <w:rPr>
          <w:rFonts w:hint="eastAsia"/>
        </w:rPr>
        <w:t xml:space="preserve">通信设备主力净流出-140.74亿元。</w:t>
      </w:r>
    </w:p>
    <w:p>
      <w:pPr>
        <w:pStyle w:val="Compact"/>
        <w:numPr>
          <w:ilvl w:val="0"/>
          <w:numId w:val="1016"/>
        </w:numPr>
      </w:pPr>
      <w:r>
        <w:rPr>
          <w:rFonts w:hint="eastAsia"/>
        </w:rPr>
        <w:t xml:space="preserve">中际旭创主力净流出-39.76亿，新易盛主力净流出-17.57亿，天孚通信主力净流出-30.90亿。</w:t>
      </w:r>
    </w:p>
    <w:p>
      <w:pPr>
        <w:pStyle w:val="Compact"/>
        <w:numPr>
          <w:ilvl w:val="0"/>
          <w:numId w:val="1016"/>
        </w:numPr>
      </w:pPr>
      <w:r>
        <w:rPr>
          <w:rFonts w:hint="eastAsia"/>
        </w:rPr>
        <w:t xml:space="preserve">美股半导体同步下跌，英伟达📉</w:t>
      </w:r>
      <w:r>
        <w:t xml:space="preserve"> </w:t>
      </w:r>
      <w:r>
        <w:rPr>
          <w:rFonts w:hint="eastAsia"/>
        </w:rPr>
        <w:t xml:space="preserve">-2.91%，AMD📉</w:t>
      </w:r>
      <w:r>
        <w:t xml:space="preserve"> -3.49%。</w:t>
      </w:r>
    </w:p>
    <w:bookmarkEnd w:id="55"/>
    <w:bookmarkStart w:id="56" w:name="基本面支撑"/>
    <w:p>
      <w:pPr>
        <w:pStyle w:val="Heading3"/>
      </w:pPr>
      <w:r>
        <w:rPr>
          <w:rFonts w:hint="eastAsia"/>
        </w:rPr>
        <w:t xml:space="preserve">基本面支撑</w:t>
      </w:r>
    </w:p>
    <w:p>
      <w:pPr>
        <w:pStyle w:val="Compact"/>
        <w:numPr>
          <w:ilvl w:val="0"/>
          <w:numId w:val="1017"/>
        </w:numPr>
      </w:pPr>
      <w:r>
        <w:rPr>
          <w:rFonts w:hint="eastAsia"/>
        </w:rPr>
        <w:t xml:space="preserve">中际旭创2026中报营收同比+182.5%，净利润同比+247.3%，ROE</w:t>
      </w:r>
      <w:r>
        <w:t xml:space="preserve"> </w:t>
      </w:r>
      <w:r>
        <w:rPr>
          <w:rFonts w:hint="eastAsia"/>
        </w:rPr>
        <w:t xml:space="preserve">37.62%，PE</w:t>
      </w:r>
      <w:r>
        <w:t xml:space="preserve"> </w:t>
      </w:r>
      <w:r>
        <w:rPr>
          <w:rFonts w:hint="eastAsia"/>
        </w:rPr>
        <w:t xml:space="preserve">49.77，PB</w:t>
      </w:r>
      <w:r>
        <w:t xml:space="preserve"> 25.54。</w:t>
      </w:r>
    </w:p>
    <w:p>
      <w:pPr>
        <w:pStyle w:val="Compact"/>
        <w:numPr>
          <w:ilvl w:val="0"/>
          <w:numId w:val="1017"/>
        </w:numPr>
      </w:pPr>
      <w:r>
        <w:rPr>
          <w:rFonts w:hint="eastAsia"/>
        </w:rPr>
        <w:t xml:space="preserve">新易盛2026中报营收同比+100.3%，净利润同比+91.93%，ROE</w:t>
      </w:r>
      <w:r>
        <w:t xml:space="preserve"> </w:t>
      </w:r>
      <w:r>
        <w:rPr>
          <w:rFonts w:hint="eastAsia"/>
        </w:rPr>
        <w:t xml:space="preserve">34.86%，PE</w:t>
      </w:r>
      <w:r>
        <w:t xml:space="preserve"> </w:t>
      </w:r>
      <w:r>
        <w:rPr>
          <w:rFonts w:hint="eastAsia"/>
        </w:rPr>
        <w:t xml:space="preserve">53.49，PB</w:t>
      </w:r>
      <w:r>
        <w:t xml:space="preserve"> 23.64。</w:t>
      </w:r>
    </w:p>
    <w:bookmarkEnd w:id="56"/>
    <w:bookmarkStart w:id="57" w:name="技术状态"/>
    <w:p>
      <w:pPr>
        <w:pStyle w:val="Heading3"/>
      </w:pPr>
      <w:r>
        <w:rPr>
          <w:rFonts w:hint="eastAsia"/>
        </w:rPr>
        <w:t xml:space="preserve">技术状态</w:t>
      </w:r>
    </w:p>
    <w:p>
      <w:pPr>
        <w:pStyle w:val="Compact"/>
        <w:numPr>
          <w:ilvl w:val="0"/>
          <w:numId w:val="1018"/>
        </w:numPr>
      </w:pPr>
      <w:r>
        <w:rPr>
          <w:rFonts w:hint="eastAsia"/>
        </w:rPr>
        <w:t xml:space="preserve">中际旭创TickFlow评级D，趋势破位，MA60=1098.2303333333334，距离60日高点-31.78%。</w:t>
      </w:r>
    </w:p>
    <w:p>
      <w:pPr>
        <w:pStyle w:val="Compact"/>
        <w:numPr>
          <w:ilvl w:val="0"/>
          <w:numId w:val="1018"/>
        </w:numPr>
      </w:pPr>
      <w:r>
        <w:rPr>
          <w:rFonts w:hint="eastAsia"/>
        </w:rPr>
        <w:t xml:space="preserve">新易盛TickFlow评级D，趋势破位，MA60=532.1375，距离60日高点-43.75%。</w:t>
      </w:r>
    </w:p>
    <w:p>
      <w:pPr>
        <w:pStyle w:val="Compact"/>
        <w:numPr>
          <w:ilvl w:val="0"/>
          <w:numId w:val="1018"/>
        </w:numPr>
      </w:pPr>
      <w:r>
        <w:rPr>
          <w:rFonts w:hint="eastAsia"/>
        </w:rPr>
        <w:t xml:space="preserve">天孚通信TickFlow评级D，趋势破位，MA60=287.1715，距离60日高点-45.1%。</w:t>
      </w:r>
    </w:p>
    <w:bookmarkEnd w:id="57"/>
    <w:bookmarkStart w:id="58" w:name="行动-2"/>
    <w:p>
      <w:pPr>
        <w:pStyle w:val="Heading3"/>
      </w:pPr>
      <w:r>
        <w:t xml:space="preserve">💡 </w:t>
      </w:r>
      <w:r>
        <w:rPr>
          <w:rFonts w:hint="eastAsia"/>
        </w:rPr>
        <w:t xml:space="preserve">行动</w:t>
      </w:r>
    </w:p>
    <w:p>
      <w:pPr>
        <w:pStyle w:val="Compact"/>
        <w:numPr>
          <w:ilvl w:val="0"/>
          <w:numId w:val="1019"/>
        </w:numPr>
      </w:pPr>
      <w:r>
        <w:rPr>
          <w:rFonts w:hint="eastAsia"/>
        </w:rPr>
        <w:t xml:space="preserve">评级：C。</w:t>
      </w:r>
    </w:p>
    <w:p>
      <w:pPr>
        <w:pStyle w:val="Compact"/>
        <w:numPr>
          <w:ilvl w:val="0"/>
          <w:numId w:val="1019"/>
        </w:numPr>
      </w:pPr>
      <w:r>
        <w:rPr>
          <w:rFonts w:hint="eastAsia"/>
        </w:rPr>
        <w:t xml:space="preserve">只观察，不低吸抢反弹。</w:t>
      </w:r>
    </w:p>
    <w:p>
      <w:pPr>
        <w:pStyle w:val="Compact"/>
        <w:numPr>
          <w:ilvl w:val="0"/>
          <w:numId w:val="1019"/>
        </w:numPr>
      </w:pPr>
      <w:r>
        <w:rPr>
          <w:rFonts w:hint="eastAsia"/>
        </w:rPr>
        <w:t xml:space="preserve">触发条件：重新站回MA20/MA60并确认，且资金流出显著收敛。</w:t>
      </w:r>
    </w:p>
    <w:p>
      <w:pPr>
        <w:pStyle w:val="Compact"/>
        <w:numPr>
          <w:ilvl w:val="0"/>
          <w:numId w:val="1019"/>
        </w:numPr>
      </w:pPr>
      <w:r>
        <w:rPr>
          <w:rFonts w:hint="eastAsia"/>
        </w:rPr>
        <w:t xml:space="preserve">失效条件：继续放量下跌、主力资金流出扩大、海外AI硬件继续下杀。</w:t>
      </w:r>
    </w:p>
    <w:p>
      <w:r>
        <w:pict>
          <v:rect style="width:0;height:1.5pt" o:hralign="center" o:hrstd="t" o:hr="t"/>
        </w:pict>
      </w:r>
    </w:p>
    <w:bookmarkEnd w:id="58"/>
    <w:bookmarkEnd w:id="59"/>
    <w:bookmarkStart w:id="62" w:name="只观察方向二基层医疗医药服务"/>
    <w:p>
      <w:pPr>
        <w:pStyle w:val="Heading2"/>
      </w:pPr>
      <w:r>
        <w:t xml:space="preserve">👀 </w:t>
      </w:r>
      <w:r>
        <w:rPr>
          <w:rFonts w:hint="eastAsia"/>
        </w:rPr>
        <w:t xml:space="preserve">只观察方向二：基层医疗/医药服务</w:t>
      </w:r>
    </w:p>
    <w:bookmarkStart w:id="60" w:name="证据链-3"/>
    <w:p>
      <w:pPr>
        <w:pStyle w:val="Heading3"/>
      </w:pPr>
      <w:r>
        <w:rPr>
          <w:rFonts w:hint="eastAsia"/>
        </w:rPr>
        <w:t xml:space="preserve">证据链</w:t>
      </w:r>
    </w:p>
    <w:p>
      <w:pPr>
        <w:pStyle w:val="Compact"/>
        <w:numPr>
          <w:ilvl w:val="0"/>
          <w:numId w:val="1020"/>
        </w:numPr>
      </w:pPr>
      <w:r>
        <w:rPr>
          <w:rFonts w:hint="eastAsia"/>
        </w:rPr>
        <w:t xml:space="preserve">新闻联播提到“十五五”期间医保助力基层卫生专项行动。</w:t>
      </w:r>
    </w:p>
    <w:p>
      <w:pPr>
        <w:pStyle w:val="Compact"/>
        <w:numPr>
          <w:ilvl w:val="0"/>
          <w:numId w:val="1020"/>
        </w:numPr>
      </w:pPr>
      <w:r>
        <w:rPr>
          <w:rFonts w:hint="eastAsia"/>
        </w:rPr>
        <w:t xml:space="preserve">98%以上村卫生室纳入医保定点管理。</w:t>
      </w:r>
    </w:p>
    <w:p>
      <w:pPr>
        <w:pStyle w:val="Compact"/>
        <w:numPr>
          <w:ilvl w:val="0"/>
          <w:numId w:val="1020"/>
        </w:numPr>
      </w:pPr>
      <w:r>
        <w:rPr>
          <w:rFonts w:hint="eastAsia"/>
        </w:rPr>
        <w:t xml:space="preserve">药明康德TickFlow评级A，右侧趋势确认，MA20=148.69750000000002，MA60=124.81066666666668，60日高点167.9。</w:t>
      </w:r>
    </w:p>
    <w:p>
      <w:pPr>
        <w:pStyle w:val="Compact"/>
        <w:numPr>
          <w:ilvl w:val="0"/>
          <w:numId w:val="1020"/>
        </w:numPr>
      </w:pPr>
      <w:r>
        <w:rPr>
          <w:rFonts w:hint="eastAsia"/>
        </w:rPr>
        <w:t xml:space="preserve">但医疗服务主力净流出-27.35亿元，化学制药主力净流出-21.86亿元，药明康德主力净流出-22.24亿。</w:t>
      </w:r>
    </w:p>
    <w:bookmarkEnd w:id="60"/>
    <w:bookmarkStart w:id="61" w:name="行动-3"/>
    <w:p>
      <w:pPr>
        <w:pStyle w:val="Heading3"/>
      </w:pPr>
      <w:r>
        <w:t xml:space="preserve">💡 </w:t>
      </w:r>
      <w:r>
        <w:rPr>
          <w:rFonts w:hint="eastAsia"/>
        </w:rPr>
        <w:t xml:space="preserve">行动</w:t>
      </w:r>
    </w:p>
    <w:p>
      <w:pPr>
        <w:pStyle w:val="Compact"/>
        <w:numPr>
          <w:ilvl w:val="0"/>
          <w:numId w:val="1021"/>
        </w:numPr>
      </w:pPr>
      <w:r>
        <w:rPr>
          <w:rFonts w:hint="eastAsia"/>
        </w:rPr>
        <w:t xml:space="preserve">评级：B-。</w:t>
      </w:r>
    </w:p>
    <w:p>
      <w:pPr>
        <w:pStyle w:val="Compact"/>
        <w:numPr>
          <w:ilvl w:val="0"/>
          <w:numId w:val="1021"/>
        </w:numPr>
      </w:pPr>
      <w:r>
        <w:rPr>
          <w:rFonts w:hint="eastAsia"/>
        </w:rPr>
        <w:t xml:space="preserve">政策有支撑，但资金未确认。</w:t>
      </w:r>
    </w:p>
    <w:p>
      <w:pPr>
        <w:pStyle w:val="Compact"/>
        <w:numPr>
          <w:ilvl w:val="0"/>
          <w:numId w:val="1021"/>
        </w:numPr>
      </w:pPr>
      <w:r>
        <w:rPr>
          <w:rFonts w:hint="eastAsia"/>
        </w:rPr>
        <w:t xml:space="preserve">药明康德不追高；只有站稳167.9且量比≥1.2，或缩量回踩MA20不破后再放量，才可重新评估。</w:t>
      </w:r>
    </w:p>
    <w:p>
      <w:pPr>
        <w:pStyle w:val="Compact"/>
        <w:numPr>
          <w:ilvl w:val="0"/>
          <w:numId w:val="1021"/>
        </w:numPr>
      </w:pPr>
      <w:r>
        <w:rPr>
          <w:rFonts w:hint="eastAsia"/>
        </w:rPr>
        <w:t xml:space="preserve">失效条件：收盘跌破145.065。</w:t>
      </w:r>
    </w:p>
    <w:p>
      <w:r>
        <w:pict>
          <v:rect style="width:0;height:1.5pt" o:hralign="center" o:hrstd="t" o:hr="t"/>
        </w:pict>
      </w:r>
    </w:p>
    <w:bookmarkEnd w:id="61"/>
    <w:bookmarkEnd w:id="62"/>
    <w:bookmarkStart w:id="66" w:name="应回避方向半导体通信设备元件高位破位链条"/>
    <w:p>
      <w:pPr>
        <w:pStyle w:val="Heading2"/>
      </w:pPr>
      <w:r>
        <w:t xml:space="preserve">❌ </w:t>
      </w:r>
      <w:r>
        <w:rPr>
          <w:rFonts w:hint="eastAsia"/>
        </w:rPr>
        <w:t xml:space="preserve">应回避方向：半导体、通信设备、元件高位破位链条</w:t>
      </w:r>
    </w:p>
    <w:bookmarkStart w:id="63" w:name="证据链-4"/>
    <w:p>
      <w:pPr>
        <w:pStyle w:val="Heading3"/>
      </w:pPr>
      <w:r>
        <w:rPr>
          <w:rFonts w:hint="eastAsia"/>
        </w:rPr>
        <w:t xml:space="preserve">证据链</w:t>
      </w:r>
    </w:p>
    <w:p>
      <w:pPr>
        <w:pStyle w:val="Compact"/>
        <w:numPr>
          <w:ilvl w:val="0"/>
          <w:numId w:val="1022"/>
        </w:numPr>
      </w:pPr>
      <w:r>
        <w:rPr>
          <w:rFonts w:hint="eastAsia"/>
        </w:rPr>
        <w:t xml:space="preserve">半导体主力净流出-181.61亿元，流出板块第1。</w:t>
      </w:r>
    </w:p>
    <w:p>
      <w:pPr>
        <w:pStyle w:val="Compact"/>
        <w:numPr>
          <w:ilvl w:val="0"/>
          <w:numId w:val="1022"/>
        </w:numPr>
      </w:pPr>
      <w:r>
        <w:rPr>
          <w:rFonts w:hint="eastAsia"/>
        </w:rPr>
        <w:t xml:space="preserve">通信设备主力净流出-140.74亿元，流出板块第2。</w:t>
      </w:r>
    </w:p>
    <w:p>
      <w:pPr>
        <w:pStyle w:val="Compact"/>
        <w:numPr>
          <w:ilvl w:val="0"/>
          <w:numId w:val="1022"/>
        </w:numPr>
      </w:pPr>
      <w:r>
        <w:rPr>
          <w:rFonts w:hint="eastAsia"/>
        </w:rPr>
        <w:t xml:space="preserve">元件主力净流出-79.36亿元，流出板块第3。</w:t>
      </w:r>
    </w:p>
    <w:p>
      <w:pPr>
        <w:pStyle w:val="Compact"/>
        <w:numPr>
          <w:ilvl w:val="0"/>
          <w:numId w:val="1022"/>
        </w:numPr>
      </w:pPr>
      <w:r>
        <w:rPr>
          <w:rFonts w:hint="eastAsia"/>
        </w:rPr>
        <w:t xml:space="preserve">兆易创新主力净流出-63.86亿，流出个股第1。</w:t>
      </w:r>
    </w:p>
    <w:p>
      <w:pPr>
        <w:pStyle w:val="Compact"/>
        <w:numPr>
          <w:ilvl w:val="0"/>
          <w:numId w:val="1022"/>
        </w:numPr>
      </w:pPr>
      <w:r>
        <w:rPr>
          <w:rFonts w:hint="eastAsia"/>
        </w:rPr>
        <w:t xml:space="preserve">长鑫科技主力净流出-25.32亿，长电科技主力净流出-21.87亿，澜起科技主力净流出-17.37亿。</w:t>
      </w:r>
    </w:p>
    <w:bookmarkEnd w:id="63"/>
    <w:bookmarkStart w:id="64" w:name="技术状态-1"/>
    <w:p>
      <w:pPr>
        <w:pStyle w:val="Heading3"/>
      </w:pPr>
      <w:r>
        <w:rPr>
          <w:rFonts w:hint="eastAsia"/>
        </w:rPr>
        <w:t xml:space="preserve">技术状态</w:t>
      </w:r>
    </w:p>
    <w:p>
      <w:pPr>
        <w:pStyle w:val="Compact"/>
        <w:numPr>
          <w:ilvl w:val="0"/>
          <w:numId w:val="1023"/>
        </w:numPr>
      </w:pPr>
      <w:r>
        <w:rPr>
          <w:rFonts w:hint="eastAsia"/>
        </w:rPr>
        <w:t xml:space="preserve">兆易创新TickFlow评级D，趋势破位，MA60=517.8356666666666，距离60日高点-51.3%。</w:t>
      </w:r>
    </w:p>
    <w:p>
      <w:pPr>
        <w:pStyle w:val="Compact"/>
        <w:numPr>
          <w:ilvl w:val="0"/>
          <w:numId w:val="1023"/>
        </w:numPr>
      </w:pPr>
      <w:r>
        <w:rPr>
          <w:rFonts w:hint="eastAsia"/>
        </w:rPr>
        <w:t xml:space="preserve">寒武纪TickFlow评级D，趋势破位，MA20=1110.4465，MA60=1273.5818333333334，距离60日高点-35.13%。</w:t>
      </w:r>
    </w:p>
    <w:p>
      <w:pPr>
        <w:pStyle w:val="Compact"/>
        <w:numPr>
          <w:ilvl w:val="0"/>
          <w:numId w:val="1023"/>
        </w:numPr>
      </w:pPr>
      <w:r>
        <w:rPr>
          <w:rFonts w:hint="eastAsia"/>
        </w:rPr>
        <w:t xml:space="preserve">士兰微TickFlow评级D，趋势破位，MA60=37.40833333333333，距离60日高点-34.34%。</w:t>
      </w:r>
    </w:p>
    <w:p>
      <w:pPr>
        <w:pStyle w:val="Compact"/>
        <w:numPr>
          <w:ilvl w:val="0"/>
          <w:numId w:val="1023"/>
        </w:numPr>
      </w:pPr>
      <w:r>
        <w:rPr>
          <w:rFonts w:hint="eastAsia"/>
        </w:rPr>
        <w:t xml:space="preserve">长鑫科技指标数据不足，missing_required_fields为ma60、momentum_20d，不做判断。</w:t>
      </w:r>
    </w:p>
    <w:bookmarkEnd w:id="64"/>
    <w:bookmarkStart w:id="65" w:name="行动-4"/>
    <w:p>
      <w:pPr>
        <w:pStyle w:val="Heading3"/>
      </w:pPr>
      <w:r>
        <w:t xml:space="preserve">💡 </w:t>
      </w:r>
      <w:r>
        <w:rPr>
          <w:rFonts w:hint="eastAsia"/>
        </w:rPr>
        <w:t xml:space="preserve">行动</w:t>
      </w:r>
    </w:p>
    <w:p>
      <w:pPr>
        <w:pStyle w:val="Compact"/>
        <w:numPr>
          <w:ilvl w:val="0"/>
          <w:numId w:val="1024"/>
        </w:numPr>
      </w:pPr>
      <w:r>
        <w:rPr>
          <w:rFonts w:hint="eastAsia"/>
        </w:rPr>
        <w:t xml:space="preserve">评级：D。</w:t>
      </w:r>
    </w:p>
    <w:p>
      <w:pPr>
        <w:pStyle w:val="Compact"/>
        <w:numPr>
          <w:ilvl w:val="0"/>
          <w:numId w:val="1024"/>
        </w:numPr>
      </w:pPr>
      <w:r>
        <w:rPr>
          <w:rFonts w:hint="eastAsia"/>
        </w:rPr>
        <w:t xml:space="preserve">今日不做低吸，不做反包预判。</w:t>
      </w:r>
    </w:p>
    <w:p>
      <w:pPr>
        <w:pStyle w:val="Compact"/>
        <w:numPr>
          <w:ilvl w:val="0"/>
          <w:numId w:val="1024"/>
        </w:numPr>
      </w:pPr>
      <w:r>
        <w:rPr>
          <w:rFonts w:hint="eastAsia"/>
        </w:rPr>
        <w:t xml:space="preserve">只有资金榜回流、指数止跌、个股重新站回MA20/MA60后，才允许复评。</w:t>
      </w:r>
    </w:p>
    <w:p>
      <w:pPr>
        <w:pStyle w:val="Compact"/>
        <w:numPr>
          <w:ilvl w:val="0"/>
          <w:numId w:val="1024"/>
        </w:numPr>
      </w:pPr>
      <w:r>
        <w:rPr>
          <w:rFonts w:hint="eastAsia"/>
        </w:rPr>
        <w:t xml:space="preserve">当前阶段最容易犯FOMO错误：看到盘中急拉就误判二波启动。</w:t>
      </w:r>
    </w:p>
    <w:p>
      <w:r>
        <w:pict>
          <v:rect style="width:0;height:1.5pt" o:hralign="center" o:hrstd="t" o:hr="t"/>
        </w:pict>
      </w:r>
    </w:p>
    <w:bookmarkEnd w:id="65"/>
    <w:bookmarkEnd w:id="66"/>
    <w:bookmarkStart w:id="70" w:name="仓位模型量化推导与主观修正"/>
    <w:p>
      <w:pPr>
        <w:pStyle w:val="Heading2"/>
      </w:pPr>
      <w:r>
        <w:t xml:space="preserve">📐 </w:t>
      </w:r>
      <w:r>
        <w:rPr>
          <w:rFonts w:hint="eastAsia"/>
        </w:rPr>
        <w:t xml:space="preserve">仓位模型：量化推导与主观修正</w:t>
      </w:r>
    </w:p>
    <w:bookmarkStart w:id="67" w:name="模型输入"/>
    <w:p>
      <w:pPr>
        <w:pStyle w:val="Heading3"/>
      </w:pP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0.368</w:t>
            </w:r>
          </w:p>
        </w:tc>
        <w:tc>
          <w:tcPr/>
          <w:p>
            <w:pPr>
              <w:pStyle w:val="Compact"/>
              <w:jc w:val="right"/>
            </w:pPr>
            <w:r>
              <w:t xml:space="preserve">-15</w:t>
            </w:r>
          </w:p>
        </w:tc>
      </w:tr>
      <w:tr>
        <w:tc>
          <w:tcPr/>
          <w:p>
            <w:pPr>
              <w:pStyle w:val="Compact"/>
            </w:pPr>
            <w:r>
              <w:rPr>
                <w:rFonts w:hint="eastAsia"/>
              </w:rPr>
              <w:t xml:space="preserve">跌停数</w:t>
            </w:r>
          </w:p>
        </w:tc>
        <w:tc>
          <w:tcPr/>
          <w:p>
            <w:pPr>
              <w:pStyle w:val="Compact"/>
              <w:jc w:val="right"/>
            </w:pPr>
            <w:r>
              <w:t xml:space="preserve">11</w:t>
            </w:r>
          </w:p>
        </w:tc>
        <w:tc>
          <w:tcPr/>
          <w:p>
            <w:pPr>
              <w:pStyle w:val="Compact"/>
              <w:jc w:val="right"/>
            </w:pPr>
            <w:r>
              <w:t xml:space="preserve">0</w:t>
            </w:r>
          </w:p>
        </w:tc>
      </w:tr>
      <w:tr>
        <w:tc>
          <w:tcPr/>
          <w:p>
            <w:pPr>
              <w:pStyle w:val="Compact"/>
            </w:pPr>
            <w:r>
              <w:rPr>
                <w:rFonts w:hint="eastAsia"/>
              </w:rPr>
              <w:t xml:space="preserve">成交额变化</w:t>
            </w:r>
          </w:p>
        </w:tc>
        <w:tc>
          <w:tcPr/>
          <w:p>
            <w:pPr>
              <w:pStyle w:val="Compact"/>
              <w:jc w:val="right"/>
            </w:pPr>
            <w:r>
              <w:t xml:space="preserve">+6.81%</w:t>
            </w:r>
          </w:p>
        </w:tc>
        <w:tc>
          <w:tcPr/>
          <w:p>
            <w:pPr>
              <w:pStyle w:val="Compact"/>
              <w:jc w:val="right"/>
            </w:pPr>
            <w:r>
              <w:t xml:space="preserve">+5</w:t>
            </w:r>
          </w:p>
        </w:tc>
      </w:tr>
      <w:tr>
        <w:tc>
          <w:tcPr/>
          <w:p>
            <w:pPr>
              <w:pStyle w:val="Compact"/>
            </w:pPr>
            <w:r>
              <w:rPr>
                <w:rFonts w:hint="eastAsia"/>
              </w:rPr>
              <w:t xml:space="preserve">最大仓位</w:t>
            </w:r>
          </w:p>
        </w:tc>
        <w:tc>
          <w:tcPr/>
          <w:p>
            <w:pPr>
              <w:pStyle w:val="Compact"/>
              <w:jc w:val="right"/>
            </w:pPr>
            <w:r>
              <w:t xml:space="preserve">50%</w:t>
            </w:r>
          </w:p>
        </w:tc>
        <w:tc>
          <w:tcPr/>
          <w:p>
            <w:pPr>
              <w:pStyle w:val="Compact"/>
              <w:jc w:val="right"/>
            </w:pPr>
            <w:r>
              <w:rPr>
                <w:rFonts w:hint="eastAsia"/>
              </w:rPr>
              <w:t xml:space="preserve">上限约束</w:t>
            </w:r>
          </w:p>
        </w:tc>
      </w:tr>
      <w:tr>
        <w:tc>
          <w:tcPr/>
          <w:p>
            <w:pPr>
              <w:pStyle w:val="Compact"/>
            </w:pPr>
            <w:r>
              <w:rPr>
                <w:rFonts w:hint="eastAsia"/>
              </w:rPr>
              <w:t xml:space="preserve">均衡仓位</w:t>
            </w:r>
          </w:p>
        </w:tc>
        <w:tc>
          <w:tcPr/>
          <w:p>
            <w:pPr>
              <w:pStyle w:val="Compact"/>
              <w:jc w:val="right"/>
            </w:pPr>
            <w:r>
              <w:t xml:space="preserve">30%</w:t>
            </w:r>
          </w:p>
        </w:tc>
        <w:tc>
          <w:tcPr/>
          <w:p>
            <w:pPr>
              <w:pStyle w:val="Compact"/>
              <w:jc w:val="right"/>
            </w:pPr>
            <w:r>
              <w:rPr>
                <w:rFonts w:hint="eastAsia"/>
              </w:rPr>
              <w:t xml:space="preserve">执行中枢</w:t>
            </w:r>
          </w:p>
        </w:tc>
      </w:tr>
    </w:tbl>
    <w:bookmarkEnd w:id="67"/>
    <w:bookmarkStart w:id="68" w:name="模型结论"/>
    <w:p>
      <w:pPr>
        <w:pStyle w:val="Heading3"/>
      </w:pPr>
      <w:r>
        <w:t xml:space="preserve">💡 </w:t>
      </w:r>
      <w:r>
        <w:rPr>
          <w:rFonts w:hint="eastAsia"/>
        </w:rPr>
        <w:t xml:space="preserve">模型结论</w:t>
      </w:r>
    </w:p>
    <w:p>
      <w:pPr>
        <w:pStyle w:val="Compact"/>
        <w:numPr>
          <w:ilvl w:val="0"/>
          <w:numId w:val="1025"/>
        </w:numPr>
      </w:pPr>
      <w:r>
        <w:rPr>
          <w:rFonts w:hint="eastAsia"/>
        </w:rPr>
        <w:t xml:space="preserve">成交额温和放量是加分项，但涨跌比0.368显示市场宽度差。</w:t>
      </w:r>
    </w:p>
    <w:p>
      <w:pPr>
        <w:pStyle w:val="Compact"/>
        <w:numPr>
          <w:ilvl w:val="0"/>
          <w:numId w:val="1025"/>
        </w:numPr>
      </w:pPr>
      <w:r>
        <w:rPr>
          <w:rFonts w:hint="eastAsia"/>
        </w:rPr>
        <w:t xml:space="preserve">放量下跌不是好信号，说明抛压真实存在。</w:t>
      </w:r>
    </w:p>
    <w:p>
      <w:pPr>
        <w:pStyle w:val="Compact"/>
        <w:numPr>
          <w:ilvl w:val="0"/>
          <w:numId w:val="1025"/>
        </w:numPr>
      </w:pPr>
      <w:r>
        <w:rPr>
          <w:rFonts w:hint="eastAsia"/>
        </w:rPr>
        <w:t xml:space="preserve">两融余额减少59.868836亿元，杠杆风险偏好下降。</w:t>
      </w:r>
    </w:p>
    <w:p>
      <w:pPr>
        <w:pStyle w:val="Compact"/>
        <w:numPr>
          <w:ilvl w:val="0"/>
          <w:numId w:val="1025"/>
        </w:numPr>
      </w:pPr>
      <w:r>
        <w:rPr>
          <w:rFonts w:hint="eastAsia"/>
        </w:rPr>
        <w:t xml:space="preserve">QVIX较前收盘上升9.556860651361447%，恐慌降温未确认。</w:t>
      </w:r>
    </w:p>
    <w:bookmarkEnd w:id="68"/>
    <w:bookmarkStart w:id="69" w:name="今日仓位执行"/>
    <w:p>
      <w:pPr>
        <w:pStyle w:val="Heading3"/>
      </w:pPr>
      <w:r>
        <w:rPr>
          <w:rFonts w:hint="eastAsia"/>
        </w:rPr>
        <w:t xml:space="preserve">今日仓位执行</w:t>
      </w:r>
    </w:p>
    <w:p>
      <w:pPr>
        <w:pStyle w:val="Compact"/>
        <w:numPr>
          <w:ilvl w:val="0"/>
          <w:numId w:val="1026"/>
        </w:numPr>
      </w:pPr>
      <w:r>
        <w:rPr>
          <w:rFonts w:hint="eastAsia"/>
        </w:rPr>
        <w:t xml:space="preserve">基础仓位：30%。</w:t>
      </w:r>
    </w:p>
    <w:p>
      <w:pPr>
        <w:pStyle w:val="Compact"/>
        <w:numPr>
          <w:ilvl w:val="0"/>
          <w:numId w:val="1026"/>
        </w:numPr>
      </w:pPr>
      <w:r>
        <w:rPr>
          <w:rFonts w:hint="eastAsia"/>
        </w:rPr>
        <w:t xml:space="preserve">弱势开盘：降至15%。</w:t>
      </w:r>
    </w:p>
    <w:p>
      <w:pPr>
        <w:pStyle w:val="Compact"/>
        <w:numPr>
          <w:ilvl w:val="0"/>
          <w:numId w:val="1026"/>
        </w:numPr>
      </w:pPr>
      <w:r>
        <w:rPr>
          <w:rFonts w:hint="eastAsia"/>
        </w:rPr>
        <w:t xml:space="preserve">资源/红利延续且科技止跌：维持30%。</w:t>
      </w:r>
    </w:p>
    <w:p>
      <w:pPr>
        <w:pStyle w:val="Compact"/>
        <w:numPr>
          <w:ilvl w:val="0"/>
          <w:numId w:val="1026"/>
        </w:numPr>
      </w:pPr>
      <w:r>
        <w:rPr>
          <w:rFonts w:hint="eastAsia"/>
        </w:rPr>
        <w:t xml:space="preserve">放量修复、涨跌比回到1以上、科技核心资金回流：提高到40%。</w:t>
      </w:r>
    </w:p>
    <w:p>
      <w:pPr>
        <w:pStyle w:val="Compact"/>
        <w:numPr>
          <w:ilvl w:val="0"/>
          <w:numId w:val="1026"/>
        </w:numPr>
      </w:pPr>
      <w:r>
        <w:rPr>
          <w:rFonts w:hint="eastAsia"/>
        </w:rPr>
        <w:t xml:space="preserve">不建议超过40%，除非联合信号由not_confirmed转为confirmed。</w:t>
      </w:r>
    </w:p>
    <w:p>
      <w:r>
        <w:pict>
          <v:rect style="width:0;height:1.5pt" o:hralign="center" o:hrstd="t" o:hr="t"/>
        </w:pict>
      </w:r>
    </w:p>
    <w:bookmarkEnd w:id="69"/>
    <w:bookmarkEnd w:id="70"/>
    <w:bookmarkStart w:id="71" w:name="行为金融信号不拥挤但亏损厌恶可能扩散"/>
    <w:p>
      <w:pPr>
        <w:pStyle w:val="Heading2"/>
      </w:pPr>
      <w:r>
        <w:t xml:space="preserve">🧠 </w:t>
      </w:r>
      <w:r>
        <w:rPr>
          <w:rFonts w:hint="eastAsia"/>
        </w:rPr>
        <w:t xml:space="preserve">行为金融信号：不拥挤，但亏损厌恶可能扩散</w:t>
      </w:r>
    </w:p>
    <w:p>
      <w:pPr>
        <w:pStyle w:val="FirstParagraph"/>
      </w:pPr>
      <w:r>
        <w:rPr>
          <w:rFonts w:hint="eastAsia"/>
        </w:rPr>
        <w:t xml:space="preserve">derived.behavioral_finance_signals：</w:t>
      </w:r>
      <w:r>
        <w:t xml:space="preserve"> </w:t>
      </w:r>
      <w:r>
        <w:t xml:space="preserve">- risk_score=1。</w:t>
      </w:r>
      <w:r>
        <w:t xml:space="preserve"> </w:t>
      </w:r>
      <w:r>
        <w:t xml:space="preserve">- </w:t>
      </w:r>
      <w:r>
        <w:rPr>
          <w:rFonts w:hint="eastAsia"/>
        </w:rPr>
        <w:t xml:space="preserve">信号：行为金融信号中性。</w:t>
      </w:r>
      <w:r>
        <w:t xml:space="preserve"> </w:t>
      </w:r>
      <w:r>
        <w:t xml:space="preserve">- </w:t>
      </w:r>
      <w:r>
        <w:rPr>
          <w:rFonts w:hint="eastAsia"/>
        </w:rPr>
        <w:t xml:space="preserve">证据：未触发FOMO、拥挤或亏损厌恶阈值。</w:t>
      </w:r>
      <w:r>
        <w:t xml:space="preserve"> </w:t>
      </w:r>
      <w:r>
        <w:t xml:space="preserve">- </w:t>
      </w:r>
      <w:r>
        <w:rPr>
          <w:rFonts w:hint="eastAsia"/>
        </w:rPr>
        <w:t xml:space="preserve">metrics：up_down_ratio=0.368，turnover_change_pct=6.81，high_pe_count=2，high_turnover_count=0。</w:t>
      </w:r>
    </w:p>
    <w:p>
      <w:pPr>
        <w:pStyle w:val="BodyText"/>
      </w:pPr>
      <w:r>
        <w:t xml:space="preserve">💡 </w:t>
      </w:r>
      <w:r>
        <w:rPr>
          <w:rFonts w:hint="eastAsia"/>
        </w:rPr>
        <w:t xml:space="preserve">交易心理提示：</w:t>
      </w:r>
      <w:r>
        <w:t xml:space="preserve"> </w:t>
      </w:r>
      <w:r>
        <w:t xml:space="preserve">- </w:t>
      </w:r>
      <w:r>
        <w:rPr>
          <w:rFonts w:hint="eastAsia"/>
        </w:rPr>
        <w:t xml:space="preserve">当前不是全面FOMO高潮，而是高位科技兑现后的风险再定价。</w:t>
      </w:r>
      <w:r>
        <w:t xml:space="preserve"> </w:t>
      </w:r>
      <w:r>
        <w:t xml:space="preserve">- </w:t>
      </w:r>
      <w:r>
        <w:rPr>
          <w:rFonts w:hint="eastAsia"/>
        </w:rPr>
        <w:t xml:space="preserve">最危险动作：把AI硬件业绩高增当作无条件买入理由。</w:t>
      </w:r>
      <w:r>
        <w:t xml:space="preserve"> </w:t>
      </w:r>
      <w:r>
        <w:t xml:space="preserve">- </w:t>
      </w:r>
      <w:r>
        <w:rPr>
          <w:rFonts w:hint="eastAsia"/>
        </w:rPr>
        <w:t xml:space="preserve">正确动作：先看资金是否停止流出，再看价格是否重新站回趋势，再考虑仓位。</w:t>
      </w:r>
      <w:r>
        <w:t xml:space="preserve"> </w:t>
      </w:r>
      <w:r>
        <w:t xml:space="preserve">- </w:t>
      </w:r>
      <w:r>
        <w:rPr>
          <w:rFonts w:hint="eastAsia"/>
        </w:rPr>
        <w:t xml:space="preserve">对资源/红利也不能因短期强势而追高，防止从“科技追涨”切换成“防御追涨”。</w:t>
      </w:r>
    </w:p>
    <w:p>
      <w:r>
        <w:pict>
          <v:rect style="width:0;height:1.5pt" o:hralign="center" o:hrstd="t" o:hr="t"/>
        </w:pict>
      </w:r>
    </w:p>
    <w:bookmarkEnd w:id="71"/>
    <w:bookmarkStart w:id="76" w:name="回避清单今天优先避开四类票"/>
    <w:p>
      <w:pPr>
        <w:pStyle w:val="Heading2"/>
      </w:pPr>
      <w:r>
        <w:t xml:space="preserve">🚫 </w:t>
      </w:r>
      <w:r>
        <w:rPr>
          <w:rFonts w:hint="eastAsia"/>
        </w:rPr>
        <w:t xml:space="preserve">回避清单：今天优先避开四类票</w:t>
      </w:r>
    </w:p>
    <w:bookmarkStart w:id="72" w:name="高位科技破位且资金大流出票"/>
    <w:p>
      <w:pPr>
        <w:pStyle w:val="Heading3"/>
      </w:pPr>
      <w:r>
        <w:t xml:space="preserve">① </w:t>
      </w:r>
      <w:r>
        <w:rPr>
          <w:rFonts w:hint="eastAsia"/>
        </w:rPr>
        <w:t xml:space="preserve">高位科技破位且资金大流出票</w:t>
      </w:r>
    </w:p>
    <w:p>
      <w:pPr>
        <w:pStyle w:val="Compact"/>
        <w:numPr>
          <w:ilvl w:val="0"/>
          <w:numId w:val="1027"/>
        </w:numPr>
      </w:pPr>
      <w:r>
        <w:rPr>
          <w:rFonts w:hint="eastAsia"/>
        </w:rPr>
        <w:t xml:space="preserve">兆易创新：主力净流出-63.86亿，TickFlow评级D。</w:t>
      </w:r>
    </w:p>
    <w:p>
      <w:pPr>
        <w:pStyle w:val="Compact"/>
        <w:numPr>
          <w:ilvl w:val="0"/>
          <w:numId w:val="1027"/>
        </w:numPr>
      </w:pPr>
      <w:r>
        <w:rPr>
          <w:rFonts w:hint="eastAsia"/>
        </w:rPr>
        <w:t xml:space="preserve">中际旭创：主力净流出-39.76亿，TickFlow评级D。</w:t>
      </w:r>
    </w:p>
    <w:p>
      <w:pPr>
        <w:pStyle w:val="Compact"/>
        <w:numPr>
          <w:ilvl w:val="0"/>
          <w:numId w:val="1027"/>
        </w:numPr>
      </w:pPr>
      <w:r>
        <w:rPr>
          <w:rFonts w:hint="eastAsia"/>
        </w:rPr>
        <w:t xml:space="preserve">天孚通信：主力净流出-30.90亿，TickFlow评级D。</w:t>
      </w:r>
    </w:p>
    <w:p>
      <w:pPr>
        <w:pStyle w:val="Compact"/>
        <w:numPr>
          <w:ilvl w:val="0"/>
          <w:numId w:val="1027"/>
        </w:numPr>
      </w:pPr>
      <w:r>
        <w:rPr>
          <w:rFonts w:hint="eastAsia"/>
        </w:rPr>
        <w:t xml:space="preserve">长鑫科技：主力净流出-25.32亿，技术指标数据不足。</w:t>
      </w:r>
    </w:p>
    <w:p>
      <w:pPr>
        <w:pStyle w:val="Compact"/>
        <w:numPr>
          <w:ilvl w:val="0"/>
          <w:numId w:val="1027"/>
        </w:numPr>
      </w:pPr>
      <w:r>
        <w:rPr>
          <w:rFonts w:hint="eastAsia"/>
        </w:rPr>
        <w:t xml:space="preserve">新易盛：主力净流出-17.57亿，TickFlow评级D。</w:t>
      </w:r>
    </w:p>
    <w:bookmarkEnd w:id="72"/>
    <w:bookmarkStart w:id="73" w:name="公告风险票"/>
    <w:p>
      <w:pPr>
        <w:pStyle w:val="Heading3"/>
      </w:pPr>
      <w:r>
        <w:t xml:space="preserve">② </w:t>
      </w:r>
      <w:r>
        <w:rPr>
          <w:rFonts w:hint="eastAsia"/>
        </w:rPr>
        <w:t xml:space="preserve">公告风险票</w:t>
      </w:r>
    </w:p>
    <w:p>
      <w:pPr>
        <w:pStyle w:val="Compact"/>
        <w:numPr>
          <w:ilvl w:val="0"/>
          <w:numId w:val="1028"/>
        </w:numPr>
      </w:pPr>
      <w:r>
        <w:rPr>
          <w:rFonts w:hint="eastAsia"/>
        </w:rPr>
        <w:t xml:space="preserve">减持类公告数量21。</w:t>
      </w:r>
    </w:p>
    <w:p>
      <w:pPr>
        <w:pStyle w:val="Compact"/>
        <w:numPr>
          <w:ilvl w:val="0"/>
          <w:numId w:val="1028"/>
        </w:numPr>
      </w:pPr>
      <w:r>
        <w:rPr>
          <w:rFonts w:hint="eastAsia"/>
        </w:rPr>
        <w:t xml:space="preserve">资产减值类公告数量154。</w:t>
      </w:r>
    </w:p>
    <w:p>
      <w:pPr>
        <w:pStyle w:val="Compact"/>
        <w:numPr>
          <w:ilvl w:val="0"/>
          <w:numId w:val="1028"/>
        </w:numPr>
      </w:pPr>
      <w:r>
        <w:rPr>
          <w:rFonts w:hint="eastAsia"/>
        </w:rPr>
        <w:t xml:space="preserve">问询函数量10。</w:t>
      </w:r>
    </w:p>
    <w:p>
      <w:pPr>
        <w:pStyle w:val="Compact"/>
        <w:numPr>
          <w:ilvl w:val="0"/>
          <w:numId w:val="1028"/>
        </w:numPr>
      </w:pPr>
      <w:r>
        <w:rPr>
          <w:rFonts w:hint="eastAsia"/>
        </w:rPr>
        <w:t xml:space="preserve">ST及退市风险相关公告需单独核验，不参与盘前情绪交易。</w:t>
      </w:r>
    </w:p>
    <w:bookmarkEnd w:id="73"/>
    <w:bookmarkStart w:id="74" w:name="估值与换手压力过高但趋势未确认票"/>
    <w:p>
      <w:pPr>
        <w:pStyle w:val="Heading3"/>
      </w:pPr>
      <w:r>
        <w:t xml:space="preserve">③ </w:t>
      </w:r>
      <w:r>
        <w:rPr>
          <w:rFonts w:hint="eastAsia"/>
        </w:rPr>
        <w:t xml:space="preserve">估值与换手压力过高但趋势未确认票</w:t>
      </w:r>
    </w:p>
    <w:p>
      <w:pPr>
        <w:pStyle w:val="Compact"/>
        <w:numPr>
          <w:ilvl w:val="0"/>
          <w:numId w:val="1029"/>
        </w:numPr>
      </w:pPr>
      <w:r>
        <w:rPr>
          <w:rFonts w:hint="eastAsia"/>
        </w:rPr>
        <w:t xml:space="preserve">寒武纪：PE</w:t>
      </w:r>
      <w:r>
        <w:t xml:space="preserve"> </w:t>
      </w:r>
      <w:r>
        <w:rPr>
          <w:rFonts w:hint="eastAsia"/>
        </w:rPr>
        <w:t xml:space="preserve">182.9，PB</w:t>
      </w:r>
      <w:r>
        <w:t xml:space="preserve"> </w:t>
      </w:r>
      <w:r>
        <w:rPr>
          <w:rFonts w:hint="eastAsia"/>
        </w:rPr>
        <w:t xml:space="preserve">44.96，TickFlow评级D。</w:t>
      </w:r>
    </w:p>
    <w:p>
      <w:pPr>
        <w:pStyle w:val="Compact"/>
        <w:numPr>
          <w:ilvl w:val="0"/>
          <w:numId w:val="1029"/>
        </w:numPr>
      </w:pPr>
      <w:r>
        <w:rPr>
          <w:rFonts w:hint="eastAsia"/>
        </w:rPr>
        <w:t xml:space="preserve">长鑫科技：PE</w:t>
      </w:r>
      <w:r>
        <w:t xml:space="preserve"> </w:t>
      </w:r>
      <w:r>
        <w:rPr>
          <w:rFonts w:hint="eastAsia"/>
        </w:rPr>
        <w:t xml:space="preserve">134.3，PB</w:t>
      </w:r>
      <w:r>
        <w:t xml:space="preserve"> </w:t>
      </w:r>
      <w:r>
        <w:rPr>
          <w:rFonts w:hint="eastAsia"/>
        </w:rPr>
        <w:t xml:space="preserve">46.32，技术数据不足。</w:t>
      </w:r>
    </w:p>
    <w:bookmarkEnd w:id="74"/>
    <w:bookmarkStart w:id="75" w:name="etf溢价风险相关品种"/>
    <w:p>
      <w:pPr>
        <w:pStyle w:val="Heading3"/>
      </w:pPr>
      <w:r>
        <w:t xml:space="preserve">④ </w:t>
      </w:r>
      <w:r>
        <w:rPr>
          <w:rFonts w:hint="eastAsia"/>
        </w:rPr>
        <w:t xml:space="preserve">ETF溢价风险相关品种</w:t>
      </w:r>
    </w:p>
    <w:p>
      <w:pPr>
        <w:pStyle w:val="Compact"/>
        <w:numPr>
          <w:ilvl w:val="0"/>
          <w:numId w:val="1030"/>
        </w:numPr>
      </w:pPr>
      <w:r>
        <w:rPr>
          <w:rFonts w:hint="eastAsia"/>
        </w:rPr>
        <w:t xml:space="preserve">纳指科技ETF景顺、纳指ETF嘉实出现二级市场交易价格明显高于基金份额参考净值IOPV，并提示溢价风险。</w:t>
      </w:r>
    </w:p>
    <w:p>
      <w:pPr>
        <w:pStyle w:val="Compact"/>
        <w:numPr>
          <w:ilvl w:val="0"/>
          <w:numId w:val="1030"/>
        </w:numPr>
      </w:pPr>
      <w:r>
        <w:rPr>
          <w:rFonts w:hint="eastAsia"/>
        </w:rPr>
        <w:t xml:space="preserve">跨境科技ETF若继续高溢价，不参与套利外的方向性追涨。</w:t>
      </w:r>
    </w:p>
    <w:p>
      <w:r>
        <w:pict>
          <v:rect style="width:0;height:1.5pt" o:hralign="center" o:hrstd="t" o:hr="t"/>
        </w:pict>
      </w:r>
    </w:p>
    <w:bookmarkEnd w:id="75"/>
    <w:bookmarkEnd w:id="76"/>
    <w:bookmarkStart w:id="78" w:name="风险日历半年报解禁减持地缘与台风"/>
    <w:p>
      <w:pPr>
        <w:pStyle w:val="Heading2"/>
      </w:pPr>
      <w:r>
        <w:t xml:space="preserve">⚠️ </w:t>
      </w:r>
      <w:r>
        <w:rPr>
          <w:rFonts w:hint="eastAsia"/>
        </w:rPr>
        <w:t xml:space="preserve">风险日历：半年报、解禁减持、地缘与台风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风险类型</w:t>
            </w:r>
          </w:p>
        </w:tc>
        <w:tc>
          <w:tcPr/>
          <w:p>
            <w:pPr>
              <w:pStyle w:val="Compact"/>
              <w:jc w:val="right"/>
            </w:pPr>
            <w:r>
              <w:rPr>
                <w:rFonts w:hint="eastAsia"/>
              </w:rPr>
              <w:t xml:space="preserve">数据/事件</w:t>
            </w:r>
          </w:p>
        </w:tc>
        <w:tc>
          <w:tcPr/>
          <w:p>
            <w:pPr>
              <w:pStyle w:val="Compact"/>
            </w:pPr>
            <w:r>
              <w:rPr>
                <w:rFonts w:hint="eastAsia"/>
              </w:rPr>
              <w:t xml:space="preserve">影响</w:t>
            </w:r>
          </w:p>
        </w:tc>
      </w:tr>
      <w:tr>
        <w:tc>
          <w:tcPr/>
          <w:p>
            <w:pPr>
              <w:pStyle w:val="Compact"/>
            </w:pPr>
            <w:r>
              <w:rPr>
                <w:rFonts w:hint="eastAsia"/>
              </w:rPr>
              <w:t xml:space="preserve">半年报/业绩类公告</w:t>
            </w:r>
          </w:p>
        </w:tc>
        <w:tc>
          <w:tcPr/>
          <w:p>
            <w:pPr>
              <w:pStyle w:val="Compact"/>
              <w:jc w:val="right"/>
            </w:pPr>
            <w:r>
              <w:t xml:space="preserve">1268</w:t>
            </w:r>
          </w:p>
        </w:tc>
        <w:tc>
          <w:tcPr/>
          <w:p>
            <w:pPr>
              <w:pStyle w:val="Compact"/>
            </w:pPr>
            <w:r>
              <w:rPr>
                <w:rFonts w:hint="eastAsia"/>
              </w:rPr>
              <w:t xml:space="preserve">业绩雷与超预期并存</w:t>
            </w:r>
          </w:p>
        </w:tc>
      </w:tr>
      <w:tr>
        <w:tc>
          <w:tcPr/>
          <w:p>
            <w:pPr>
              <w:pStyle w:val="Compact"/>
            </w:pPr>
            <w:r>
              <w:rPr>
                <w:rFonts w:hint="eastAsia"/>
              </w:rPr>
              <w:t xml:space="preserve">解禁</w:t>
            </w:r>
          </w:p>
        </w:tc>
        <w:tc>
          <w:tcPr/>
          <w:p>
            <w:pPr>
              <w:pStyle w:val="Compact"/>
              <w:jc w:val="right"/>
            </w:pPr>
            <w:r>
              <w:t xml:space="preserve">28</w:t>
            </w:r>
          </w:p>
        </w:tc>
        <w:tc>
          <w:tcPr/>
          <w:p>
            <w:pPr>
              <w:pStyle w:val="Compact"/>
            </w:pPr>
            <w:r>
              <w:rPr>
                <w:rFonts w:hint="eastAsia"/>
              </w:rPr>
              <w:t xml:space="preserve">个股供给压力</w:t>
            </w:r>
          </w:p>
        </w:tc>
      </w:tr>
      <w:tr>
        <w:tc>
          <w:tcPr/>
          <w:p>
            <w:pPr>
              <w:pStyle w:val="Compact"/>
            </w:pPr>
            <w:r>
              <w:rPr>
                <w:rFonts w:hint="eastAsia"/>
              </w:rPr>
              <w:t xml:space="preserve">减持</w:t>
            </w:r>
          </w:p>
        </w:tc>
        <w:tc>
          <w:tcPr/>
          <w:p>
            <w:pPr>
              <w:pStyle w:val="Compact"/>
              <w:jc w:val="right"/>
            </w:pPr>
            <w:r>
              <w:t xml:space="preserve">21</w:t>
            </w:r>
          </w:p>
        </w:tc>
        <w:tc>
          <w:tcPr/>
          <w:p>
            <w:pPr>
              <w:pStyle w:val="Compact"/>
            </w:pPr>
            <w:r>
              <w:rPr>
                <w:rFonts w:hint="eastAsia"/>
              </w:rPr>
              <w:t xml:space="preserve">高位股情绪压制</w:t>
            </w:r>
          </w:p>
        </w:tc>
      </w:tr>
      <w:tr>
        <w:tc>
          <w:tcPr/>
          <w:p>
            <w:pPr>
              <w:pStyle w:val="Compact"/>
            </w:pPr>
            <w:r>
              <w:rPr>
                <w:rFonts w:hint="eastAsia"/>
              </w:rPr>
              <w:t xml:space="preserve">资产减值</w:t>
            </w:r>
          </w:p>
        </w:tc>
        <w:tc>
          <w:tcPr/>
          <w:p>
            <w:pPr>
              <w:pStyle w:val="Compact"/>
              <w:jc w:val="right"/>
            </w:pPr>
            <w:r>
              <w:t xml:space="preserve">154</w:t>
            </w:r>
          </w:p>
        </w:tc>
        <w:tc>
          <w:tcPr/>
          <w:p>
            <w:pPr>
              <w:pStyle w:val="Compact"/>
            </w:pPr>
            <w:r>
              <w:rPr>
                <w:rFonts w:hint="eastAsia"/>
              </w:rPr>
              <w:t xml:space="preserve">财报质量风险</w:t>
            </w:r>
          </w:p>
        </w:tc>
      </w:tr>
      <w:tr>
        <w:tc>
          <w:tcPr/>
          <w:p>
            <w:pPr>
              <w:pStyle w:val="Compact"/>
            </w:pPr>
            <w:r>
              <w:rPr>
                <w:rFonts w:hint="eastAsia"/>
              </w:rPr>
              <w:t xml:space="preserve">问询函</w:t>
            </w:r>
          </w:p>
        </w:tc>
        <w:tc>
          <w:tcPr/>
          <w:p>
            <w:pPr>
              <w:pStyle w:val="Compact"/>
              <w:jc w:val="right"/>
            </w:pPr>
            <w:r>
              <w:t xml:space="preserve">10</w:t>
            </w:r>
          </w:p>
        </w:tc>
        <w:tc>
          <w:tcPr/>
          <w:p>
            <w:pPr>
              <w:pStyle w:val="Compact"/>
            </w:pPr>
            <w:r>
              <w:rPr>
                <w:rFonts w:hint="eastAsia"/>
              </w:rPr>
              <w:t xml:space="preserve">监管不确定性</w:t>
            </w:r>
          </w:p>
        </w:tc>
      </w:tr>
    </w:tbl>
    <w:bookmarkStart w:id="77" w:name="事件风险"/>
    <w:p>
      <w:pPr>
        <w:pStyle w:val="Heading3"/>
      </w:pPr>
      <w:r>
        <w:rPr>
          <w:rFonts w:hint="eastAsia"/>
        </w:rPr>
        <w:t xml:space="preserve">事件风险</w:t>
      </w:r>
    </w:p>
    <w:p>
      <w:pPr>
        <w:pStyle w:val="Compact"/>
        <w:numPr>
          <w:ilvl w:val="0"/>
          <w:numId w:val="1031"/>
        </w:numPr>
      </w:pPr>
      <w:r>
        <w:rPr>
          <w:rFonts w:hint="eastAsia"/>
        </w:rPr>
        <w:t xml:space="preserve">霍尔木兹海峡通行新规：影响能源、航运、黄金风险溢价。</w:t>
      </w:r>
    </w:p>
    <w:p>
      <w:pPr>
        <w:pStyle w:val="Compact"/>
        <w:numPr>
          <w:ilvl w:val="0"/>
          <w:numId w:val="1031"/>
        </w:numPr>
      </w:pPr>
      <w:r>
        <w:rPr>
          <w:rFonts w:hint="eastAsia"/>
        </w:rPr>
        <w:t xml:space="preserve">台风与强降雨：影响东南沿海、华南沿海相关区域生产与物流。</w:t>
      </w:r>
    </w:p>
    <w:p>
      <w:pPr>
        <w:pStyle w:val="Compact"/>
        <w:numPr>
          <w:ilvl w:val="0"/>
          <w:numId w:val="1031"/>
        </w:numPr>
      </w:pPr>
      <w:r>
        <w:rPr>
          <w:rFonts w:hint="eastAsia"/>
        </w:rPr>
        <w:t xml:space="preserve">中美1.5轨对话：有助于稳定预期，但对盘面直接催化需观察。</w:t>
      </w:r>
    </w:p>
    <w:p>
      <w:pPr>
        <w:pStyle w:val="Compact"/>
        <w:numPr>
          <w:ilvl w:val="0"/>
          <w:numId w:val="1031"/>
        </w:numPr>
      </w:pPr>
      <w:r>
        <w:rPr>
          <w:rFonts w:hint="eastAsia"/>
        </w:rPr>
        <w:t xml:space="preserve">5000亿元MLF操作：稳定流动性，不等于风险偏好全面修复。</w:t>
      </w:r>
    </w:p>
    <w:p>
      <w:r>
        <w:pict>
          <v:rect style="width:0;height:1.5pt" o:hralign="center" o:hrstd="t" o:hr="t"/>
        </w:pict>
      </w:r>
    </w:p>
    <w:bookmarkEnd w:id="77"/>
    <w:bookmarkEnd w:id="78"/>
    <w:bookmarkStart w:id="80" w:name="外资与离岸风险偏好人民币稳定港股偏弱a50谨慎"/>
    <w:p>
      <w:pPr>
        <w:pStyle w:val="Heading2"/>
      </w:pPr>
      <w:r>
        <w:t xml:space="preserve">🌊 </w:t>
      </w:r>
      <w:r>
        <w:rPr>
          <w:rFonts w:hint="eastAsia"/>
        </w:rPr>
        <w:t xml:space="preserve">外资与离岸风险偏好：人民币稳定，港股偏弱，A50谨慎</w:t>
      </w:r>
    </w:p>
    <w:bookmarkStart w:id="79" w:name="关键变量"/>
    <w:p>
      <w:pPr>
        <w:pStyle w:val="Heading3"/>
      </w:pPr>
      <w:r>
        <w:t xml:space="preserve">📌 </w:t>
      </w:r>
      <w:r>
        <w:rPr>
          <w:rFonts w:hint="eastAsia"/>
        </w:rPr>
        <w:t xml:space="preserve">关键变量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r>
      <w:tr>
        <w:tc>
          <w:tcPr/>
          <w:p>
            <w:pPr>
              <w:pStyle w:val="Compact"/>
            </w:pPr>
            <w:r>
              <w:rPr>
                <w:rFonts w:hint="eastAsia"/>
              </w:rPr>
              <w:t xml:space="preserve">美元离岸人民币</w:t>
            </w:r>
          </w:p>
        </w:tc>
        <w:tc>
          <w:tcPr/>
          <w:p>
            <w:pPr>
              <w:pStyle w:val="Compact"/>
              <w:jc w:val="right"/>
            </w:pPr>
            <w:r>
              <w:t xml:space="preserve">6.719</w:t>
            </w:r>
          </w:p>
        </w:tc>
        <w:tc>
          <w:tcPr/>
          <w:p>
            <w:pPr>
              <w:pStyle w:val="Compact"/>
              <w:jc w:val="right"/>
            </w:pPr>
            <w:r>
              <w:t xml:space="preserve">📉 -0.02%</w:t>
            </w:r>
          </w:p>
        </w:tc>
      </w:tr>
      <w:tr>
        <w:tc>
          <w:tcPr/>
          <w:p>
            <w:pPr>
              <w:pStyle w:val="Compact"/>
            </w:pPr>
            <w:r>
              <w:rPr>
                <w:rFonts w:hint="eastAsia"/>
              </w:rPr>
              <w:t xml:space="preserve">恒生指数</w:t>
            </w:r>
          </w:p>
        </w:tc>
        <w:tc>
          <w:tcPr/>
          <w:p>
            <w:pPr>
              <w:pStyle w:val="Compact"/>
              <w:jc w:val="right"/>
            </w:pPr>
            <w:r>
              <w:t xml:space="preserve">26009.459</w:t>
            </w:r>
          </w:p>
        </w:tc>
        <w:tc>
          <w:tcPr/>
          <w:p>
            <w:pPr>
              <w:pStyle w:val="Compact"/>
              <w:jc w:val="right"/>
            </w:pPr>
            <w:r>
              <w:t xml:space="preserve">📉 -1.89%</w:t>
            </w:r>
          </w:p>
        </w:tc>
      </w:tr>
      <w:tr>
        <w:tc>
          <w:tcPr/>
          <w:p>
            <w:pPr>
              <w:pStyle w:val="Compact"/>
            </w:pPr>
            <w:r>
              <w:rPr>
                <w:rFonts w:hint="eastAsia"/>
              </w:rPr>
              <w:t xml:space="preserve">富时A50期指</w:t>
            </w:r>
          </w:p>
        </w:tc>
        <w:tc>
          <w:tcPr/>
          <w:p>
            <w:pPr>
              <w:pStyle w:val="Compact"/>
              <w:jc w:val="right"/>
            </w:pPr>
            <w:r>
              <w:t xml:space="preserve">14621.47</w:t>
            </w:r>
          </w:p>
        </w:tc>
        <w:tc>
          <w:tcPr/>
          <w:p>
            <w:pPr>
              <w:pStyle w:val="Compact"/>
              <w:jc w:val="right"/>
            </w:pPr>
            <w:r>
              <w:t xml:space="preserve">📉 -0.21%</w:t>
            </w:r>
          </w:p>
        </w:tc>
      </w:tr>
      <w:tr>
        <w:tc>
          <w:tcPr/>
          <w:p>
            <w:pPr>
              <w:pStyle w:val="Compact"/>
            </w:pPr>
            <w:r>
              <w:rPr>
                <w:rFonts w:hint="eastAsia"/>
              </w:rPr>
              <w:t xml:space="preserve">COMEX黄金</w:t>
            </w:r>
          </w:p>
        </w:tc>
        <w:tc>
          <w:tcPr/>
          <w:p>
            <w:pPr>
              <w:pStyle w:val="Compact"/>
              <w:jc w:val="right"/>
            </w:pPr>
            <w:r>
              <w:t xml:space="preserve">4740.72</w:t>
            </w:r>
          </w:p>
        </w:tc>
        <w:tc>
          <w:tcPr/>
          <w:p>
            <w:pPr>
              <w:pStyle w:val="Compact"/>
              <w:jc w:val="right"/>
            </w:pPr>
            <w:r>
              <w:t xml:space="preserve">📈 +0.91%</w:t>
            </w:r>
          </w:p>
        </w:tc>
      </w:tr>
    </w:tbl>
    <w:p>
      <w:pPr>
        <w:pStyle w:val="BodyText"/>
      </w:pPr>
      <w:r>
        <w:t xml:space="preserve">💡 </w:t>
      </w:r>
      <w:r>
        <w:rPr>
          <w:rFonts w:hint="eastAsia"/>
        </w:rPr>
        <w:t xml:space="preserve">判断：</w:t>
      </w:r>
      <w:r>
        <w:t xml:space="preserve"> </w:t>
      </w:r>
      <w:r>
        <w:t xml:space="preserve">- </w:t>
      </w:r>
      <w:r>
        <w:rPr>
          <w:rFonts w:hint="eastAsia"/>
        </w:rPr>
        <w:t xml:space="preserve">离岸人民币6.719，波动不大，对A股不是主要压力。</w:t>
      </w:r>
      <w:r>
        <w:t xml:space="preserve"> </w:t>
      </w:r>
      <w:r>
        <w:t xml:space="preserve">- </w:t>
      </w:r>
      <w:r>
        <w:rPr>
          <w:rFonts w:hint="eastAsia"/>
        </w:rPr>
        <w:t xml:space="preserve">港股与A50偏弱，说明外部风险偏好仍谨慎。</w:t>
      </w:r>
      <w:r>
        <w:t xml:space="preserve"> </w:t>
      </w:r>
      <w:r>
        <w:t xml:space="preserve">- </w:t>
      </w:r>
      <w:r>
        <w:rPr>
          <w:rFonts w:hint="eastAsia"/>
        </w:rPr>
        <w:t xml:space="preserve">黄金上涨与科技下跌组合，代表全球资金偏向避险。</w:t>
      </w:r>
      <w:r>
        <w:t xml:space="preserve"> </w:t>
      </w:r>
      <w:r>
        <w:t xml:space="preserve">- </w:t>
      </w:r>
      <w:r>
        <w:rPr>
          <w:rFonts w:hint="eastAsia"/>
        </w:rPr>
        <w:t xml:space="preserve">今日A股若要走强，需要依靠内资宽基ETF与资源/红利承接，而不是指望外盘科技修复。</w:t>
      </w:r>
    </w:p>
    <w:p>
      <w:r>
        <w:pict>
          <v:rect style="width:0;height:1.5pt" o:hralign="center" o:hrstd="t" o:hr="t"/>
        </w:pict>
      </w:r>
    </w:p>
    <w:bookmarkEnd w:id="79"/>
    <w:bookmarkEnd w:id="80"/>
    <w:bookmarkStart w:id="83" w:name="今日核心结论防守为主科技只等确认资源红利仍是主线"/>
    <w:p>
      <w:pPr>
        <w:pStyle w:val="Heading2"/>
      </w:pPr>
      <w:r>
        <w:t xml:space="preserve">🎯 </w:t>
      </w:r>
      <w:r>
        <w:rPr>
          <w:rFonts w:hint="eastAsia"/>
        </w:rPr>
        <w:t xml:space="preserve">今日核心结论：防守为主，科技只等确认，资源红利仍是主线</w:t>
      </w:r>
    </w:p>
    <w:bookmarkStart w:id="81" w:name="盘前评级"/>
    <w:p>
      <w:pPr>
        <w:pStyle w:val="Heading3"/>
      </w:pPr>
      <w:r>
        <w:t xml:space="preserve">💡 </w:t>
      </w:r>
      <w:r>
        <w:rPr>
          <w:rFonts w:hint="eastAsia"/>
        </w:rPr>
        <w:t xml:space="preserve">盘前评级</w:t>
      </w:r>
    </w:p>
    <w:p>
      <w:pPr>
        <w:pStyle w:val="Compact"/>
        <w:numPr>
          <w:ilvl w:val="0"/>
          <w:numId w:val="1032"/>
        </w:numPr>
      </w:pPr>
      <w:r>
        <w:rPr>
          <w:rFonts w:hint="eastAsia"/>
        </w:rPr>
        <w:t xml:space="preserve">大盘环境：B-，放量但宽度差。</w:t>
      </w:r>
    </w:p>
    <w:p>
      <w:pPr>
        <w:pStyle w:val="Compact"/>
        <w:numPr>
          <w:ilvl w:val="0"/>
          <w:numId w:val="1032"/>
        </w:numPr>
      </w:pPr>
      <w:r>
        <w:rPr>
          <w:rFonts w:hint="eastAsia"/>
        </w:rPr>
        <w:t xml:space="preserve">科技成长：C-，资金流出过大，等待修复。</w:t>
      </w:r>
    </w:p>
    <w:p>
      <w:pPr>
        <w:pStyle w:val="Compact"/>
        <w:numPr>
          <w:ilvl w:val="0"/>
          <w:numId w:val="1032"/>
        </w:numPr>
      </w:pPr>
      <w:r>
        <w:rPr>
          <w:rFonts w:hint="eastAsia"/>
        </w:rPr>
        <w:t xml:space="preserve">资源品：A-，资金与外盘黄金共振。</w:t>
      </w:r>
    </w:p>
    <w:p>
      <w:pPr>
        <w:pStyle w:val="Compact"/>
        <w:numPr>
          <w:ilvl w:val="0"/>
          <w:numId w:val="1032"/>
        </w:numPr>
      </w:pPr>
      <w:r>
        <w:rPr>
          <w:rFonts w:hint="eastAsia"/>
        </w:rPr>
        <w:t xml:space="preserve">红利/银行/煤炭：B+，防守属性明确。</w:t>
      </w:r>
    </w:p>
    <w:p>
      <w:pPr>
        <w:pStyle w:val="Compact"/>
        <w:numPr>
          <w:ilvl w:val="0"/>
          <w:numId w:val="1032"/>
        </w:numPr>
      </w:pPr>
      <w:r>
        <w:rPr>
          <w:rFonts w:hint="eastAsia"/>
        </w:rPr>
        <w:t xml:space="preserve">医药基层医疗：B-，政策有催化但资金未确认。</w:t>
      </w:r>
    </w:p>
    <w:bookmarkEnd w:id="81"/>
    <w:bookmarkStart w:id="82" w:name="今日执行清单"/>
    <w:p>
      <w:pPr>
        <w:pStyle w:val="Heading3"/>
      </w:pPr>
      <w:r>
        <w:rPr>
          <w:rFonts w:hint="eastAsia"/>
        </w:rPr>
        <w:t xml:space="preserve">今日执行清单</w:t>
      </w:r>
    </w:p>
    <w:p>
      <w:pPr>
        <w:pStyle w:val="Compact"/>
        <w:numPr>
          <w:ilvl w:val="0"/>
          <w:numId w:val="1033"/>
        </w:numPr>
      </w:pPr>
      <w:r>
        <w:rPr>
          <w:rFonts w:hint="eastAsia"/>
        </w:rPr>
        <w:t xml:space="preserve">开盘先看半导体、通信设备是否继续领跌，若继续放量下杀，科技全部按回避处理。</w:t>
      </w:r>
    </w:p>
    <w:p>
      <w:pPr>
        <w:pStyle w:val="Compact"/>
        <w:numPr>
          <w:ilvl w:val="0"/>
          <w:numId w:val="1033"/>
        </w:numPr>
      </w:pPr>
      <w:r>
        <w:rPr>
          <w:rFonts w:hint="eastAsia"/>
        </w:rPr>
        <w:t xml:space="preserve">资源方向只做紫金矿业这类A类右侧趋势确认股，不追高。</w:t>
      </w:r>
    </w:p>
    <w:p>
      <w:pPr>
        <w:pStyle w:val="Compact"/>
        <w:numPr>
          <w:ilvl w:val="0"/>
          <w:numId w:val="1033"/>
        </w:numPr>
      </w:pPr>
      <w:r>
        <w:rPr>
          <w:rFonts w:hint="eastAsia"/>
        </w:rPr>
        <w:t xml:space="preserve">红利/银行/煤炭可作为防守底仓，但必须看资金延续。</w:t>
      </w:r>
    </w:p>
    <w:p>
      <w:pPr>
        <w:pStyle w:val="Compact"/>
        <w:numPr>
          <w:ilvl w:val="0"/>
          <w:numId w:val="1033"/>
        </w:numPr>
      </w:pPr>
      <w:r>
        <w:rPr>
          <w:rFonts w:hint="eastAsia"/>
        </w:rPr>
        <w:t xml:space="preserve">两融下降、QVIX上升、联合信号not_confirmed，仓位不超过40%。</w:t>
      </w:r>
    </w:p>
    <w:p>
      <w:pPr>
        <w:pStyle w:val="Compact"/>
        <w:numPr>
          <w:ilvl w:val="0"/>
          <w:numId w:val="1033"/>
        </w:numPr>
      </w:pPr>
      <w:r>
        <w:rPr>
          <w:rFonts w:hint="eastAsia"/>
        </w:rPr>
        <w:t xml:space="preserve">盘中若涨跌比无法修复到1以上，维持15%—30%仓位，不主动进攻。</w:t>
      </w:r>
    </w:p>
    <w:p>
      <w:r>
        <w:pict>
          <v:rect style="width:0;height:1.5pt" o:hralign="center" o:hrstd="t" o:hr="t"/>
        </w:pict>
      </w:r>
    </w:p>
    <w:p>
      <w:pPr>
        <w:pStyle w:val="BlockText"/>
      </w:pPr>
      <w:r>
        <w:t xml:space="preserve">📊 </w:t>
      </w:r>
      <w:r>
        <w:rPr>
          <w:rFonts w:hint="eastAsia"/>
        </w:rPr>
        <w:t xml:space="preserve">生成时间：2026-08-25</w:t>
      </w:r>
      <w:r>
        <w:t xml:space="preserve"> 08:30:26 +0800</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82"/>
    <w:bookmarkEnd w:id="83"/>
    <w:bookmarkEnd w:id="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2026-08-25T00:38:39Z</dcterms:created>
  <dcterms:modified xsi:type="dcterms:W3CDTF">2026-08-25T00:38:39Z</dcterms:modified>
</cp:coreProperties>
</file>

<file path=docProps/custom.xml><?xml version="1.0" encoding="utf-8"?>
<Properties xmlns="http://schemas.openxmlformats.org/officeDocument/2006/custom-properties" xmlns:vt="http://schemas.openxmlformats.org/officeDocument/2006/docPropsVTypes"/>
</file>