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87" w:name="奇迹早知道盘前简报-2026-08-14"/>
    <w:p>
      <w:pPr>
        <w:pStyle w:val="Heading1"/>
      </w:pPr>
      <w:r>
        <w:t xml:space="preserve">🌅 </w:t>
      </w:r>
      <w:r>
        <w:rPr>
          <w:rFonts w:hint="eastAsia"/>
        </w:rPr>
        <w:t xml:space="preserve">奇迹早知道｜盘前简报</w:t>
      </w:r>
      <w:r>
        <w:t xml:space="preserve"> 2026-08-14</w:t>
      </w:r>
    </w:p>
    <w:bookmarkStart w:id="12" w:name="隔夜全球市场美股科技偏强a50平稳离岸人民币稳定"/>
    <w:p>
      <w:pPr>
        <w:pStyle w:val="Heading2"/>
      </w:pPr>
      <w:r>
        <w:t xml:space="preserve">🌍 </w:t>
      </w:r>
      <w:r>
        <w:rPr>
          <w:rFonts w:hint="eastAsia"/>
        </w:rPr>
        <w:t xml:space="preserve">隔夜全球市场：美股科技偏强，A50平稳，离岸人民币稳定</w:t>
      </w:r>
    </w:p>
    <w:bookmarkStart w:id="9" w:name="美股三大指数"/>
    <w:p>
      <w:pPr>
        <w:pStyle w:val="Heading3"/>
      </w:pPr>
      <w:r>
        <w:t xml:space="preserve">📈🔴 </w:t>
      </w:r>
      <w:r>
        <w:rPr>
          <w:rFonts w:hint="eastAsia"/>
        </w:rPr>
        <w:t xml:space="preserve">美股三大指数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最新点位</w:t>
            </w:r>
          </w:p>
        </w:tc>
        <w:tc>
          <w:tcPr/>
          <w:p>
            <w:pPr>
              <w:pStyle w:val="Compact"/>
              <w:jc w:val="right"/>
            </w:pPr>
            <w:r>
              <w:rPr>
                <w:rFonts w:hint="eastAsia"/>
              </w:rPr>
              <w:t xml:space="preserve">涨跌幅</w:t>
            </w:r>
          </w:p>
        </w:tc>
        <w:tc>
          <w:tcPr/>
          <w:p>
            <w:pPr>
              <w:pStyle w:val="Compact"/>
              <w:jc w:val="right"/>
            </w:pPr>
            <w:r>
              <w:rPr>
                <w:rFonts w:hint="eastAsia"/>
              </w:rPr>
              <w:t xml:space="preserve">涨跌点</w:t>
            </w:r>
          </w:p>
        </w:tc>
      </w:tr>
      <w:tr>
        <w:tc>
          <w:tcPr/>
          <w:p>
            <w:pPr>
              <w:pStyle w:val="Compact"/>
            </w:pPr>
            <w:r>
              <w:rPr>
                <w:rFonts w:hint="eastAsia"/>
              </w:rPr>
              <w:t xml:space="preserve">道琼斯</w:t>
            </w:r>
          </w:p>
        </w:tc>
        <w:tc>
          <w:tcPr/>
          <w:p>
            <w:pPr>
              <w:pStyle w:val="Compact"/>
              <w:jc w:val="right"/>
            </w:pPr>
            <w:r>
              <w:t xml:space="preserve">53839.99</w:t>
            </w:r>
          </w:p>
        </w:tc>
        <w:tc>
          <w:tcPr/>
          <w:p>
            <w:pPr>
              <w:pStyle w:val="Compact"/>
              <w:jc w:val="right"/>
            </w:pPr>
            <w:r>
              <w:t xml:space="preserve">🔴 +0.13%</w:t>
            </w:r>
          </w:p>
        </w:tc>
        <w:tc>
          <w:tcPr/>
          <w:p>
            <w:pPr>
              <w:pStyle w:val="Compact"/>
              <w:jc w:val="right"/>
            </w:pPr>
            <w:r>
              <w:t xml:space="preserve">+69.72</w:t>
            </w:r>
          </w:p>
        </w:tc>
      </w:tr>
      <w:tr>
        <w:tc>
          <w:tcPr/>
          <w:p>
            <w:pPr>
              <w:pStyle w:val="Compact"/>
            </w:pPr>
            <w:r>
              <w:rPr>
                <w:rFonts w:hint="eastAsia"/>
              </w:rPr>
              <w:t xml:space="preserve">纳斯达克</w:t>
            </w:r>
          </w:p>
        </w:tc>
        <w:tc>
          <w:tcPr/>
          <w:p>
            <w:pPr>
              <w:pStyle w:val="Compact"/>
              <w:jc w:val="right"/>
            </w:pPr>
            <w:r>
              <w:t xml:space="preserve">26803.03</w:t>
            </w:r>
          </w:p>
        </w:tc>
        <w:tc>
          <w:tcPr/>
          <w:p>
            <w:pPr>
              <w:pStyle w:val="Compact"/>
              <w:jc w:val="right"/>
            </w:pPr>
            <w:r>
              <w:t xml:space="preserve">🔴 +0.81%</w:t>
            </w:r>
          </w:p>
        </w:tc>
        <w:tc>
          <w:tcPr/>
          <w:p>
            <w:pPr>
              <w:pStyle w:val="Compact"/>
              <w:jc w:val="right"/>
            </w:pPr>
            <w:r>
              <w:t xml:space="preserve">+214.54</w:t>
            </w:r>
          </w:p>
        </w:tc>
      </w:tr>
      <w:tr>
        <w:tc>
          <w:tcPr/>
          <w:p>
            <w:pPr>
              <w:pStyle w:val="Compact"/>
            </w:pPr>
            <w:r>
              <w:rPr>
                <w:rFonts w:hint="eastAsia"/>
              </w:rPr>
              <w:t xml:space="preserve">标普500</w:t>
            </w:r>
          </w:p>
        </w:tc>
        <w:tc>
          <w:tcPr/>
          <w:p>
            <w:pPr>
              <w:pStyle w:val="Compact"/>
              <w:jc w:val="right"/>
            </w:pPr>
            <w:r>
              <w:t xml:space="preserve">7798.99</w:t>
            </w:r>
          </w:p>
        </w:tc>
        <w:tc>
          <w:tcPr/>
          <w:p>
            <w:pPr>
              <w:pStyle w:val="Compact"/>
              <w:jc w:val="right"/>
            </w:pPr>
            <w:r>
              <w:t xml:space="preserve">🔴 +0.65%</w:t>
            </w:r>
          </w:p>
        </w:tc>
        <w:tc>
          <w:tcPr/>
          <w:p>
            <w:pPr>
              <w:pStyle w:val="Compact"/>
              <w:jc w:val="right"/>
            </w:pPr>
            <w:r>
              <w:t xml:space="preserve">+50.49</w:t>
            </w:r>
          </w:p>
        </w:tc>
      </w:tr>
    </w:tbl>
    <w:bookmarkEnd w:id="9"/>
    <w:bookmarkStart w:id="10" w:name="美股核心半导体个股"/>
    <w:p>
      <w:pPr>
        <w:pStyle w:val="Heading3"/>
      </w:pPr>
      <w:r>
        <w:t xml:space="preserve">📈🔴 </w:t>
      </w:r>
      <w:r>
        <w:rPr>
          <w:rFonts w:hint="eastAsia"/>
        </w:rPr>
        <w:t xml:space="preserve">美股核心半导体个股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个股</w:t>
            </w:r>
          </w:p>
        </w:tc>
        <w:tc>
          <w:tcPr/>
          <w:p>
            <w:pPr>
              <w:pStyle w:val="Compact"/>
              <w:jc w:val="right"/>
            </w:pPr>
            <w:r>
              <w:rPr>
                <w:rFonts w:hint="eastAsia"/>
              </w:rPr>
              <w:t xml:space="preserve">最新价</w:t>
            </w:r>
          </w:p>
        </w:tc>
        <w:tc>
          <w:tcPr/>
          <w:p>
            <w:pPr>
              <w:pStyle w:val="Compact"/>
              <w:jc w:val="right"/>
            </w:pPr>
            <w:r>
              <w:rPr>
                <w:rFonts w:hint="eastAsia"/>
              </w:rPr>
              <w:t xml:space="preserve">涨跌幅</w:t>
            </w:r>
          </w:p>
        </w:tc>
        <w:tc>
          <w:tcPr/>
          <w:p>
            <w:pPr>
              <w:pStyle w:val="Compact"/>
            </w:pPr>
            <w:r>
              <w:rPr>
                <w:rFonts w:hint="eastAsia"/>
              </w:rPr>
              <w:t xml:space="preserve">盘前映射</w:t>
            </w:r>
          </w:p>
        </w:tc>
      </w:tr>
      <w:tr>
        <w:tc>
          <w:tcPr/>
          <w:p>
            <w:pPr>
              <w:pStyle w:val="Compact"/>
            </w:pPr>
            <w:r>
              <w:rPr>
                <w:rFonts w:hint="eastAsia"/>
              </w:rPr>
              <w:t xml:space="preserve">英伟达</w:t>
            </w:r>
          </w:p>
        </w:tc>
        <w:tc>
          <w:tcPr/>
          <w:p>
            <w:pPr>
              <w:pStyle w:val="Compact"/>
              <w:jc w:val="right"/>
            </w:pPr>
            <w:r>
              <w:t xml:space="preserve">225.30</w:t>
            </w:r>
          </w:p>
        </w:tc>
        <w:tc>
          <w:tcPr/>
          <w:p>
            <w:pPr>
              <w:pStyle w:val="Compact"/>
              <w:jc w:val="right"/>
            </w:pPr>
            <w:r>
              <w:t xml:space="preserve">🔴 +0.54%</w:t>
            </w:r>
          </w:p>
        </w:tc>
        <w:tc>
          <w:tcPr/>
          <w:p>
            <w:pPr>
              <w:pStyle w:val="Compact"/>
            </w:pPr>
            <w:r>
              <w:rPr>
                <w:rFonts w:hint="eastAsia"/>
              </w:rPr>
              <w:t xml:space="preserve">AI算力链情绪支撑</w:t>
            </w:r>
          </w:p>
        </w:tc>
      </w:tr>
      <w:tr>
        <w:tc>
          <w:tcPr/>
          <w:p>
            <w:pPr>
              <w:pStyle w:val="Compact"/>
            </w:pPr>
            <w:r>
              <w:t xml:space="preserve">AMD</w:t>
            </w:r>
          </w:p>
        </w:tc>
        <w:tc>
          <w:tcPr/>
          <w:p>
            <w:pPr>
              <w:pStyle w:val="Compact"/>
              <w:jc w:val="right"/>
            </w:pPr>
            <w:r>
              <w:t xml:space="preserve">483.01</w:t>
            </w:r>
          </w:p>
        </w:tc>
        <w:tc>
          <w:tcPr/>
          <w:p>
            <w:pPr>
              <w:pStyle w:val="Compact"/>
              <w:jc w:val="right"/>
            </w:pPr>
            <w:r>
              <w:t xml:space="preserve">🔴 +0.02%</w:t>
            </w:r>
          </w:p>
        </w:tc>
        <w:tc>
          <w:tcPr/>
          <w:p>
            <w:pPr>
              <w:pStyle w:val="Compact"/>
            </w:pPr>
            <w:r>
              <w:rPr>
                <w:rFonts w:hint="eastAsia"/>
              </w:rPr>
              <w:t xml:space="preserve">高位横盘，弹性一般</w:t>
            </w:r>
          </w:p>
        </w:tc>
      </w:tr>
      <w:tr>
        <w:tc>
          <w:tcPr/>
          <w:p>
            <w:pPr>
              <w:pStyle w:val="Compact"/>
            </w:pPr>
            <w:r>
              <w:rPr>
                <w:rFonts w:hint="eastAsia"/>
              </w:rPr>
              <w:t xml:space="preserve">台积电</w:t>
            </w:r>
          </w:p>
        </w:tc>
        <w:tc>
          <w:tcPr/>
          <w:p>
            <w:pPr>
              <w:pStyle w:val="Compact"/>
              <w:jc w:val="right"/>
            </w:pPr>
            <w:r>
              <w:t xml:space="preserve">430.49</w:t>
            </w:r>
          </w:p>
        </w:tc>
        <w:tc>
          <w:tcPr/>
          <w:p>
            <w:pPr>
              <w:pStyle w:val="Compact"/>
              <w:jc w:val="right"/>
            </w:pPr>
            <w:r>
              <w:t xml:space="preserve">🔴 +0.31%</w:t>
            </w:r>
          </w:p>
        </w:tc>
        <w:tc>
          <w:tcPr/>
          <w:p>
            <w:pPr>
              <w:pStyle w:val="Compact"/>
            </w:pPr>
            <w:r>
              <w:rPr>
                <w:rFonts w:hint="eastAsia"/>
              </w:rPr>
              <w:t xml:space="preserve">晶圆代工景气延续</w:t>
            </w:r>
          </w:p>
        </w:tc>
      </w:tr>
      <w:tr>
        <w:tc>
          <w:tcPr/>
          <w:p>
            <w:pPr>
              <w:pStyle w:val="Compact"/>
            </w:pPr>
            <w:r>
              <w:rPr>
                <w:rFonts w:hint="eastAsia"/>
              </w:rPr>
              <w:t xml:space="preserve">博通</w:t>
            </w:r>
          </w:p>
        </w:tc>
        <w:tc>
          <w:tcPr/>
          <w:p>
            <w:pPr>
              <w:pStyle w:val="Compact"/>
              <w:jc w:val="right"/>
            </w:pPr>
            <w:r>
              <w:t xml:space="preserve">417.82</w:t>
            </w:r>
          </w:p>
        </w:tc>
        <w:tc>
          <w:tcPr/>
          <w:p>
            <w:pPr>
              <w:pStyle w:val="Compact"/>
              <w:jc w:val="right"/>
            </w:pPr>
            <w:r>
              <w:t xml:space="preserve">🔴 +0.43%</w:t>
            </w:r>
          </w:p>
        </w:tc>
        <w:tc>
          <w:tcPr/>
          <w:p>
            <w:pPr>
              <w:pStyle w:val="Compact"/>
            </w:pPr>
            <w:r>
              <w:rPr>
                <w:rFonts w:hint="eastAsia"/>
              </w:rPr>
              <w:t xml:space="preserve">ASIC/交换芯片方向偏稳</w:t>
            </w:r>
          </w:p>
        </w:tc>
      </w:tr>
      <w:tr>
        <w:tc>
          <w:tcPr/>
          <w:p>
            <w:pPr>
              <w:pStyle w:val="Compact"/>
            </w:pPr>
            <w:r>
              <w:rPr>
                <w:rFonts w:hint="eastAsia"/>
              </w:rPr>
              <w:t xml:space="preserve">美光</w:t>
            </w:r>
          </w:p>
        </w:tc>
        <w:tc>
          <w:tcPr/>
          <w:p>
            <w:pPr>
              <w:pStyle w:val="Compact"/>
              <w:jc w:val="right"/>
            </w:pPr>
            <w:r>
              <w:t xml:space="preserve">949.83</w:t>
            </w:r>
          </w:p>
        </w:tc>
        <w:tc>
          <w:tcPr/>
          <w:p>
            <w:pPr>
              <w:pStyle w:val="Compact"/>
              <w:jc w:val="right"/>
            </w:pPr>
            <w:r>
              <w:t xml:space="preserve">🔴 +4.23%</w:t>
            </w:r>
          </w:p>
        </w:tc>
        <w:tc>
          <w:tcPr/>
          <w:p>
            <w:pPr>
              <w:pStyle w:val="Compact"/>
            </w:pPr>
            <w:r>
              <w:rPr>
                <w:rFonts w:hint="eastAsia"/>
              </w:rPr>
              <w:t xml:space="preserve">存储方向最强映射</w:t>
            </w:r>
          </w:p>
        </w:tc>
      </w:tr>
    </w:tbl>
    <w:bookmarkEnd w:id="10"/>
    <w:bookmarkStart w:id="11" w:name="离岸与商品信号"/>
    <w:p>
      <w:pPr>
        <w:pStyle w:val="Heading3"/>
      </w:pPr>
      <w:r>
        <w:t xml:space="preserve">🌏 </w:t>
      </w:r>
      <w:r>
        <w:rPr>
          <w:rFonts w:hint="eastAsia"/>
        </w:rPr>
        <w:t xml:space="preserve">离岸与商品信号</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资产</w:t>
            </w:r>
          </w:p>
        </w:tc>
        <w:tc>
          <w:tcPr/>
          <w:p>
            <w:pPr>
              <w:pStyle w:val="Compact"/>
              <w:jc w:val="right"/>
            </w:pPr>
            <w:r>
              <w:rPr>
                <w:rFonts w:hint="eastAsia"/>
              </w:rPr>
              <w:t xml:space="preserve">最新</w:t>
            </w:r>
          </w:p>
        </w:tc>
        <w:tc>
          <w:tcPr/>
          <w:p>
            <w:pPr>
              <w:pStyle w:val="Compact"/>
              <w:jc w:val="right"/>
            </w:pPr>
            <w:r>
              <w:rPr>
                <w:rFonts w:hint="eastAsia"/>
              </w:rPr>
              <w:t xml:space="preserve">涨跌幅</w:t>
            </w:r>
          </w:p>
        </w:tc>
        <w:tc>
          <w:tcPr/>
          <w:p>
            <w:pPr>
              <w:pStyle w:val="Compact"/>
            </w:pPr>
            <w:r>
              <w:rPr>
                <w:rFonts w:hint="eastAsia"/>
              </w:rPr>
              <w:t xml:space="preserve">解读</w:t>
            </w:r>
          </w:p>
        </w:tc>
      </w:tr>
      <w:tr>
        <w:tc>
          <w:tcPr/>
          <w:p>
            <w:pPr>
              <w:pStyle w:val="Compact"/>
            </w:pPr>
            <w:r>
              <w:rPr>
                <w:rFonts w:hint="eastAsia"/>
              </w:rPr>
              <w:t xml:space="preserve">恒生指数</w:t>
            </w:r>
          </w:p>
        </w:tc>
        <w:tc>
          <w:tcPr/>
          <w:p>
            <w:pPr>
              <w:pStyle w:val="Compact"/>
              <w:jc w:val="right"/>
            </w:pPr>
            <w:r>
              <w:t xml:space="preserve">25440.17</w:t>
            </w:r>
          </w:p>
        </w:tc>
        <w:tc>
          <w:tcPr/>
          <w:p>
            <w:pPr>
              <w:pStyle w:val="Compact"/>
              <w:jc w:val="right"/>
            </w:pPr>
            <w:r>
              <w:t xml:space="preserve">🟢 -0.17%</w:t>
            </w:r>
          </w:p>
        </w:tc>
        <w:tc>
          <w:tcPr/>
          <w:p>
            <w:pPr>
              <w:pStyle w:val="Compact"/>
            </w:pPr>
            <w:r>
              <w:rPr>
                <w:rFonts w:hint="eastAsia"/>
              </w:rPr>
              <w:t xml:space="preserve">港股风险偏好偏弱</w:t>
            </w:r>
          </w:p>
        </w:tc>
      </w:tr>
      <w:tr>
        <w:tc>
          <w:tcPr/>
          <w:p>
            <w:pPr>
              <w:pStyle w:val="Compact"/>
            </w:pPr>
            <w:r>
              <w:rPr>
                <w:rFonts w:hint="eastAsia"/>
              </w:rPr>
              <w:t xml:space="preserve">富时A50期指</w:t>
            </w:r>
          </w:p>
        </w:tc>
        <w:tc>
          <w:tcPr/>
          <w:p>
            <w:pPr>
              <w:pStyle w:val="Compact"/>
              <w:jc w:val="right"/>
            </w:pPr>
            <w:r>
              <w:t xml:space="preserve">15004.02</w:t>
            </w:r>
          </w:p>
        </w:tc>
        <w:tc>
          <w:tcPr/>
          <w:p>
            <w:pPr>
              <w:pStyle w:val="Compact"/>
              <w:jc w:val="right"/>
            </w:pPr>
            <w:r>
              <w:t xml:space="preserve">🔴 +0.01%</w:t>
            </w:r>
          </w:p>
        </w:tc>
        <w:tc>
          <w:tcPr/>
          <w:p>
            <w:pPr>
              <w:pStyle w:val="Compact"/>
            </w:pPr>
            <w:r>
              <w:rPr>
                <w:rFonts w:hint="eastAsia"/>
              </w:rPr>
              <w:t xml:space="preserve">A股盘前指数预期平稳</w:t>
            </w:r>
          </w:p>
        </w:tc>
      </w:tr>
      <w:tr>
        <w:tc>
          <w:tcPr/>
          <w:p>
            <w:pPr>
              <w:pStyle w:val="Compact"/>
            </w:pPr>
            <w:r>
              <w:rPr>
                <w:rFonts w:hint="eastAsia"/>
              </w:rPr>
              <w:t xml:space="preserve">美元离岸人民币</w:t>
            </w:r>
          </w:p>
        </w:tc>
        <w:tc>
          <w:tcPr/>
          <w:p>
            <w:pPr>
              <w:pStyle w:val="Compact"/>
              <w:jc w:val="right"/>
            </w:pPr>
            <w:r>
              <w:t xml:space="preserve">6.7443</w:t>
            </w:r>
          </w:p>
        </w:tc>
        <w:tc>
          <w:tcPr/>
          <w:p>
            <w:pPr>
              <w:pStyle w:val="Compact"/>
              <w:jc w:val="right"/>
            </w:pPr>
            <w:r>
              <w:t xml:space="preserve">🟢 -0.01%</w:t>
            </w:r>
          </w:p>
        </w:tc>
        <w:tc>
          <w:tcPr/>
          <w:p>
            <w:pPr>
              <w:pStyle w:val="Compact"/>
            </w:pPr>
            <w:r>
              <w:rPr>
                <w:rFonts w:hint="eastAsia"/>
              </w:rPr>
              <w:t xml:space="preserve">汇率扰动不强</w:t>
            </w:r>
          </w:p>
        </w:tc>
      </w:tr>
      <w:tr>
        <w:tc>
          <w:tcPr/>
          <w:p>
            <w:pPr>
              <w:pStyle w:val="Compact"/>
            </w:pPr>
            <w:r>
              <w:rPr>
                <w:rFonts w:hint="eastAsia"/>
              </w:rPr>
              <w:t xml:space="preserve">COMEX黄金</w:t>
            </w:r>
          </w:p>
        </w:tc>
        <w:tc>
          <w:tcPr/>
          <w:p>
            <w:pPr>
              <w:pStyle w:val="Compact"/>
              <w:jc w:val="right"/>
            </w:pPr>
            <w:r>
              <w:t xml:space="preserve">4396.06</w:t>
            </w:r>
          </w:p>
        </w:tc>
        <w:tc>
          <w:tcPr/>
          <w:p>
            <w:pPr>
              <w:pStyle w:val="Compact"/>
              <w:jc w:val="right"/>
            </w:pPr>
            <w:r>
              <w:t xml:space="preserve">🟢 -0.55%</w:t>
            </w:r>
          </w:p>
        </w:tc>
        <w:tc>
          <w:tcPr/>
          <w:p>
            <w:pPr>
              <w:pStyle w:val="Compact"/>
            </w:pPr>
            <w:r>
              <w:rPr>
                <w:rFonts w:hint="eastAsia"/>
              </w:rPr>
              <w:t xml:space="preserve">避险降温</w:t>
            </w:r>
          </w:p>
        </w:tc>
      </w:tr>
      <w:tr>
        <w:tc>
          <w:tcPr/>
          <w:p>
            <w:pPr>
              <w:pStyle w:val="Compact"/>
            </w:pPr>
            <w:r>
              <w:rPr>
                <w:rFonts w:hint="eastAsia"/>
              </w:rPr>
              <w:t xml:space="preserve">WTI原油</w:t>
            </w:r>
          </w:p>
        </w:tc>
        <w:tc>
          <w:tcPr/>
          <w:p>
            <w:pPr>
              <w:pStyle w:val="Compact"/>
              <w:jc w:val="right"/>
            </w:pPr>
            <w:r>
              <w:t xml:space="preserve">81.26</w:t>
            </w:r>
          </w:p>
        </w:tc>
        <w:tc>
          <w:tcPr/>
          <w:p>
            <w:pPr>
              <w:pStyle w:val="Compact"/>
              <w:jc w:val="right"/>
            </w:pPr>
            <w:r>
              <w:t xml:space="preserve">🔴 +0.01%</w:t>
            </w:r>
          </w:p>
        </w:tc>
        <w:tc>
          <w:tcPr/>
          <w:p>
            <w:pPr>
              <w:pStyle w:val="Compact"/>
            </w:pPr>
            <w:r>
              <w:rPr>
                <w:rFonts w:hint="eastAsia"/>
              </w:rPr>
              <w:t xml:space="preserve">能源端平稳</w:t>
            </w:r>
          </w:p>
        </w:tc>
      </w:tr>
    </w:tbl>
    <w:p>
      <w:pPr>
        <w:pStyle w:val="BodyText"/>
      </w:pPr>
      <w:r>
        <w:t xml:space="preserve">💡 </w:t>
      </w:r>
      <w:r>
        <w:rPr>
          <w:rFonts w:hint="eastAsia"/>
        </w:rPr>
        <w:t xml:space="preserve">盘前判断：隔夜外盘给A股的直接信号偏“科技不差、存储更强、指数无明显压力”。但A股上一交易日科技内部资金分歧很大，不能因为美股上涨就追高A股高位半导体。</w:t>
      </w:r>
    </w:p>
    <w:p>
      <w:r>
        <w:pict>
          <v:rect style="width:0;height:1.5pt" o:hralign="center" o:hrstd="t" o:hr="t"/>
        </w:pict>
      </w:r>
    </w:p>
    <w:bookmarkEnd w:id="11"/>
    <w:bookmarkEnd w:id="12"/>
    <w:bookmarkStart w:id="18" w:name="新闻联播政策面核心是实体宽信用-新质生产力-绿色基建-通信升级"/>
    <w:p>
      <w:pPr>
        <w:pStyle w:val="Heading2"/>
      </w:pPr>
      <w:r>
        <w:t xml:space="preserve">📺 </w:t>
      </w:r>
      <w:r>
        <w:rPr>
          <w:rFonts w:hint="eastAsia"/>
        </w:rPr>
        <w:t xml:space="preserve">新闻联播政策面：核心是“实体宽信用</w:t>
      </w:r>
      <w:r>
        <w:t xml:space="preserve"> + </w:t>
      </w:r>
      <w:r>
        <w:rPr>
          <w:rFonts w:hint="eastAsia"/>
        </w:rPr>
        <w:t xml:space="preserve">新质生产力</w:t>
      </w:r>
      <w:r>
        <w:t xml:space="preserve"> + </w:t>
      </w:r>
      <w:r>
        <w:rPr>
          <w:rFonts w:hint="eastAsia"/>
        </w:rPr>
        <w:t xml:space="preserve">绿色基建</w:t>
      </w:r>
      <w:r>
        <w:t xml:space="preserve"> + </w:t>
      </w:r>
      <w:r>
        <w:rPr>
          <w:rFonts w:hint="eastAsia"/>
        </w:rPr>
        <w:t xml:space="preserve">通信升级”</w:t>
      </w:r>
    </w:p>
    <w:bookmarkStart w:id="13" w:name="金融服务实体经济流动性宽松仍是底层支撑"/>
    <w:p>
      <w:pPr>
        <w:pStyle w:val="Heading3"/>
      </w:pPr>
      <w:r>
        <w:rPr>
          <w:rFonts w:hint="eastAsia"/>
        </w:rPr>
        <w:t xml:space="preserve">1）💰</w:t>
      </w:r>
      <w:r>
        <w:t xml:space="preserve"> </w:t>
      </w:r>
      <w:r>
        <w:rPr>
          <w:rFonts w:hint="eastAsia"/>
        </w:rPr>
        <w:t xml:space="preserve">金融服务实体经济：流动性宽松仍是底层支撑</w:t>
      </w:r>
    </w:p>
    <w:p>
      <w:pPr>
        <w:pStyle w:val="FirstParagraph"/>
      </w:pPr>
      <w:r>
        <w:rPr>
          <w:rFonts w:hint="eastAsia"/>
        </w:rPr>
        <w:t xml:space="preserve">新闻联播披露：</w:t>
      </w:r>
    </w:p>
    <w:p>
      <w:pPr>
        <w:pStyle w:val="Compact"/>
        <w:numPr>
          <w:ilvl w:val="0"/>
          <w:numId w:val="1001"/>
        </w:numPr>
      </w:pPr>
      <w:r>
        <w:rPr>
          <w:rFonts w:hint="eastAsia"/>
        </w:rPr>
        <w:t xml:space="preserve">6月末，科技贷款、绿色贷款、普惠贷款、养老产业贷款、数字经济产业贷款持续高于全部贷款增速。</w:t>
      </w:r>
    </w:p>
    <w:p>
      <w:pPr>
        <w:pStyle w:val="Compact"/>
        <w:numPr>
          <w:ilvl w:val="0"/>
          <w:numId w:val="1001"/>
        </w:numPr>
      </w:pPr>
      <w:r>
        <w:rPr>
          <w:rFonts w:hint="eastAsia"/>
        </w:rPr>
        <w:t xml:space="preserve">新发放中小微民营企业贷款加权平均利率较去年同期下降40个基点。</w:t>
      </w:r>
    </w:p>
    <w:p>
      <w:pPr>
        <w:pStyle w:val="Compact"/>
        <w:numPr>
          <w:ilvl w:val="0"/>
          <w:numId w:val="1001"/>
        </w:numPr>
      </w:pPr>
      <w:r>
        <w:rPr>
          <w:rFonts w:hint="eastAsia"/>
        </w:rPr>
        <w:t xml:space="preserve">惠及市场经营主体约250万户。</w:t>
      </w:r>
    </w:p>
    <w:p>
      <w:pPr>
        <w:pStyle w:val="Compact"/>
        <w:numPr>
          <w:ilvl w:val="0"/>
          <w:numId w:val="1001"/>
        </w:numPr>
      </w:pPr>
      <w:r>
        <w:rPr>
          <w:rFonts w:hint="eastAsia"/>
        </w:rPr>
        <w:t xml:space="preserve">央行表述将保持流动性充裕和社会融资条件相对宽松，及时谋划出台务实管用的增量政策。</w:t>
      </w:r>
    </w:p>
    <w:p>
      <w:pPr>
        <w:pStyle w:val="FirstParagraph"/>
      </w:pPr>
      <w:r>
        <w:t xml:space="preserve">📌 </w:t>
      </w:r>
      <w:r>
        <w:rPr>
          <w:rFonts w:hint="eastAsia"/>
        </w:rPr>
        <w:t xml:space="preserve">A股映射：</w:t>
      </w:r>
    </w:p>
    <w:p>
      <w:pPr>
        <w:pStyle w:val="Compact"/>
        <w:numPr>
          <w:ilvl w:val="0"/>
          <w:numId w:val="1002"/>
        </w:numPr>
      </w:pPr>
      <w:r>
        <w:rPr>
          <w:rFonts w:hint="eastAsia"/>
        </w:rPr>
        <w:t xml:space="preserve">利好：银行Ⅱ、证券Ⅱ、科技金融、普惠金融、数字经济、绿色金融。</w:t>
      </w:r>
    </w:p>
    <w:p>
      <w:pPr>
        <w:pStyle w:val="Compact"/>
        <w:numPr>
          <w:ilvl w:val="0"/>
          <w:numId w:val="1002"/>
        </w:numPr>
      </w:pPr>
      <w:r>
        <w:rPr>
          <w:rFonts w:hint="eastAsia"/>
        </w:rPr>
        <w:t xml:space="preserve">对指数：宽信用表态利于稳定沪深300与上证指数估值中枢。</w:t>
      </w:r>
    </w:p>
    <w:p>
      <w:pPr>
        <w:pStyle w:val="Compact"/>
        <w:numPr>
          <w:ilvl w:val="0"/>
          <w:numId w:val="1002"/>
        </w:numPr>
      </w:pPr>
      <w:r>
        <w:rPr>
          <w:rFonts w:hint="eastAsia"/>
        </w:rPr>
        <w:t xml:space="preserve">对风格：利率下行环境更利于高景气成长，但当前高位科技筹码分歧未解除，需等分歧转强。</w:t>
      </w:r>
    </w:p>
    <w:bookmarkEnd w:id="13"/>
    <w:bookmarkStart w:id="14" w:name="新一代通信网万兆光网5g-a6g卫星互联网加速"/>
    <w:p>
      <w:pPr>
        <w:pStyle w:val="Heading3"/>
      </w:pPr>
      <w:r>
        <w:rPr>
          <w:rFonts w:hint="eastAsia"/>
        </w:rPr>
        <w:t xml:space="preserve">2）📡</w:t>
      </w:r>
      <w:r>
        <w:t xml:space="preserve"> </w:t>
      </w:r>
      <w:r>
        <w:rPr>
          <w:rFonts w:hint="eastAsia"/>
        </w:rPr>
        <w:t xml:space="preserve">新一代通信网：万兆光网、5G-A、6G、卫星互联网加速</w:t>
      </w:r>
    </w:p>
    <w:p>
      <w:pPr>
        <w:pStyle w:val="FirstParagraph"/>
      </w:pPr>
      <w:r>
        <w:rPr>
          <w:rFonts w:hint="eastAsia"/>
        </w:rPr>
        <w:t xml:space="preserve">新闻联播披露：</w:t>
      </w:r>
    </w:p>
    <w:p>
      <w:pPr>
        <w:pStyle w:val="Compact"/>
        <w:numPr>
          <w:ilvl w:val="0"/>
          <w:numId w:val="1003"/>
        </w:numPr>
      </w:pPr>
      <w:r>
        <w:rPr>
          <w:rFonts w:hint="eastAsia"/>
        </w:rPr>
        <w:t xml:space="preserve">我国从2025年开展万兆光网试点，目前已建设136个试点项目。</w:t>
      </w:r>
    </w:p>
    <w:p>
      <w:pPr>
        <w:pStyle w:val="Compact"/>
        <w:numPr>
          <w:ilvl w:val="0"/>
          <w:numId w:val="1003"/>
        </w:numPr>
      </w:pPr>
      <w:r>
        <w:rPr>
          <w:rFonts w:hint="eastAsia"/>
        </w:rPr>
        <w:t xml:space="preserve">5G基站全面向5G-A升级演进。</w:t>
      </w:r>
    </w:p>
    <w:p>
      <w:pPr>
        <w:pStyle w:val="Compact"/>
        <w:numPr>
          <w:ilvl w:val="0"/>
          <w:numId w:val="1003"/>
        </w:numPr>
      </w:pPr>
      <w:r>
        <w:rPr>
          <w:rFonts w:hint="eastAsia"/>
        </w:rPr>
        <w:t xml:space="preserve">工信部组织开展6G创新发展部省协同试点专项行动。</w:t>
      </w:r>
    </w:p>
    <w:p>
      <w:pPr>
        <w:pStyle w:val="Compact"/>
        <w:numPr>
          <w:ilvl w:val="0"/>
          <w:numId w:val="1003"/>
        </w:numPr>
      </w:pPr>
      <w:r>
        <w:rPr>
          <w:rFonts w:hint="eastAsia"/>
        </w:rPr>
        <w:t xml:space="preserve">计划到2029年形成一批自主创新的6G技术方案。</w:t>
      </w:r>
    </w:p>
    <w:p>
      <w:pPr>
        <w:pStyle w:val="Compact"/>
        <w:numPr>
          <w:ilvl w:val="0"/>
          <w:numId w:val="1003"/>
        </w:numPr>
      </w:pPr>
      <w:r>
        <w:rPr>
          <w:rFonts w:hint="eastAsia"/>
        </w:rPr>
        <w:t xml:space="preserve">国家星网低轨星座、千帆商业星座持续批量发射组网。</w:t>
      </w:r>
    </w:p>
    <w:p>
      <w:pPr>
        <w:pStyle w:val="FirstParagraph"/>
      </w:pPr>
      <w:r>
        <w:t xml:space="preserve">📌 </w:t>
      </w:r>
      <w:r>
        <w:rPr>
          <w:rFonts w:hint="eastAsia"/>
        </w:rPr>
        <w:t xml:space="preserve">A股映射：</w:t>
      </w:r>
    </w:p>
    <w:p>
      <w:pPr>
        <w:pStyle w:val="Compact"/>
        <w:numPr>
          <w:ilvl w:val="0"/>
          <w:numId w:val="1004"/>
        </w:numPr>
      </w:pPr>
      <w:r>
        <w:rPr>
          <w:rFonts w:hint="eastAsia"/>
        </w:rPr>
        <w:t xml:space="preserve">直接利好：通信设备、光模块/CPO、卫星互联网、5G-A、6G、PCB、液冷、数据中心网络。</w:t>
      </w:r>
    </w:p>
    <w:p>
      <w:pPr>
        <w:pStyle w:val="Compact"/>
        <w:numPr>
          <w:ilvl w:val="0"/>
          <w:numId w:val="1004"/>
        </w:numPr>
      </w:pPr>
      <w:r>
        <w:rPr>
          <w:rFonts w:hint="eastAsia"/>
        </w:rPr>
        <w:t xml:space="preserve">重点观察：中际旭创、新易盛、天孚通信、紫光股份、东山精密。</w:t>
      </w:r>
    </w:p>
    <w:p>
      <w:pPr>
        <w:pStyle w:val="Compact"/>
        <w:numPr>
          <w:ilvl w:val="0"/>
          <w:numId w:val="1004"/>
        </w:numPr>
      </w:pPr>
      <w:r>
        <w:rPr>
          <w:rFonts w:hint="eastAsia"/>
        </w:rPr>
        <w:t xml:space="preserve">交易条件：只做分歧转强，不追早盘一致高开。</w:t>
      </w:r>
    </w:p>
    <w:bookmarkEnd w:id="14"/>
    <w:bookmarkStart w:id="15" w:name="浙江共同富裕示范区智能工厂基础大模型港口与乡村产业并行"/>
    <w:p>
      <w:pPr>
        <w:pStyle w:val="Heading3"/>
      </w:pPr>
      <w:r>
        <w:rPr>
          <w:rFonts w:hint="eastAsia"/>
        </w:rPr>
        <w:t xml:space="preserve">3）🏭</w:t>
      </w:r>
      <w:r>
        <w:t xml:space="preserve"> </w:t>
      </w:r>
      <w:r>
        <w:rPr>
          <w:rFonts w:hint="eastAsia"/>
        </w:rPr>
        <w:t xml:space="preserve">浙江共同富裕示范区：智能工厂、基础大模型、港口与乡村产业并行</w:t>
      </w:r>
    </w:p>
    <w:p>
      <w:pPr>
        <w:pStyle w:val="FirstParagraph"/>
      </w:pPr>
      <w:r>
        <w:rPr>
          <w:rFonts w:hint="eastAsia"/>
        </w:rPr>
        <w:t xml:space="preserve">新闻联播披露：</w:t>
      </w:r>
    </w:p>
    <w:p>
      <w:pPr>
        <w:pStyle w:val="Compact"/>
        <w:numPr>
          <w:ilvl w:val="0"/>
          <w:numId w:val="1005"/>
        </w:numPr>
      </w:pPr>
      <w:r>
        <w:rPr>
          <w:rFonts w:hint="eastAsia"/>
        </w:rPr>
        <w:t xml:space="preserve">浙江2500多家国家智能工厂运行。</w:t>
      </w:r>
    </w:p>
    <w:p>
      <w:pPr>
        <w:pStyle w:val="Compact"/>
        <w:numPr>
          <w:ilvl w:val="0"/>
          <w:numId w:val="1005"/>
        </w:numPr>
      </w:pPr>
      <w:r>
        <w:rPr>
          <w:rFonts w:hint="eastAsia"/>
        </w:rPr>
        <w:t xml:space="preserve">一批基础大模型每天支撑全球数百万亿次词元处理量。</w:t>
      </w:r>
    </w:p>
    <w:p>
      <w:pPr>
        <w:pStyle w:val="Compact"/>
        <w:numPr>
          <w:ilvl w:val="0"/>
          <w:numId w:val="1005"/>
        </w:numPr>
      </w:pPr>
      <w:r>
        <w:rPr>
          <w:rFonts w:hint="eastAsia"/>
        </w:rPr>
        <w:t xml:space="preserve">宁波舟山港日吞吐量近400万吨、超12万个集装箱。</w:t>
      </w:r>
    </w:p>
    <w:p>
      <w:pPr>
        <w:pStyle w:val="Compact"/>
        <w:numPr>
          <w:ilvl w:val="0"/>
          <w:numId w:val="1005"/>
        </w:numPr>
      </w:pPr>
      <w:r>
        <w:rPr>
          <w:rFonts w:hint="eastAsia"/>
        </w:rPr>
        <w:t xml:space="preserve">乡村平均每天接待游客近百万人次。</w:t>
      </w:r>
    </w:p>
    <w:p>
      <w:pPr>
        <w:pStyle w:val="Compact"/>
        <w:numPr>
          <w:ilvl w:val="0"/>
          <w:numId w:val="1005"/>
        </w:numPr>
      </w:pPr>
      <w:r>
        <w:rPr>
          <w:rFonts w:hint="eastAsia"/>
        </w:rPr>
        <w:t xml:space="preserve">今年上半年，“土特产富”全产业链带动651万人就业，促进农民增收270亿元。</w:t>
      </w:r>
    </w:p>
    <w:p>
      <w:pPr>
        <w:pStyle w:val="Compact"/>
        <w:numPr>
          <w:ilvl w:val="0"/>
          <w:numId w:val="1005"/>
        </w:numPr>
      </w:pPr>
      <w:r>
        <w:rPr>
          <w:rFonts w:hint="eastAsia"/>
        </w:rPr>
        <w:t xml:space="preserve">浙江城乡居民收入倍差从1.96收窄至1.81。</w:t>
      </w:r>
    </w:p>
    <w:p>
      <w:pPr>
        <w:pStyle w:val="FirstParagraph"/>
      </w:pPr>
      <w:r>
        <w:t xml:space="preserve">📌 </w:t>
      </w:r>
      <w:r>
        <w:rPr>
          <w:rFonts w:hint="eastAsia"/>
        </w:rPr>
        <w:t xml:space="preserve">A股映射：</w:t>
      </w:r>
    </w:p>
    <w:p>
      <w:pPr>
        <w:pStyle w:val="Compact"/>
        <w:numPr>
          <w:ilvl w:val="0"/>
          <w:numId w:val="1006"/>
        </w:numPr>
      </w:pPr>
      <w:r>
        <w:rPr>
          <w:rFonts w:hint="eastAsia"/>
        </w:rPr>
        <w:t xml:space="preserve">利好：工业机器人、智能制造、AI基础设施、港口航运、旅游消费、乡村振兴。</w:t>
      </w:r>
    </w:p>
    <w:p>
      <w:pPr>
        <w:pStyle w:val="Compact"/>
        <w:numPr>
          <w:ilvl w:val="0"/>
          <w:numId w:val="1006"/>
        </w:numPr>
      </w:pPr>
      <w:r>
        <w:rPr>
          <w:rFonts w:hint="eastAsia"/>
        </w:rPr>
        <w:t xml:space="preserve">浙江链条可关注：机器人、光电半导体、新材料、港口物流、文旅消费。</w:t>
      </w:r>
    </w:p>
    <w:p>
      <w:pPr>
        <w:pStyle w:val="Compact"/>
        <w:numPr>
          <w:ilvl w:val="0"/>
          <w:numId w:val="1006"/>
        </w:numPr>
      </w:pPr>
      <w:r>
        <w:rPr>
          <w:rFonts w:hint="eastAsia"/>
        </w:rPr>
        <w:t xml:space="preserve">但交易上仍要服从资金与量价，不因政策文字直接追涨。</w:t>
      </w:r>
    </w:p>
    <w:bookmarkEnd w:id="15"/>
    <w:bookmarkStart w:id="16" w:name="天津港产城融合港口物流与先进制造共振"/>
    <w:p>
      <w:pPr>
        <w:pStyle w:val="Heading3"/>
      </w:pPr>
      <w:r>
        <w:rPr>
          <w:rFonts w:hint="eastAsia"/>
        </w:rPr>
        <w:t xml:space="preserve">4）🚢</w:t>
      </w:r>
      <w:r>
        <w:t xml:space="preserve"> </w:t>
      </w:r>
      <w:r>
        <w:rPr>
          <w:rFonts w:hint="eastAsia"/>
        </w:rPr>
        <w:t xml:space="preserve">天津港产城融合：港口物流与先进制造共振</w:t>
      </w:r>
    </w:p>
    <w:p>
      <w:pPr>
        <w:pStyle w:val="FirstParagraph"/>
      </w:pPr>
      <w:r>
        <w:rPr>
          <w:rFonts w:hint="eastAsia"/>
        </w:rPr>
        <w:t xml:space="preserve">新闻联播披露：</w:t>
      </w:r>
    </w:p>
    <w:p>
      <w:pPr>
        <w:pStyle w:val="Compact"/>
        <w:numPr>
          <w:ilvl w:val="0"/>
          <w:numId w:val="1007"/>
        </w:numPr>
      </w:pPr>
      <w:r>
        <w:rPr>
          <w:rFonts w:hint="eastAsia"/>
        </w:rPr>
        <w:t xml:space="preserve">天津上半年出口2266亿元，同比增长9.2%。</w:t>
      </w:r>
    </w:p>
    <w:p>
      <w:pPr>
        <w:pStyle w:val="Compact"/>
        <w:numPr>
          <w:ilvl w:val="0"/>
          <w:numId w:val="1007"/>
        </w:numPr>
      </w:pPr>
      <w:r>
        <w:rPr>
          <w:rFonts w:hint="eastAsia"/>
        </w:rPr>
        <w:t xml:space="preserve">天津港集装箱航线总数提升到152条。</w:t>
      </w:r>
    </w:p>
    <w:p>
      <w:pPr>
        <w:pStyle w:val="Compact"/>
        <w:numPr>
          <w:ilvl w:val="0"/>
          <w:numId w:val="1007"/>
        </w:numPr>
      </w:pPr>
      <w:r>
        <w:rPr>
          <w:rFonts w:hint="eastAsia"/>
        </w:rPr>
        <w:t xml:space="preserve">《天津市港产城融合发展“十五五”规划》提出到2030年滨海新区五大临港产业总产值达到6000亿元。</w:t>
      </w:r>
    </w:p>
    <w:p>
      <w:pPr>
        <w:pStyle w:val="FirstParagraph"/>
      </w:pPr>
      <w:r>
        <w:t xml:space="preserve">📌 </w:t>
      </w:r>
      <w:r>
        <w:rPr>
          <w:rFonts w:hint="eastAsia"/>
        </w:rPr>
        <w:t xml:space="preserve">A股映射：</w:t>
      </w:r>
    </w:p>
    <w:p>
      <w:pPr>
        <w:pStyle w:val="Compact"/>
        <w:numPr>
          <w:ilvl w:val="0"/>
          <w:numId w:val="1008"/>
        </w:numPr>
      </w:pPr>
      <w:r>
        <w:rPr>
          <w:rFonts w:hint="eastAsia"/>
        </w:rPr>
        <w:t xml:space="preserve">利好：港口航运、物流、跨境供应链、临港先进制造、机器人出口链。</w:t>
      </w:r>
    </w:p>
    <w:p>
      <w:pPr>
        <w:pStyle w:val="Compact"/>
        <w:numPr>
          <w:ilvl w:val="0"/>
          <w:numId w:val="1008"/>
        </w:numPr>
      </w:pPr>
      <w:r>
        <w:rPr>
          <w:rFonts w:hint="eastAsia"/>
        </w:rPr>
        <w:t xml:space="preserve">叠加苏州工业园区前7个月外贸进出口值突破1万亿元，同比增长126.8%，且存储器、光模块等AI算力硬件产品占一半以上，外贸高景气与AI硬件出口链仍是强证据。</w:t>
      </w:r>
    </w:p>
    <w:bookmarkEnd w:id="16"/>
    <w:bookmarkStart w:id="17" w:name="美丽中国建设环保水治理无废城市进入十五五主线"/>
    <w:p>
      <w:pPr>
        <w:pStyle w:val="Heading3"/>
      </w:pPr>
      <w:r>
        <w:rPr>
          <w:rFonts w:hint="eastAsia"/>
        </w:rPr>
        <w:t xml:space="preserve">5）🌱</w:t>
      </w:r>
      <w:r>
        <w:t xml:space="preserve"> </w:t>
      </w:r>
      <w:r>
        <w:rPr>
          <w:rFonts w:hint="eastAsia"/>
        </w:rPr>
        <w:t xml:space="preserve">美丽中国建设：环保、水治理、无废城市进入“十五五”主线</w:t>
      </w:r>
    </w:p>
    <w:p>
      <w:pPr>
        <w:pStyle w:val="FirstParagraph"/>
      </w:pPr>
      <w:r>
        <w:rPr>
          <w:rFonts w:hint="eastAsia"/>
        </w:rPr>
        <w:t xml:space="preserve">新闻联播披露：</w:t>
      </w:r>
    </w:p>
    <w:p>
      <w:pPr>
        <w:pStyle w:val="Compact"/>
        <w:numPr>
          <w:ilvl w:val="0"/>
          <w:numId w:val="1009"/>
        </w:numPr>
      </w:pPr>
      <w:r>
        <w:rPr>
          <w:rFonts w:hint="eastAsia"/>
        </w:rPr>
        <w:t xml:space="preserve">前7个月全国PM2.5平均浓度同比下降1.8微克/立方米，下降幅度6.2%。</w:t>
      </w:r>
    </w:p>
    <w:p>
      <w:pPr>
        <w:pStyle w:val="Compact"/>
        <w:numPr>
          <w:ilvl w:val="0"/>
          <w:numId w:val="1009"/>
        </w:numPr>
      </w:pPr>
      <w:r>
        <w:rPr>
          <w:rFonts w:hint="eastAsia"/>
        </w:rPr>
        <w:t xml:space="preserve">优良天数比例同比上升3.9个百分点。</w:t>
      </w:r>
    </w:p>
    <w:p>
      <w:pPr>
        <w:pStyle w:val="Compact"/>
        <w:numPr>
          <w:ilvl w:val="0"/>
          <w:numId w:val="1009"/>
        </w:numPr>
      </w:pPr>
      <w:r>
        <w:rPr>
          <w:rFonts w:hint="eastAsia"/>
        </w:rPr>
        <w:t xml:space="preserve">地表水Ⅰ至Ⅲ类水质断面比例达到86.5%，同比增长2.4个百分点。</w:t>
      </w:r>
    </w:p>
    <w:p>
      <w:pPr>
        <w:pStyle w:val="Compact"/>
        <w:numPr>
          <w:ilvl w:val="0"/>
          <w:numId w:val="1009"/>
        </w:numPr>
      </w:pPr>
      <w:r>
        <w:rPr>
          <w:rFonts w:hint="eastAsia"/>
        </w:rPr>
        <w:t xml:space="preserve">到2030年，全国PM2.5浓度目标为27微克/立方米以下。</w:t>
      </w:r>
    </w:p>
    <w:p>
      <w:pPr>
        <w:pStyle w:val="Compact"/>
        <w:numPr>
          <w:ilvl w:val="0"/>
          <w:numId w:val="1009"/>
        </w:numPr>
      </w:pPr>
      <w:r>
        <w:rPr>
          <w:rFonts w:hint="eastAsia"/>
        </w:rPr>
        <w:t xml:space="preserve">支持200个左右城市开展“无废城市”建设。</w:t>
      </w:r>
    </w:p>
    <w:p>
      <w:pPr>
        <w:pStyle w:val="FirstParagraph"/>
      </w:pPr>
      <w:r>
        <w:t xml:space="preserve">📌 </w:t>
      </w:r>
      <w:r>
        <w:rPr>
          <w:rFonts w:hint="eastAsia"/>
        </w:rPr>
        <w:t xml:space="preserve">A股映射：</w:t>
      </w:r>
    </w:p>
    <w:p>
      <w:pPr>
        <w:pStyle w:val="Compact"/>
        <w:numPr>
          <w:ilvl w:val="0"/>
          <w:numId w:val="1010"/>
        </w:numPr>
      </w:pPr>
      <w:r>
        <w:rPr>
          <w:rFonts w:hint="eastAsia"/>
        </w:rPr>
        <w:t xml:space="preserve">利好：环保、水治理、固废处理、无废城市、生态修复、绿色低碳。</w:t>
      </w:r>
    </w:p>
    <w:p>
      <w:pPr>
        <w:pStyle w:val="Compact"/>
        <w:numPr>
          <w:ilvl w:val="0"/>
          <w:numId w:val="1010"/>
        </w:numPr>
      </w:pPr>
      <w:r>
        <w:rPr>
          <w:rFonts w:hint="eastAsia"/>
        </w:rPr>
        <w:t xml:space="preserve">交易属性：偏中线政策底，短线弹性弱于通信与AI硬件。</w:t>
      </w:r>
    </w:p>
    <w:p>
      <w:r>
        <w:pict>
          <v:rect style="width:0;height:1.5pt" o:hralign="center" o:hrstd="t" o:hr="t"/>
        </w:pict>
      </w:r>
    </w:p>
    <w:bookmarkEnd w:id="17"/>
    <w:bookmarkEnd w:id="18"/>
    <w:bookmarkStart w:id="19" w:name="今日公告与公司事件公告主源失败采用妙想只读新闻有限增强"/>
    <w:p>
      <w:pPr>
        <w:pStyle w:val="Heading2"/>
      </w:pPr>
      <w:r>
        <w:t xml:space="preserve">📢 </w:t>
      </w:r>
      <w:r>
        <w:rPr>
          <w:rFonts w:hint="eastAsia"/>
        </w:rPr>
        <w:t xml:space="preserve">今日公告与公司事件：公告主源失败，采用妙想只读新闻有限增强</w:t>
      </w:r>
    </w:p>
    <w:p>
      <w:pPr>
        <w:pStyle w:val="BlockText"/>
      </w:pPr>
      <w:r>
        <w:t xml:space="preserve">⚠️ </w:t>
      </w:r>
      <w:r>
        <w:rPr>
          <w:rFonts w:hint="eastAsia"/>
        </w:rPr>
        <w:t xml:space="preserve">公告主源异常；筛选窗口：2026-08-13</w:t>
      </w:r>
      <w:r>
        <w:t xml:space="preserve"> 15:00:00 +0800 → 2026-08-14 08:30:38 </w:t>
      </w:r>
      <w:r>
        <w:rPr>
          <w:rFonts w:hint="eastAsia"/>
        </w:rPr>
        <w:t xml:space="preserve">+0800。以下仅为妙想只读新闻增强，未经交易所公告主源复核。</w:t>
      </w:r>
    </w:p>
    <w:p>
      <w:pPr>
        <w:pStyle w:val="Compact"/>
        <w:numPr>
          <w:ilvl w:val="0"/>
          <w:numId w:val="1011"/>
        </w:numPr>
      </w:pPr>
      <w:r>
        <w:rPr>
          <w:rFonts w:hint="eastAsia"/>
          <w:b/>
          <w:bCs/>
        </w:rPr>
        <w:t xml:space="preserve">中际旭创：拟17.47亿元（现金），受让中石科技10.47%股份</w:t>
      </w:r>
      <w:r>
        <w:rPr>
          <w:rFonts w:hint="eastAsia"/>
        </w:rPr>
        <w:t xml:space="preserve">｜2026-08-13</w:t>
      </w:r>
      <w:r>
        <w:t xml:space="preserve"> 20:33:00 </w:t>
      </w:r>
      <w:r>
        <w:rPr>
          <w:rFonts w:hint="eastAsia"/>
        </w:rPr>
        <w:t xml:space="preserve">+0800｜来源：中新经纬</w:t>
      </w:r>
    </w:p>
    <w:p>
      <w:pPr>
        <w:pStyle w:val="Compact"/>
        <w:numPr>
          <w:ilvl w:val="1"/>
          <w:numId w:val="1012"/>
        </w:numPr>
      </w:pPr>
      <w:r>
        <w:rPr>
          <w:rFonts w:hint="eastAsia"/>
        </w:rPr>
        <w:t xml:space="preserve">事件线索：13日晚间，中际旭创发布公告称，公司于2026年8月13日与中石科技控股股东吴晓宁、叶露和HAN</w:t>
      </w:r>
      <w:r>
        <w:t xml:space="preserve"> </w:t>
      </w:r>
      <w:r>
        <w:rPr>
          <w:rFonts w:hint="eastAsia"/>
        </w:rPr>
        <w:t xml:space="preserve">WU（吴憾）签署协议，拟以17.47亿元现金受让其持有的中石科技3137.25万股，占总股本的10.47%。</w:t>
      </w:r>
      <w:r>
        <w:t xml:space="preserve"> </w:t>
      </w:r>
      <w:r>
        <w:rPr>
          <w:rFonts w:hint="eastAsia"/>
        </w:rPr>
        <w:t xml:space="preserve">中际旭创称，本次交易不构成关联交易和重大资产重组，在公司总裁审批权限内，无需董事会和股东会审议。但尚需深交所合规审核及办理过户手续，存在不确定性。</w:t>
      </w:r>
      <w:r>
        <w:t xml:space="preserve"> </w:t>
      </w:r>
      <w:r>
        <w:rPr>
          <w:rFonts w:hint="eastAsia"/>
        </w:rPr>
        <w:t xml:space="preserve">二级市场上，截至13日收盘，中际旭创A股微涨，股价报921.04元，总市值10810亿元；H股涨2.89%，股价报1141港元，总市值12494亿港元。</w:t>
      </w:r>
      <w:r>
        <w:t xml:space="preserve"> </w:t>
      </w:r>
      <w:r>
        <w:rPr>
          <w:rFonts w:hint="eastAsia"/>
        </w:rPr>
        <w:t xml:space="preserve">编辑：董文博</w:t>
      </w:r>
      <w:r>
        <w:t xml:space="preserve"> </w:t>
      </w:r>
      <w:r>
        <w:rPr>
          <w:rFonts w:hint="eastAsia"/>
        </w:rPr>
        <w:t xml:space="preserve">责编：常涛</w:t>
      </w:r>
      <w:r>
        <w:t xml:space="preserve"> </w:t>
      </w:r>
      <w:r>
        <w:rPr>
          <w:rFonts w:hint="eastAsia"/>
        </w:rPr>
        <w:t xml:space="preserve">推荐阅读</w:t>
      </w:r>
      <w:r>
        <w:t xml:space="preserve"> </w:t>
      </w:r>
      <w:r>
        <w:rPr>
          <w:rFonts w:hint="eastAsia"/>
        </w:rPr>
        <w:t xml:space="preserve">广告等商务合作，请点这‍里</w:t>
      </w:r>
    </w:p>
    <w:p>
      <w:pPr>
        <w:pStyle w:val="Compact"/>
        <w:numPr>
          <w:ilvl w:val="1"/>
          <w:numId w:val="1012"/>
        </w:numPr>
      </w:pPr>
      <w:r>
        <w:rPr>
          <w:rFonts w:hint="eastAsia"/>
        </w:rPr>
        <w:t xml:space="preserve">核验状态：未经交易所公告主源复核。</w:t>
      </w:r>
    </w:p>
    <w:p>
      <w:pPr>
        <w:pStyle w:val="Compact"/>
        <w:numPr>
          <w:ilvl w:val="0"/>
          <w:numId w:val="1011"/>
        </w:numPr>
      </w:pPr>
      <w:r>
        <w:rPr>
          <w:rFonts w:hint="eastAsia"/>
          <w:b/>
          <w:bCs/>
        </w:rPr>
        <w:t xml:space="preserve">中际旭创：关于协议受让北京中石伟业科技股份有限公司部分股份的提示性公告</w:t>
      </w:r>
      <w:r>
        <w:rPr>
          <w:rFonts w:hint="eastAsia"/>
        </w:rPr>
        <w:t xml:space="preserve">｜2026-08-13</w:t>
      </w:r>
      <w:r>
        <w:t xml:space="preserve"> 21:30:00 </w:t>
      </w:r>
      <w:r>
        <w:rPr>
          <w:rFonts w:hint="eastAsia"/>
        </w:rPr>
        <w:t xml:space="preserve">+0800｜来源：证券日报</w:t>
      </w:r>
    </w:p>
    <w:p>
      <w:pPr>
        <w:pStyle w:val="Compact"/>
        <w:numPr>
          <w:ilvl w:val="1"/>
          <w:numId w:val="1013"/>
        </w:numPr>
      </w:pPr>
      <w:r>
        <w:rPr>
          <w:rFonts w:hint="eastAsia"/>
        </w:rPr>
        <w:t xml:space="preserve">事件线索：8月13日，中际旭创发布关于协议受让北京中石伟业科技股份有限公司部分股份的提示性公告称，公司与中石科技控股股东吴晓宁先生、叶露女士和HANWU（吴憾）先生于2026年8月13日签署《股份转让协议》，拟以现金方式协议受让其持有的中石科技的31，372，504股（无限售条件流通股），占中石科技总股本的10.47%，转让价格为55.70元/股，价款合计为人民币1，747，448，473元。本次投资不会对公司日常经营产生重大影响。（文章来源：证券日报）</w:t>
      </w:r>
    </w:p>
    <w:p>
      <w:pPr>
        <w:pStyle w:val="Compact"/>
        <w:numPr>
          <w:ilvl w:val="1"/>
          <w:numId w:val="1013"/>
        </w:numPr>
      </w:pPr>
      <w:r>
        <w:rPr>
          <w:rFonts w:hint="eastAsia"/>
        </w:rPr>
        <w:t xml:space="preserve">核验状态：未经交易所公告主源复核。</w:t>
      </w:r>
    </w:p>
    <w:p>
      <w:pPr>
        <w:pStyle w:val="Compact"/>
        <w:numPr>
          <w:ilvl w:val="0"/>
          <w:numId w:val="1011"/>
        </w:numPr>
      </w:pPr>
      <w:r>
        <w:rPr>
          <w:rFonts w:hint="eastAsia"/>
          <w:b/>
          <w:bCs/>
        </w:rPr>
        <w:t xml:space="preserve">央行公告，为保持银行体系流动性充裕，8月14日开展10000亿元买断式逆回购操作，期限为6个月。</w:t>
      </w:r>
      <w:r>
        <w:rPr>
          <w:rFonts w:hint="eastAsia"/>
        </w:rPr>
        <w:t xml:space="preserve">｜2026-08-13</w:t>
      </w:r>
      <w:r>
        <w:t xml:space="preserve"> 21:54:37 </w:t>
      </w:r>
      <w:r>
        <w:rPr>
          <w:rFonts w:hint="eastAsia"/>
        </w:rPr>
        <w:t xml:space="preserve">+0800｜来源：财联社</w:t>
      </w:r>
    </w:p>
    <w:p>
      <w:pPr>
        <w:pStyle w:val="Compact"/>
        <w:numPr>
          <w:ilvl w:val="1"/>
          <w:numId w:val="1014"/>
        </w:numPr>
      </w:pPr>
      <w:r>
        <w:rPr>
          <w:rFonts w:hint="eastAsia"/>
        </w:rPr>
        <w:t xml:space="preserve">事件线索：央行公告，为保持银行体系流动性充裕，8月14日开展10000亿元买断式逆回购操作，期限为6个月。</w:t>
      </w:r>
    </w:p>
    <w:p>
      <w:pPr>
        <w:pStyle w:val="Compact"/>
        <w:numPr>
          <w:ilvl w:val="1"/>
          <w:numId w:val="1014"/>
        </w:numPr>
      </w:pPr>
      <w:r>
        <w:rPr>
          <w:rFonts w:hint="eastAsia"/>
        </w:rPr>
        <w:t xml:space="preserve">核验状态：未经交易所公告主源复核。</w:t>
      </w:r>
    </w:p>
    <w:p>
      <w:pPr>
        <w:pStyle w:val="Compact"/>
        <w:numPr>
          <w:ilvl w:val="0"/>
          <w:numId w:val="1011"/>
        </w:numPr>
      </w:pPr>
      <w:r>
        <w:rPr>
          <w:rFonts w:hint="eastAsia"/>
          <w:b/>
          <w:bCs/>
        </w:rPr>
        <w:t xml:space="preserve">商务部公告，自2026年8月14日起，对原产于印度的进口单模光纤继续征收反倾销税，实施期限为5年。</w:t>
      </w:r>
      <w:r>
        <w:rPr>
          <w:rFonts w:hint="eastAsia"/>
        </w:rPr>
        <w:t xml:space="preserve">｜2026-08-13</w:t>
      </w:r>
      <w:r>
        <w:t xml:space="preserve"> 21:54:37 </w:t>
      </w:r>
      <w:r>
        <w:rPr>
          <w:rFonts w:hint="eastAsia"/>
        </w:rPr>
        <w:t xml:space="preserve">+0800｜来源：财联社</w:t>
      </w:r>
    </w:p>
    <w:p>
      <w:pPr>
        <w:pStyle w:val="Compact"/>
        <w:numPr>
          <w:ilvl w:val="1"/>
          <w:numId w:val="1015"/>
        </w:numPr>
      </w:pPr>
      <w:r>
        <w:rPr>
          <w:rFonts w:hint="eastAsia"/>
        </w:rPr>
        <w:t xml:space="preserve">事件线索：商务部公告，自2026年8月14日起，对原产于印度的进口单模光纤继续征收反倾销税，实施期限为5年。</w:t>
      </w:r>
    </w:p>
    <w:p>
      <w:pPr>
        <w:pStyle w:val="Compact"/>
        <w:numPr>
          <w:ilvl w:val="1"/>
          <w:numId w:val="1015"/>
        </w:numPr>
      </w:pPr>
      <w:r>
        <w:rPr>
          <w:rFonts w:hint="eastAsia"/>
        </w:rPr>
        <w:t xml:space="preserve">核验状态：未经交易所公告主源复核。</w:t>
      </w:r>
    </w:p>
    <w:p>
      <w:pPr>
        <w:pStyle w:val="Compact"/>
        <w:numPr>
          <w:ilvl w:val="0"/>
          <w:numId w:val="1011"/>
        </w:numPr>
      </w:pPr>
      <w:r>
        <w:rPr>
          <w:rFonts w:hint="eastAsia"/>
          <w:b/>
          <w:bCs/>
        </w:rPr>
        <w:t xml:space="preserve">DeepSeek发布API调价公告，采用峰谷定价，高峰时段百万tokens输出最高价格达27元。</w:t>
      </w:r>
      <w:r>
        <w:rPr>
          <w:rFonts w:hint="eastAsia"/>
        </w:rPr>
        <w:t xml:space="preserve">｜2026-08-13</w:t>
      </w:r>
      <w:r>
        <w:t xml:space="preserve"> 21:54:37 </w:t>
      </w:r>
      <w:r>
        <w:rPr>
          <w:rFonts w:hint="eastAsia"/>
        </w:rPr>
        <w:t xml:space="preserve">+0800｜来源：财联社</w:t>
      </w:r>
    </w:p>
    <w:p>
      <w:pPr>
        <w:pStyle w:val="Compact"/>
        <w:numPr>
          <w:ilvl w:val="1"/>
          <w:numId w:val="1016"/>
        </w:numPr>
      </w:pPr>
      <w:r>
        <w:rPr>
          <w:rFonts w:hint="eastAsia"/>
        </w:rPr>
        <w:t xml:space="preserve">事件线索：DeepSeek发布API调价公告，采用峰谷定价，高峰时段百万tokens输出最高价格达27元。</w:t>
      </w:r>
    </w:p>
    <w:p>
      <w:pPr>
        <w:pStyle w:val="Compact"/>
        <w:numPr>
          <w:ilvl w:val="1"/>
          <w:numId w:val="1016"/>
        </w:numPr>
      </w:pPr>
      <w:r>
        <w:rPr>
          <w:rFonts w:hint="eastAsia"/>
        </w:rPr>
        <w:t xml:space="preserve">核验状态：未经交易所公告主源复核。</w:t>
      </w:r>
    </w:p>
    <w:p>
      <w:pPr>
        <w:pStyle w:val="Compact"/>
        <w:numPr>
          <w:ilvl w:val="0"/>
          <w:numId w:val="1011"/>
        </w:numPr>
      </w:pPr>
      <w:r>
        <w:rPr>
          <w:rFonts w:hint="eastAsia"/>
          <w:b/>
          <w:bCs/>
        </w:rPr>
        <w:t xml:space="preserve">浙江省博物馆致歉◆长鑫科技，成中国市值最高上市公司◆公安部通报：与泰国警方合作，取得重大战果◆特朗普被起诉</w:t>
      </w:r>
      <w:r>
        <w:rPr>
          <w:rFonts w:hint="eastAsia"/>
        </w:rPr>
        <w:t xml:space="preserve">｜2026-08-14</w:t>
      </w:r>
      <w:r>
        <w:t xml:space="preserve"> 06:50:00 </w:t>
      </w:r>
      <w:r>
        <w:rPr>
          <w:rFonts w:hint="eastAsia"/>
        </w:rPr>
        <w:t xml:space="preserve">+0800｜来源：金融时报</w:t>
      </w:r>
    </w:p>
    <w:p>
      <w:pPr>
        <w:pStyle w:val="Compact"/>
        <w:numPr>
          <w:ilvl w:val="1"/>
          <w:numId w:val="1017"/>
        </w:numPr>
      </w:pPr>
      <w:r>
        <w:rPr>
          <w:rFonts w:hint="eastAsia"/>
        </w:rPr>
        <w:t xml:space="preserve">事件线索：■</w:t>
      </w:r>
      <w:r>
        <w:t xml:space="preserve"> </w:t>
      </w:r>
      <w:r>
        <w:rPr>
          <w:rFonts w:hint="eastAsia"/>
        </w:rPr>
        <w:t xml:space="preserve">商务部8月13日发布公告，公布对原产于印度的进口单模光纤所适用反倾销措施的期终复审裁定。国务院关税税则委员会根据商务部的建议作出决定，自2026年8月14日起，对原产于印度的进口单模光纤继续征收反倾销税，实施期限为5年。</w:t>
      </w:r>
      <w:r>
        <w:t xml:space="preserve"> ■ </w:t>
      </w:r>
      <w:r>
        <w:rPr>
          <w:rFonts w:hint="eastAsia"/>
        </w:rPr>
        <w:t xml:space="preserve">澳门招商投资促进局8月13日表示，2026年上半年接获194家企业在澳开展新投资计划，同比增长7%。</w:t>
      </w:r>
      <w:r>
        <w:t xml:space="preserve"> </w:t>
      </w:r>
      <w:r>
        <w:rPr>
          <w:rFonts w:hint="eastAsia"/>
        </w:rPr>
        <w:t xml:space="preserve">经济金融</w:t>
      </w:r>
      <w:r>
        <w:t xml:space="preserve"> ■ </w:t>
      </w:r>
      <w:r>
        <w:rPr>
          <w:rFonts w:hint="eastAsia"/>
        </w:rPr>
        <w:t xml:space="preserve">8月13日，央行发布公告称，为保持银行体系流动性充裕，8月14日，中国人民银行以固定数量、利率招标、多重价位中标方式开展10000亿元买断式逆回购操作，期限为6个月（185天），到期日为2027年2月15日（遇节假日顺延）。</w:t>
      </w:r>
      <w:r>
        <w:t xml:space="preserve"> ■ </w:t>
      </w:r>
      <w:r>
        <w:rPr>
          <w:rFonts w:hint="eastAsia"/>
        </w:rPr>
        <w:t xml:space="preserve">8月13日，宇树科技发布首次公开发行股票并在科创板上市发行结果公告，网上投资者缴款认购的股份数量为969.83万股，网上投资者放弃认购数量为8734股；网下投资者缴款认购的股份数量为2265.01万股，网下投资者放弃认购数量为0股。</w:t>
      </w:r>
      <w:r>
        <w:t xml:space="preserve"> ■ </w:t>
      </w:r>
      <w:r>
        <w:rPr>
          <w:rFonts w:hint="eastAsia"/>
        </w:rPr>
        <w:t xml:space="preserve">8月13日，截至A股收盘，长鑫科技最新市值约3.54万亿元人民币。港股方面，腾讯控股今日收跌4.46%，最新市值约4.01万亿港元，按当前汇率折算约合</w:t>
      </w:r>
    </w:p>
    <w:p>
      <w:pPr>
        <w:pStyle w:val="Compact"/>
        <w:numPr>
          <w:ilvl w:val="1"/>
          <w:numId w:val="1017"/>
        </w:numPr>
      </w:pPr>
      <w:r>
        <w:rPr>
          <w:rFonts w:hint="eastAsia"/>
        </w:rPr>
        <w:t xml:space="preserve">核验状态：未经交易所公告主源复核。</w:t>
      </w:r>
    </w:p>
    <w:bookmarkEnd w:id="19"/>
    <w:bookmarkStart w:id="22" w:name="今日经济数据事件宽流动性与产业政策托底"/>
    <w:p>
      <w:pPr>
        <w:pStyle w:val="Heading2"/>
      </w:pPr>
      <w:r>
        <w:t xml:space="preserve">🧭 </w:t>
      </w:r>
      <w:r>
        <w:rPr>
          <w:rFonts w:hint="eastAsia"/>
        </w:rPr>
        <w:t xml:space="preserve">今日经济数据/事件：宽流动性与产业政策托底</w:t>
      </w:r>
    </w:p>
    <w:bookmarkStart w:id="20" w:name="央行流动性事件"/>
    <w:p>
      <w:pPr>
        <w:pStyle w:val="Heading3"/>
      </w:pPr>
      <w:r>
        <w:t xml:space="preserve">💰 </w:t>
      </w:r>
      <w:r>
        <w:rPr>
          <w:rFonts w:hint="eastAsia"/>
        </w:rPr>
        <w:t xml:space="preserve">央行流动性事件</w:t>
      </w:r>
    </w:p>
    <w:p>
      <w:pPr>
        <w:pStyle w:val="Compact"/>
        <w:numPr>
          <w:ilvl w:val="0"/>
          <w:numId w:val="1018"/>
        </w:numPr>
      </w:pPr>
      <w:r>
        <w:rPr>
          <w:rFonts w:hint="eastAsia"/>
        </w:rPr>
        <w:t xml:space="preserve">8月14日开展10000亿元买断式逆回购操作。</w:t>
      </w:r>
    </w:p>
    <w:p>
      <w:pPr>
        <w:pStyle w:val="Compact"/>
        <w:numPr>
          <w:ilvl w:val="0"/>
          <w:numId w:val="1018"/>
        </w:numPr>
      </w:pPr>
      <w:r>
        <w:rPr>
          <w:rFonts w:hint="eastAsia"/>
        </w:rPr>
        <w:t xml:space="preserve">期限为6个月。</w:t>
      </w:r>
    </w:p>
    <w:p>
      <w:pPr>
        <w:pStyle w:val="Compact"/>
        <w:numPr>
          <w:ilvl w:val="0"/>
          <w:numId w:val="1018"/>
        </w:numPr>
      </w:pPr>
      <w:r>
        <w:rPr>
          <w:rFonts w:hint="eastAsia"/>
        </w:rPr>
        <w:t xml:space="preserve">政策目标是保持银行体系流动性充裕。</w:t>
      </w:r>
    </w:p>
    <w:p>
      <w:pPr>
        <w:pStyle w:val="FirstParagraph"/>
      </w:pPr>
      <w:r>
        <w:t xml:space="preserve">📌 </w:t>
      </w:r>
      <w:r>
        <w:rPr>
          <w:rFonts w:hint="eastAsia"/>
        </w:rPr>
        <w:t xml:space="preserve">市场含义：</w:t>
      </w:r>
    </w:p>
    <w:p>
      <w:pPr>
        <w:pStyle w:val="Compact"/>
        <w:numPr>
          <w:ilvl w:val="0"/>
          <w:numId w:val="1019"/>
        </w:numPr>
      </w:pPr>
      <w:r>
        <w:rPr>
          <w:rFonts w:hint="eastAsia"/>
        </w:rPr>
        <w:t xml:space="preserve">对银行、证券、地产链、科技成长估值均有托底。</w:t>
      </w:r>
    </w:p>
    <w:p>
      <w:pPr>
        <w:pStyle w:val="Compact"/>
        <w:numPr>
          <w:ilvl w:val="0"/>
          <w:numId w:val="1019"/>
        </w:numPr>
      </w:pPr>
      <w:r>
        <w:rPr>
          <w:rFonts w:hint="eastAsia"/>
        </w:rPr>
        <w:t xml:space="preserve">但上一交易日全市场下跌4317家，涨跌比0.265，说明宽流动性尚未转化为普涨承接。</w:t>
      </w:r>
    </w:p>
    <w:bookmarkEnd w:id="20"/>
    <w:bookmarkStart w:id="21" w:name="通信产业事件"/>
    <w:p>
      <w:pPr>
        <w:pStyle w:val="Heading3"/>
      </w:pPr>
      <w:r>
        <w:t xml:space="preserve">📡 </w:t>
      </w:r>
      <w:r>
        <w:rPr>
          <w:rFonts w:hint="eastAsia"/>
        </w:rPr>
        <w:t xml:space="preserve">通信产业事件</w:t>
      </w:r>
    </w:p>
    <w:p>
      <w:pPr>
        <w:pStyle w:val="Compact"/>
        <w:numPr>
          <w:ilvl w:val="0"/>
          <w:numId w:val="1020"/>
        </w:numPr>
      </w:pPr>
      <w:r>
        <w:rPr>
          <w:rFonts w:hint="eastAsia"/>
        </w:rPr>
        <w:t xml:space="preserve">万兆光网试点项目达到136个。</w:t>
      </w:r>
    </w:p>
    <w:p>
      <w:pPr>
        <w:pStyle w:val="Compact"/>
        <w:numPr>
          <w:ilvl w:val="0"/>
          <w:numId w:val="1020"/>
        </w:numPr>
      </w:pPr>
      <w:r>
        <w:rPr>
          <w:rFonts w:hint="eastAsia"/>
        </w:rPr>
        <w:t xml:space="preserve">6G创新发展部省协同试点专项行动推进。</w:t>
      </w:r>
    </w:p>
    <w:p>
      <w:pPr>
        <w:pStyle w:val="Compact"/>
        <w:numPr>
          <w:ilvl w:val="0"/>
          <w:numId w:val="1020"/>
        </w:numPr>
      </w:pPr>
      <w:r>
        <w:rPr>
          <w:rFonts w:hint="eastAsia"/>
        </w:rPr>
        <w:t xml:space="preserve">卫星互联网组网加速。</w:t>
      </w:r>
    </w:p>
    <w:p>
      <w:pPr>
        <w:pStyle w:val="FirstParagraph"/>
      </w:pPr>
      <w:r>
        <w:t xml:space="preserve">📌 </w:t>
      </w:r>
      <w:r>
        <w:rPr>
          <w:rFonts w:hint="eastAsia"/>
        </w:rPr>
        <w:t xml:space="preserve">市场含义：</w:t>
      </w:r>
    </w:p>
    <w:p>
      <w:pPr>
        <w:pStyle w:val="Compact"/>
        <w:numPr>
          <w:ilvl w:val="0"/>
          <w:numId w:val="1021"/>
        </w:numPr>
      </w:pPr>
      <w:r>
        <w:rPr>
          <w:rFonts w:hint="eastAsia"/>
        </w:rPr>
        <w:t xml:space="preserve">通信设备与AI算力硬件仍是最有政策密度的方向。</w:t>
      </w:r>
    </w:p>
    <w:p>
      <w:pPr>
        <w:pStyle w:val="Compact"/>
        <w:numPr>
          <w:ilvl w:val="0"/>
          <w:numId w:val="1021"/>
        </w:numPr>
      </w:pPr>
      <w:r>
        <w:rPr>
          <w:rFonts w:hint="eastAsia"/>
        </w:rPr>
        <w:t xml:space="preserve">但参与方式必须从“追涨”切换为“缩量回踩不破</w:t>
      </w:r>
      <w:r>
        <w:t xml:space="preserve"> + </w:t>
      </w:r>
      <w:r>
        <w:rPr>
          <w:rFonts w:hint="eastAsia"/>
        </w:rPr>
        <w:t xml:space="preserve">再放量突破”。</w:t>
      </w:r>
    </w:p>
    <w:p>
      <w:r>
        <w:pict>
          <v:rect style="width:0;height:1.5pt" o:hralign="center" o:hrstd="t" o:hr="t"/>
        </w:pict>
      </w:r>
    </w:p>
    <w:bookmarkEnd w:id="21"/>
    <w:bookmarkEnd w:id="22"/>
    <w:bookmarkStart w:id="25" w:name="全球事件地缘与资源扰动偏中性油气链有事件支撑"/>
    <w:p>
      <w:pPr>
        <w:pStyle w:val="Heading2"/>
      </w:pPr>
      <w:r>
        <w:t xml:space="preserve">🌐 </w:t>
      </w:r>
      <w:r>
        <w:rPr>
          <w:rFonts w:hint="eastAsia"/>
        </w:rPr>
        <w:t xml:space="preserve">全球事件：地缘与资源扰动偏中性，油气链有事件支撑</w:t>
      </w:r>
    </w:p>
    <w:bookmarkStart w:id="23" w:name="国际风险"/>
    <w:p>
      <w:pPr>
        <w:pStyle w:val="Heading3"/>
      </w:pPr>
      <w:r>
        <w:t xml:space="preserve">⚠️ </w:t>
      </w:r>
      <w:r>
        <w:rPr>
          <w:rFonts w:hint="eastAsia"/>
        </w:rPr>
        <w:t xml:space="preserve">国际风险</w:t>
      </w:r>
    </w:p>
    <w:p>
      <w:pPr>
        <w:pStyle w:val="Compact"/>
        <w:numPr>
          <w:ilvl w:val="0"/>
          <w:numId w:val="1022"/>
        </w:numPr>
      </w:pPr>
      <w:r>
        <w:rPr>
          <w:rFonts w:hint="eastAsia"/>
        </w:rPr>
        <w:t xml:space="preserve">俄总统普京首次登上南千岛群岛，日本方面提出强烈抗议。</w:t>
      </w:r>
    </w:p>
    <w:p>
      <w:pPr>
        <w:pStyle w:val="Compact"/>
        <w:numPr>
          <w:ilvl w:val="0"/>
          <w:numId w:val="1022"/>
        </w:numPr>
      </w:pPr>
      <w:r>
        <w:rPr>
          <w:rFonts w:hint="eastAsia"/>
        </w:rPr>
        <w:t xml:space="preserve">哥伦比亚强震已造成265人遇难、3494人受伤，国家进入经济紧急状态。</w:t>
      </w:r>
    </w:p>
    <w:p>
      <w:pPr>
        <w:pStyle w:val="Compact"/>
        <w:numPr>
          <w:ilvl w:val="0"/>
          <w:numId w:val="1022"/>
        </w:numPr>
      </w:pPr>
      <w:r>
        <w:rPr>
          <w:rFonts w:hint="eastAsia"/>
        </w:rPr>
        <w:t xml:space="preserve">意大利埃特纳火山持续喷发，卡塔尼亚机场关闭至当地时间14日2时。</w:t>
      </w:r>
    </w:p>
    <w:p>
      <w:pPr>
        <w:pStyle w:val="Compact"/>
        <w:numPr>
          <w:ilvl w:val="0"/>
          <w:numId w:val="1022"/>
        </w:numPr>
      </w:pPr>
      <w:r>
        <w:rPr>
          <w:rFonts w:hint="eastAsia"/>
        </w:rPr>
        <w:t xml:space="preserve">法国本土13个大区均有地区达到干旱“危机”级别，45个省发布林火橙色预警。</w:t>
      </w:r>
    </w:p>
    <w:bookmarkEnd w:id="23"/>
    <w:bookmarkStart w:id="24" w:name="能源事件"/>
    <w:p>
      <w:pPr>
        <w:pStyle w:val="Heading3"/>
      </w:pPr>
      <w:r>
        <w:t xml:space="preserve">🛢️ </w:t>
      </w:r>
      <w:r>
        <w:rPr>
          <w:rFonts w:hint="eastAsia"/>
        </w:rPr>
        <w:t xml:space="preserve">能源事件</w:t>
      </w:r>
    </w:p>
    <w:p>
      <w:pPr>
        <w:pStyle w:val="Compact"/>
        <w:numPr>
          <w:ilvl w:val="0"/>
          <w:numId w:val="1023"/>
        </w:numPr>
      </w:pPr>
      <w:r>
        <w:rPr>
          <w:rFonts w:hint="eastAsia"/>
        </w:rPr>
        <w:t xml:space="preserve">美国战略石油储备降至2.987亿桶，创1983年1月以来最低水平。</w:t>
      </w:r>
    </w:p>
    <w:p>
      <w:pPr>
        <w:pStyle w:val="Compact"/>
        <w:numPr>
          <w:ilvl w:val="0"/>
          <w:numId w:val="1023"/>
        </w:numPr>
      </w:pPr>
      <w:r>
        <w:rPr>
          <w:rFonts w:hint="eastAsia"/>
        </w:rPr>
        <w:t xml:space="preserve">国内连云港至仪征原油管道首段投产，全长143.8公里，设计年输油量1850万吨。</w:t>
      </w:r>
    </w:p>
    <w:p>
      <w:pPr>
        <w:pStyle w:val="FirstParagraph"/>
      </w:pPr>
      <w:r>
        <w:t xml:space="preserve">📌 </w:t>
      </w:r>
      <w:r>
        <w:rPr>
          <w:rFonts w:hint="eastAsia"/>
        </w:rPr>
        <w:t xml:space="preserve">A股映射：</w:t>
      </w:r>
    </w:p>
    <w:p>
      <w:pPr>
        <w:pStyle w:val="Compact"/>
        <w:numPr>
          <w:ilvl w:val="0"/>
          <w:numId w:val="1024"/>
        </w:numPr>
      </w:pPr>
      <w:r>
        <w:rPr>
          <w:rFonts w:hint="eastAsia"/>
        </w:rPr>
        <w:t xml:space="preserve">油气管网、储运、港口物流有事件支撑。</w:t>
      </w:r>
    </w:p>
    <w:p>
      <w:pPr>
        <w:pStyle w:val="Compact"/>
        <w:numPr>
          <w:ilvl w:val="0"/>
          <w:numId w:val="1024"/>
        </w:numPr>
      </w:pPr>
      <w:r>
        <w:rPr>
          <w:rFonts w:hint="eastAsia"/>
        </w:rPr>
        <w:t xml:space="preserve">但WTI原油仅+0.01%，短线不是强商品驱动。</w:t>
      </w:r>
    </w:p>
    <w:p>
      <w:pPr>
        <w:pStyle w:val="Compact"/>
        <w:numPr>
          <w:ilvl w:val="0"/>
          <w:numId w:val="1024"/>
        </w:numPr>
      </w:pPr>
      <w:r>
        <w:rPr>
          <w:rFonts w:hint="eastAsia"/>
        </w:rPr>
        <w:t xml:space="preserve">地缘事件对A股盘前冲击有限，更多影响避险和能源安全主题。</w:t>
      </w:r>
    </w:p>
    <w:p>
      <w:r>
        <w:pict>
          <v:rect style="width:0;height:1.5pt" o:hralign="center" o:hrstd="t" o:hr="t"/>
        </w:pict>
      </w:r>
    </w:p>
    <w:bookmarkEnd w:id="24"/>
    <w:bookmarkEnd w:id="25"/>
    <w:bookmarkStart w:id="28" w:name="昨日复盘放量下跌科技高位分歧防御与医药承接更强"/>
    <w:p>
      <w:pPr>
        <w:pStyle w:val="Heading2"/>
      </w:pPr>
      <w:r>
        <w:t xml:space="preserve">📉 </w:t>
      </w:r>
      <w:r>
        <w:rPr>
          <w:rFonts w:hint="eastAsia"/>
        </w:rPr>
        <w:t xml:space="preserve">昨日复盘：放量下跌，科技高位分歧，防御与医药承接更强</w:t>
      </w:r>
    </w:p>
    <w:bookmarkStart w:id="26" w:name="主要指数"/>
    <w:p>
      <w:pPr>
        <w:pStyle w:val="Heading3"/>
      </w:pPr>
      <w:r>
        <w:t xml:space="preserve">📊 </w:t>
      </w:r>
      <w:r>
        <w:rPr>
          <w:rFonts w:hint="eastAsia"/>
        </w:rPr>
        <w:t xml:space="preserve">主要指数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3926.9648</w:t>
            </w:r>
          </w:p>
        </w:tc>
        <w:tc>
          <w:tcPr/>
          <w:p>
            <w:pPr>
              <w:pStyle w:val="Compact"/>
              <w:jc w:val="right"/>
            </w:pPr>
            <w:r>
              <w:t xml:space="preserve">📉 -0.4994%</w:t>
            </w:r>
          </w:p>
        </w:tc>
        <w:tc>
          <w:tcPr/>
          <w:p>
            <w:pPr>
              <w:pStyle w:val="Compact"/>
              <w:jc w:val="right"/>
            </w:pPr>
            <w:r>
              <w:rPr>
                <w:rFonts w:hint="eastAsia"/>
              </w:rPr>
              <w:t xml:space="preserve">11642.03亿</w:t>
            </w:r>
          </w:p>
        </w:tc>
      </w:tr>
      <w:tr>
        <w:tc>
          <w:tcPr/>
          <w:p>
            <w:pPr>
              <w:pStyle w:val="Compact"/>
            </w:pPr>
            <w:r>
              <w:rPr>
                <w:rFonts w:hint="eastAsia"/>
              </w:rPr>
              <w:t xml:space="preserve">深证成指</w:t>
            </w:r>
          </w:p>
        </w:tc>
        <w:tc>
          <w:tcPr/>
          <w:p>
            <w:pPr>
              <w:pStyle w:val="Compact"/>
              <w:jc w:val="right"/>
            </w:pPr>
            <w:r>
              <w:t xml:space="preserve">14289.442</w:t>
            </w:r>
          </w:p>
        </w:tc>
        <w:tc>
          <w:tcPr/>
          <w:p>
            <w:pPr>
              <w:pStyle w:val="Compact"/>
              <w:jc w:val="right"/>
            </w:pPr>
            <w:r>
              <w:t xml:space="preserve">📉 -0.8671%</w:t>
            </w:r>
          </w:p>
        </w:tc>
        <w:tc>
          <w:tcPr/>
          <w:p>
            <w:pPr>
              <w:pStyle w:val="Compact"/>
              <w:jc w:val="right"/>
            </w:pPr>
            <w:r>
              <w:rPr>
                <w:rFonts w:hint="eastAsia"/>
              </w:rPr>
              <w:t xml:space="preserve">13867.14亿</w:t>
            </w:r>
          </w:p>
        </w:tc>
      </w:tr>
      <w:tr>
        <w:tc>
          <w:tcPr/>
          <w:p>
            <w:pPr>
              <w:pStyle w:val="Compact"/>
            </w:pPr>
            <w:r>
              <w:rPr>
                <w:rFonts w:hint="eastAsia"/>
              </w:rPr>
              <w:t xml:space="preserve">创业板指</w:t>
            </w:r>
          </w:p>
        </w:tc>
        <w:tc>
          <w:tcPr/>
          <w:p>
            <w:pPr>
              <w:pStyle w:val="Compact"/>
              <w:jc w:val="right"/>
            </w:pPr>
            <w:r>
              <w:t xml:space="preserve">3586.043</w:t>
            </w:r>
          </w:p>
        </w:tc>
        <w:tc>
          <w:tcPr/>
          <w:p>
            <w:pPr>
              <w:pStyle w:val="Compact"/>
              <w:jc w:val="right"/>
            </w:pPr>
            <w:r>
              <w:t xml:space="preserve">📉 -0.4453%</w:t>
            </w:r>
          </w:p>
        </w:tc>
        <w:tc>
          <w:tcPr/>
          <w:p>
            <w:pPr>
              <w:pStyle w:val="Compact"/>
              <w:jc w:val="right"/>
            </w:pPr>
            <w:r>
              <w:rPr>
                <w:rFonts w:hint="eastAsia"/>
              </w:rPr>
              <w:t xml:space="preserve">6614.87亿</w:t>
            </w:r>
          </w:p>
        </w:tc>
      </w:tr>
      <w:tr>
        <w:tc>
          <w:tcPr/>
          <w:p>
            <w:pPr>
              <w:pStyle w:val="Compact"/>
            </w:pPr>
            <w:r>
              <w:rPr>
                <w:rFonts w:hint="eastAsia"/>
              </w:rPr>
              <w:t xml:space="preserve">科创50</w:t>
            </w:r>
          </w:p>
        </w:tc>
        <w:tc>
          <w:tcPr/>
          <w:p>
            <w:pPr>
              <w:pStyle w:val="Compact"/>
              <w:jc w:val="right"/>
            </w:pPr>
            <w:r>
              <w:t xml:space="preserve">1717.7477</w:t>
            </w:r>
          </w:p>
        </w:tc>
        <w:tc>
          <w:tcPr/>
          <w:p>
            <w:pPr>
              <w:pStyle w:val="Compact"/>
              <w:jc w:val="right"/>
            </w:pPr>
            <w:r>
              <w:t xml:space="preserve">📉 -1.1079%</w:t>
            </w:r>
          </w:p>
        </w:tc>
        <w:tc>
          <w:tcPr/>
          <w:p>
            <w:pPr>
              <w:pStyle w:val="Compact"/>
              <w:jc w:val="right"/>
            </w:pPr>
            <w:r>
              <w:rPr>
                <w:rFonts w:hint="eastAsia"/>
              </w:rPr>
              <w:t xml:space="preserve">1256.77亿</w:t>
            </w:r>
          </w:p>
        </w:tc>
      </w:tr>
      <w:tr>
        <w:tc>
          <w:tcPr/>
          <w:p>
            <w:pPr>
              <w:pStyle w:val="Compact"/>
            </w:pPr>
            <w:r>
              <w:rPr>
                <w:rFonts w:hint="eastAsia"/>
              </w:rPr>
              <w:t xml:space="preserve">沪深300</w:t>
            </w:r>
          </w:p>
        </w:tc>
        <w:tc>
          <w:tcPr/>
          <w:p>
            <w:pPr>
              <w:pStyle w:val="Compact"/>
              <w:jc w:val="right"/>
            </w:pPr>
            <w:r>
              <w:t xml:space="preserve">4663.9513</w:t>
            </w:r>
          </w:p>
        </w:tc>
        <w:tc>
          <w:tcPr/>
          <w:p>
            <w:pPr>
              <w:pStyle w:val="Compact"/>
              <w:jc w:val="right"/>
            </w:pPr>
            <w:r>
              <w:t xml:space="preserve">📉 -0.5748%</w:t>
            </w:r>
          </w:p>
        </w:tc>
        <w:tc>
          <w:tcPr/>
          <w:p>
            <w:pPr>
              <w:pStyle w:val="Compact"/>
              <w:jc w:val="right"/>
            </w:pPr>
            <w:r>
              <w:rPr>
                <w:rFonts w:hint="eastAsia"/>
              </w:rPr>
              <w:t xml:space="preserve">6907.16亿</w:t>
            </w:r>
          </w:p>
        </w:tc>
      </w:tr>
    </w:tbl>
    <w:bookmarkEnd w:id="26"/>
    <w:bookmarkStart w:id="27" w:name="市场宽度"/>
    <w:p>
      <w:pPr>
        <w:pStyle w:val="Heading3"/>
      </w:pPr>
      <w:r>
        <w:t xml:space="preserve">📊 </w:t>
      </w:r>
      <w:r>
        <w:rPr>
          <w:rFonts w:hint="eastAsia"/>
        </w:rPr>
        <w:t xml:space="preserve">市场宽度</w:t>
      </w:r>
    </w:p>
    <w:p>
      <w:pPr>
        <w:pStyle w:val="Compact"/>
        <w:numPr>
          <w:ilvl w:val="0"/>
          <w:numId w:val="1025"/>
        </w:numPr>
      </w:pPr>
      <w:r>
        <w:rPr>
          <w:rFonts w:hint="eastAsia"/>
        </w:rPr>
        <w:t xml:space="preserve">上涨：1142家</w:t>
      </w:r>
    </w:p>
    <w:p>
      <w:pPr>
        <w:pStyle w:val="Compact"/>
        <w:numPr>
          <w:ilvl w:val="0"/>
          <w:numId w:val="1025"/>
        </w:numPr>
      </w:pPr>
      <w:r>
        <w:rPr>
          <w:rFonts w:hint="eastAsia"/>
        </w:rPr>
        <w:t xml:space="preserve">下跌：4317家</w:t>
      </w:r>
    </w:p>
    <w:p>
      <w:pPr>
        <w:pStyle w:val="Compact"/>
        <w:numPr>
          <w:ilvl w:val="0"/>
          <w:numId w:val="1025"/>
        </w:numPr>
      </w:pPr>
      <w:r>
        <w:rPr>
          <w:rFonts w:hint="eastAsia"/>
        </w:rPr>
        <w:t xml:space="preserve">平盘：81家</w:t>
      </w:r>
    </w:p>
    <w:p>
      <w:pPr>
        <w:pStyle w:val="Compact"/>
        <w:numPr>
          <w:ilvl w:val="0"/>
          <w:numId w:val="1025"/>
        </w:numPr>
      </w:pPr>
      <w:r>
        <w:rPr>
          <w:rFonts w:hint="eastAsia"/>
        </w:rPr>
        <w:t xml:space="preserve">涨停：62家</w:t>
      </w:r>
    </w:p>
    <w:p>
      <w:pPr>
        <w:pStyle w:val="Compact"/>
        <w:numPr>
          <w:ilvl w:val="0"/>
          <w:numId w:val="1025"/>
        </w:numPr>
      </w:pPr>
      <w:r>
        <w:rPr>
          <w:rFonts w:hint="eastAsia"/>
        </w:rPr>
        <w:t xml:space="preserve">跌停：4家</w:t>
      </w:r>
    </w:p>
    <w:p>
      <w:pPr>
        <w:pStyle w:val="Compact"/>
        <w:numPr>
          <w:ilvl w:val="0"/>
          <w:numId w:val="1025"/>
        </w:numPr>
      </w:pPr>
      <w:r>
        <w:rPr>
          <w:rFonts w:hint="eastAsia"/>
        </w:rPr>
        <w:t xml:space="preserve">涨跌比：0.265</w:t>
      </w:r>
    </w:p>
    <w:p>
      <w:pPr>
        <w:pStyle w:val="FirstParagraph"/>
      </w:pPr>
      <w:r>
        <w:t xml:space="preserve">💡 </w:t>
      </w:r>
      <w:r>
        <w:rPr>
          <w:rFonts w:hint="eastAsia"/>
        </w:rPr>
        <w:t xml:space="preserve">复盘结论：</w:t>
      </w:r>
    </w:p>
    <w:p>
      <w:pPr>
        <w:pStyle w:val="Compact"/>
        <w:numPr>
          <w:ilvl w:val="0"/>
          <w:numId w:val="1026"/>
        </w:numPr>
      </w:pPr>
      <w:r>
        <w:rPr>
          <w:rFonts w:hint="eastAsia"/>
        </w:rPr>
        <w:t xml:space="preserve">指数调整不算极端，但个股宽度明显弱。</w:t>
      </w:r>
    </w:p>
    <w:p>
      <w:pPr>
        <w:pStyle w:val="Compact"/>
        <w:numPr>
          <w:ilvl w:val="0"/>
          <w:numId w:val="1026"/>
        </w:numPr>
      </w:pPr>
      <w:r>
        <w:rPr>
          <w:rFonts w:hint="eastAsia"/>
        </w:rPr>
        <w:t xml:space="preserve">成交额显著放量，说明不是简单缩量回踩，而是高位筹码换手加剧。</w:t>
      </w:r>
    </w:p>
    <w:p>
      <w:pPr>
        <w:pStyle w:val="Compact"/>
        <w:numPr>
          <w:ilvl w:val="0"/>
          <w:numId w:val="1026"/>
        </w:numPr>
      </w:pPr>
      <w:r>
        <w:rPr>
          <w:rFonts w:hint="eastAsia"/>
        </w:rPr>
        <w:t xml:space="preserve">科创50跌幅-1.1079%，科技内部压力高于主板。</w:t>
      </w:r>
    </w:p>
    <w:p>
      <w:r>
        <w:pict>
          <v:rect style="width:0;height:1.5pt" o:hralign="center" o:hrstd="t" o:hr="t"/>
        </w:pict>
      </w:r>
    </w:p>
    <w:bookmarkEnd w:id="27"/>
    <w:bookmarkEnd w:id="28"/>
    <w:bookmarkStart w:id="33" w:name="上一交易日收盘资金四张榜"/>
    <w:p>
      <w:pPr>
        <w:pStyle w:val="Heading2"/>
      </w:pPr>
      <w:r>
        <w:t xml:space="preserve">💰 </w:t>
      </w:r>
      <w:r>
        <w:rPr>
          <w:rFonts w:hint="eastAsia"/>
        </w:rPr>
        <w:t xml:space="preserve">上一交易日收盘资金四张榜</w:t>
      </w:r>
    </w:p>
    <w:p>
      <w:pPr>
        <w:pStyle w:val="FirstParagraph"/>
      </w:pPr>
      <w:r>
        <w:rPr>
          <w:rFonts w:hint="eastAsia"/>
        </w:rPr>
        <w:t xml:space="preserve">口径：2026-08-13</w:t>
      </w:r>
      <w:r>
        <w:t xml:space="preserve"> </w:t>
      </w:r>
      <w:r>
        <w:rPr>
          <w:rFonts w:hint="eastAsia"/>
        </w:rPr>
        <w:t xml:space="preserve">15:00，previous_close，申万二级行业，来源：华泰。</w:t>
      </w:r>
      <w:r>
        <w:br/>
      </w:r>
      <w:r>
        <w:rPr>
          <w:rFonts w:hint="eastAsia"/>
        </w:rPr>
        <w:t xml:space="preserve">资金榜仅展示排名、板块/股票名称、代码（有则写）和上一交易日主力净流入/净流出金额；不混入报告日盘中行情。</w:t>
      </w:r>
    </w:p>
    <w:bookmarkStart w:id="29" w:name="流出top10板块"/>
    <w:p>
      <w:pPr>
        <w:pStyle w:val="Heading3"/>
      </w:pPr>
      <w:r>
        <w:t xml:space="preserve">💰 </w:t>
      </w:r>
      <w:r>
        <w:rPr>
          <w:rFonts w:hint="eastAsia"/>
        </w:rPr>
        <w:t xml:space="preserve">流出TOP10板块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半导体</w:t>
            </w:r>
          </w:p>
        </w:tc>
        <w:tc>
          <w:tcPr/>
          <w:p>
            <w:pPr>
              <w:pStyle w:val="Compact"/>
              <w:jc w:val="right"/>
            </w:pPr>
            <w:r>
              <w:rPr>
                <w:rFonts w:hint="eastAsia"/>
              </w:rPr>
              <w:t xml:space="preserve">-98.00亿元</w:t>
            </w:r>
          </w:p>
        </w:tc>
      </w:tr>
      <w:tr>
        <w:tc>
          <w:tcPr/>
          <w:p>
            <w:pPr>
              <w:pStyle w:val="Compact"/>
              <w:jc w:val="right"/>
            </w:pPr>
            <w:r>
              <w:t xml:space="preserve">2</w:t>
            </w:r>
          </w:p>
        </w:tc>
        <w:tc>
          <w:tcPr/>
          <w:p>
            <w:pPr>
              <w:pStyle w:val="Compact"/>
            </w:pPr>
            <w:r>
              <w:rPr>
                <w:rFonts w:hint="eastAsia"/>
              </w:rPr>
              <w:t xml:space="preserve">工业金属</w:t>
            </w:r>
          </w:p>
        </w:tc>
        <w:tc>
          <w:tcPr/>
          <w:p>
            <w:pPr>
              <w:pStyle w:val="Compact"/>
              <w:jc w:val="right"/>
            </w:pPr>
            <w:r>
              <w:rPr>
                <w:rFonts w:hint="eastAsia"/>
              </w:rPr>
              <w:t xml:space="preserve">-75.89亿元</w:t>
            </w:r>
          </w:p>
        </w:tc>
      </w:tr>
      <w:tr>
        <w:tc>
          <w:tcPr/>
          <w:p>
            <w:pPr>
              <w:pStyle w:val="Compact"/>
              <w:jc w:val="right"/>
            </w:pPr>
            <w:r>
              <w:t xml:space="preserve">3</w:t>
            </w:r>
          </w:p>
        </w:tc>
        <w:tc>
          <w:tcPr/>
          <w:p>
            <w:pPr>
              <w:pStyle w:val="Compact"/>
            </w:pPr>
            <w:r>
              <w:rPr>
                <w:rFonts w:hint="eastAsia"/>
              </w:rPr>
              <w:t xml:space="preserve">元件</w:t>
            </w:r>
          </w:p>
        </w:tc>
        <w:tc>
          <w:tcPr/>
          <w:p>
            <w:pPr>
              <w:pStyle w:val="Compact"/>
              <w:jc w:val="right"/>
            </w:pPr>
            <w:r>
              <w:rPr>
                <w:rFonts w:hint="eastAsia"/>
              </w:rPr>
              <w:t xml:space="preserve">-45.85亿元</w:t>
            </w:r>
          </w:p>
        </w:tc>
      </w:tr>
      <w:tr>
        <w:tc>
          <w:tcPr/>
          <w:p>
            <w:pPr>
              <w:pStyle w:val="Compact"/>
              <w:jc w:val="right"/>
            </w:pPr>
            <w:r>
              <w:t xml:space="preserve">4</w:t>
            </w:r>
          </w:p>
        </w:tc>
        <w:tc>
          <w:tcPr/>
          <w:p>
            <w:pPr>
              <w:pStyle w:val="Compact"/>
            </w:pPr>
            <w:r>
              <w:rPr>
                <w:rFonts w:hint="eastAsia"/>
              </w:rPr>
              <w:t xml:space="preserve">小金属</w:t>
            </w:r>
          </w:p>
        </w:tc>
        <w:tc>
          <w:tcPr/>
          <w:p>
            <w:pPr>
              <w:pStyle w:val="Compact"/>
              <w:jc w:val="right"/>
            </w:pPr>
            <w:r>
              <w:rPr>
                <w:rFonts w:hint="eastAsia"/>
              </w:rPr>
              <w:t xml:space="preserve">-43.83亿元</w:t>
            </w:r>
          </w:p>
        </w:tc>
      </w:tr>
      <w:tr>
        <w:tc>
          <w:tcPr/>
          <w:p>
            <w:pPr>
              <w:pStyle w:val="Compact"/>
              <w:jc w:val="right"/>
            </w:pPr>
            <w:r>
              <w:t xml:space="preserve">5</w:t>
            </w:r>
          </w:p>
        </w:tc>
        <w:tc>
          <w:tcPr/>
          <w:p>
            <w:pPr>
              <w:pStyle w:val="Compact"/>
            </w:pPr>
            <w:r>
              <w:rPr>
                <w:rFonts w:hint="eastAsia"/>
              </w:rPr>
              <w:t xml:space="preserve">贵金属</w:t>
            </w:r>
          </w:p>
        </w:tc>
        <w:tc>
          <w:tcPr/>
          <w:p>
            <w:pPr>
              <w:pStyle w:val="Compact"/>
              <w:jc w:val="right"/>
            </w:pPr>
            <w:r>
              <w:rPr>
                <w:rFonts w:hint="eastAsia"/>
              </w:rPr>
              <w:t xml:space="preserve">-34.37亿元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软件开发</w:t>
            </w:r>
          </w:p>
        </w:tc>
        <w:tc>
          <w:tcPr/>
          <w:p>
            <w:pPr>
              <w:pStyle w:val="Compact"/>
              <w:jc w:val="right"/>
            </w:pPr>
            <w:r>
              <w:rPr>
                <w:rFonts w:hint="eastAsia"/>
              </w:rPr>
              <w:t xml:space="preserve">-21.47亿元</w:t>
            </w:r>
          </w:p>
        </w:tc>
      </w:tr>
      <w:tr>
        <w:tc>
          <w:tcPr/>
          <w:p>
            <w:pPr>
              <w:pStyle w:val="Compact"/>
              <w:jc w:val="right"/>
            </w:pPr>
            <w:r>
              <w:t xml:space="preserve">7</w:t>
            </w:r>
          </w:p>
        </w:tc>
        <w:tc>
          <w:tcPr/>
          <w:p>
            <w:pPr>
              <w:pStyle w:val="Compact"/>
            </w:pPr>
            <w:r>
              <w:rPr>
                <w:rFonts w:hint="eastAsia"/>
              </w:rPr>
              <w:t xml:space="preserve">玻璃玻纤</w:t>
            </w:r>
          </w:p>
        </w:tc>
        <w:tc>
          <w:tcPr/>
          <w:p>
            <w:pPr>
              <w:pStyle w:val="Compact"/>
              <w:jc w:val="right"/>
            </w:pPr>
            <w:r>
              <w:rPr>
                <w:rFonts w:hint="eastAsia"/>
              </w:rPr>
              <w:t xml:space="preserve">-19.67亿元</w:t>
            </w:r>
          </w:p>
        </w:tc>
      </w:tr>
      <w:tr>
        <w:tc>
          <w:tcPr/>
          <w:p>
            <w:pPr>
              <w:pStyle w:val="Compact"/>
              <w:jc w:val="right"/>
            </w:pPr>
            <w:r>
              <w:t xml:space="preserve">8</w:t>
            </w:r>
          </w:p>
        </w:tc>
        <w:tc>
          <w:tcPr/>
          <w:p>
            <w:pPr>
              <w:pStyle w:val="Compact"/>
            </w:pPr>
            <w:r>
              <w:rPr>
                <w:rFonts w:hint="eastAsia"/>
              </w:rPr>
              <w:t xml:space="preserve">电子化学品Ⅱ</w:t>
            </w:r>
          </w:p>
        </w:tc>
        <w:tc>
          <w:tcPr/>
          <w:p>
            <w:pPr>
              <w:pStyle w:val="Compact"/>
              <w:jc w:val="right"/>
            </w:pPr>
            <w:r>
              <w:rPr>
                <w:rFonts w:hint="eastAsia"/>
              </w:rPr>
              <w:t xml:space="preserve">-18.18亿元</w:t>
            </w:r>
          </w:p>
        </w:tc>
      </w:tr>
      <w:tr>
        <w:tc>
          <w:tcPr/>
          <w:p>
            <w:pPr>
              <w:pStyle w:val="Compact"/>
              <w:jc w:val="right"/>
            </w:pPr>
            <w:r>
              <w:t xml:space="preserve">9</w:t>
            </w:r>
          </w:p>
        </w:tc>
        <w:tc>
          <w:tcPr/>
          <w:p>
            <w:pPr>
              <w:pStyle w:val="Compact"/>
            </w:pPr>
            <w:r>
              <w:rPr>
                <w:rFonts w:hint="eastAsia"/>
              </w:rPr>
              <w:t xml:space="preserve">光伏设备</w:t>
            </w:r>
          </w:p>
        </w:tc>
        <w:tc>
          <w:tcPr/>
          <w:p>
            <w:pPr>
              <w:pStyle w:val="Compact"/>
              <w:jc w:val="right"/>
            </w:pPr>
            <w:r>
              <w:rPr>
                <w:rFonts w:hint="eastAsia"/>
              </w:rPr>
              <w:t xml:space="preserve">-16.46亿元</w:t>
            </w:r>
          </w:p>
        </w:tc>
      </w:tr>
      <w:tr>
        <w:tc>
          <w:tcPr/>
          <w:p>
            <w:pPr>
              <w:pStyle w:val="Compact"/>
              <w:jc w:val="right"/>
            </w:pPr>
            <w:r>
              <w:t xml:space="preserve">10</w:t>
            </w:r>
          </w:p>
        </w:tc>
        <w:tc>
          <w:tcPr/>
          <w:p>
            <w:pPr>
              <w:pStyle w:val="Compact"/>
            </w:pPr>
            <w:r>
              <w:rPr>
                <w:rFonts w:hint="eastAsia"/>
              </w:rPr>
              <w:t xml:space="preserve">通用设备</w:t>
            </w:r>
          </w:p>
        </w:tc>
        <w:tc>
          <w:tcPr/>
          <w:p>
            <w:pPr>
              <w:pStyle w:val="Compact"/>
              <w:jc w:val="right"/>
            </w:pPr>
            <w:r>
              <w:rPr>
                <w:rFonts w:hint="eastAsia"/>
              </w:rPr>
              <w:t xml:space="preserve">-15.30亿元</w:t>
            </w:r>
          </w:p>
        </w:tc>
      </w:tr>
    </w:tbl>
    <w:bookmarkEnd w:id="29"/>
    <w:bookmarkStart w:id="30" w:name="流出top10个股"/>
    <w:p>
      <w:pPr>
        <w:pStyle w:val="Heading3"/>
      </w:pPr>
      <w:r>
        <w:t xml:space="preserve">💰 </w:t>
      </w:r>
      <w:r>
        <w:rPr>
          <w:rFonts w:hint="eastAsia"/>
        </w:rPr>
        <w:t xml:space="preserve">流出TOP10个股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风华高科(000636)</w:t>
            </w:r>
          </w:p>
        </w:tc>
        <w:tc>
          <w:tcPr/>
          <w:p>
            <w:pPr>
              <w:pStyle w:val="Compact"/>
              <w:jc w:val="right"/>
            </w:pPr>
            <w:r>
              <w:rPr>
                <w:rFonts w:hint="eastAsia"/>
              </w:rPr>
              <w:t xml:space="preserve">-20.53亿</w:t>
            </w:r>
          </w:p>
        </w:tc>
      </w:tr>
      <w:tr>
        <w:tc>
          <w:tcPr/>
          <w:p>
            <w:pPr>
              <w:pStyle w:val="Compact"/>
              <w:jc w:val="right"/>
            </w:pPr>
            <w:r>
              <w:t xml:space="preserve">2</w:t>
            </w:r>
          </w:p>
        </w:tc>
        <w:tc>
          <w:tcPr/>
          <w:p>
            <w:pPr>
              <w:pStyle w:val="Compact"/>
            </w:pPr>
            <w:r>
              <w:rPr>
                <w:rFonts w:hint="eastAsia"/>
              </w:rPr>
              <w:t xml:space="preserve">亨通光电(600487)</w:t>
            </w:r>
          </w:p>
        </w:tc>
        <w:tc>
          <w:tcPr/>
          <w:p>
            <w:pPr>
              <w:pStyle w:val="Compact"/>
              <w:jc w:val="right"/>
            </w:pPr>
            <w:r>
              <w:rPr>
                <w:rFonts w:hint="eastAsia"/>
              </w:rPr>
              <w:t xml:space="preserve">-12.77亿</w:t>
            </w:r>
          </w:p>
        </w:tc>
      </w:tr>
      <w:tr>
        <w:tc>
          <w:tcPr/>
          <w:p>
            <w:pPr>
              <w:pStyle w:val="Compact"/>
              <w:jc w:val="right"/>
            </w:pPr>
            <w:r>
              <w:t xml:space="preserve">3</w:t>
            </w:r>
          </w:p>
        </w:tc>
        <w:tc>
          <w:tcPr/>
          <w:p>
            <w:pPr>
              <w:pStyle w:val="Compact"/>
            </w:pPr>
            <w:r>
              <w:rPr>
                <w:rFonts w:hint="eastAsia"/>
              </w:rPr>
              <w:t xml:space="preserve">紫金矿业(601899)</w:t>
            </w:r>
          </w:p>
        </w:tc>
        <w:tc>
          <w:tcPr/>
          <w:p>
            <w:pPr>
              <w:pStyle w:val="Compact"/>
              <w:jc w:val="right"/>
            </w:pPr>
            <w:r>
              <w:rPr>
                <w:rFonts w:hint="eastAsia"/>
              </w:rPr>
              <w:t xml:space="preserve">-12.45亿</w:t>
            </w:r>
          </w:p>
        </w:tc>
      </w:tr>
      <w:tr>
        <w:tc>
          <w:tcPr/>
          <w:p>
            <w:pPr>
              <w:pStyle w:val="Compact"/>
              <w:jc w:val="right"/>
            </w:pPr>
            <w:r>
              <w:t xml:space="preserve">4</w:t>
            </w:r>
          </w:p>
        </w:tc>
        <w:tc>
          <w:tcPr/>
          <w:p>
            <w:pPr>
              <w:pStyle w:val="Compact"/>
            </w:pPr>
            <w:r>
              <w:rPr>
                <w:rFonts w:hint="eastAsia"/>
              </w:rPr>
              <w:t xml:space="preserve">云南锗业(002428)</w:t>
            </w:r>
          </w:p>
        </w:tc>
        <w:tc>
          <w:tcPr/>
          <w:p>
            <w:pPr>
              <w:pStyle w:val="Compact"/>
              <w:jc w:val="right"/>
            </w:pPr>
            <w:r>
              <w:rPr>
                <w:rFonts w:hint="eastAsia"/>
              </w:rPr>
              <w:t xml:space="preserve">-11.85亿</w:t>
            </w:r>
          </w:p>
        </w:tc>
      </w:tr>
      <w:tr>
        <w:tc>
          <w:tcPr/>
          <w:p>
            <w:pPr>
              <w:pStyle w:val="Compact"/>
              <w:jc w:val="right"/>
            </w:pPr>
            <w:r>
              <w:t xml:space="preserve">5</w:t>
            </w:r>
          </w:p>
        </w:tc>
        <w:tc>
          <w:tcPr/>
          <w:p>
            <w:pPr>
              <w:pStyle w:val="Compact"/>
            </w:pPr>
            <w:r>
              <w:rPr>
                <w:rFonts w:hint="eastAsia"/>
              </w:rPr>
              <w:t xml:space="preserve">江波龙(301308)</w:t>
            </w:r>
          </w:p>
        </w:tc>
        <w:tc>
          <w:tcPr/>
          <w:p>
            <w:pPr>
              <w:pStyle w:val="Compact"/>
              <w:jc w:val="right"/>
            </w:pPr>
            <w:r>
              <w:rPr>
                <w:rFonts w:hint="eastAsia"/>
              </w:rPr>
              <w:t xml:space="preserve">-11.07亿</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胜宏科技(300476)</w:t>
            </w:r>
          </w:p>
        </w:tc>
        <w:tc>
          <w:tcPr/>
          <w:p>
            <w:pPr>
              <w:pStyle w:val="Compact"/>
              <w:jc w:val="right"/>
            </w:pPr>
            <w:r>
              <w:rPr>
                <w:rFonts w:hint="eastAsia"/>
              </w:rPr>
              <w:t xml:space="preserve">-9.73亿</w:t>
            </w:r>
          </w:p>
        </w:tc>
      </w:tr>
      <w:tr>
        <w:tc>
          <w:tcPr/>
          <w:p>
            <w:pPr>
              <w:pStyle w:val="Compact"/>
              <w:jc w:val="right"/>
            </w:pPr>
            <w:r>
              <w:t xml:space="preserve">7</w:t>
            </w:r>
          </w:p>
        </w:tc>
        <w:tc>
          <w:tcPr/>
          <w:p>
            <w:pPr>
              <w:pStyle w:val="Compact"/>
            </w:pPr>
            <w:r>
              <w:rPr>
                <w:rFonts w:hint="eastAsia"/>
              </w:rPr>
              <w:t xml:space="preserve">洛阳钼业(603993)</w:t>
            </w:r>
          </w:p>
        </w:tc>
        <w:tc>
          <w:tcPr/>
          <w:p>
            <w:pPr>
              <w:pStyle w:val="Compact"/>
              <w:jc w:val="right"/>
            </w:pPr>
            <w:r>
              <w:rPr>
                <w:rFonts w:hint="eastAsia"/>
              </w:rPr>
              <w:t xml:space="preserve">-9.67亿</w:t>
            </w:r>
          </w:p>
        </w:tc>
      </w:tr>
      <w:tr>
        <w:tc>
          <w:tcPr/>
          <w:p>
            <w:pPr>
              <w:pStyle w:val="Compact"/>
              <w:jc w:val="right"/>
            </w:pPr>
            <w:r>
              <w:t xml:space="preserve">8</w:t>
            </w:r>
          </w:p>
        </w:tc>
        <w:tc>
          <w:tcPr/>
          <w:p>
            <w:pPr>
              <w:pStyle w:val="Compact"/>
            </w:pPr>
            <w:r>
              <w:rPr>
                <w:rFonts w:hint="eastAsia"/>
              </w:rPr>
              <w:t xml:space="preserve">兆易创新(603986)</w:t>
            </w:r>
          </w:p>
        </w:tc>
        <w:tc>
          <w:tcPr/>
          <w:p>
            <w:pPr>
              <w:pStyle w:val="Compact"/>
              <w:jc w:val="right"/>
            </w:pPr>
            <w:r>
              <w:rPr>
                <w:rFonts w:hint="eastAsia"/>
              </w:rPr>
              <w:t xml:space="preserve">-9.52亿</w:t>
            </w:r>
          </w:p>
        </w:tc>
      </w:tr>
      <w:tr>
        <w:tc>
          <w:tcPr/>
          <w:p>
            <w:pPr>
              <w:pStyle w:val="Compact"/>
              <w:jc w:val="right"/>
            </w:pPr>
            <w:r>
              <w:t xml:space="preserve">9</w:t>
            </w:r>
          </w:p>
        </w:tc>
        <w:tc>
          <w:tcPr/>
          <w:p>
            <w:pPr>
              <w:pStyle w:val="Compact"/>
            </w:pPr>
            <w:r>
              <w:rPr>
                <w:rFonts w:hint="eastAsia"/>
              </w:rPr>
              <w:t xml:space="preserve">中钨高新(000657)</w:t>
            </w:r>
          </w:p>
        </w:tc>
        <w:tc>
          <w:tcPr/>
          <w:p>
            <w:pPr>
              <w:pStyle w:val="Compact"/>
              <w:jc w:val="right"/>
            </w:pPr>
            <w:r>
              <w:rPr>
                <w:rFonts w:hint="eastAsia"/>
              </w:rPr>
              <w:t xml:space="preserve">-9.49亿</w:t>
            </w:r>
          </w:p>
        </w:tc>
      </w:tr>
      <w:tr>
        <w:tc>
          <w:tcPr/>
          <w:p>
            <w:pPr>
              <w:pStyle w:val="Compact"/>
              <w:jc w:val="right"/>
            </w:pPr>
            <w:r>
              <w:t xml:space="preserve">10</w:t>
            </w:r>
          </w:p>
        </w:tc>
        <w:tc>
          <w:tcPr/>
          <w:p>
            <w:pPr>
              <w:pStyle w:val="Compact"/>
            </w:pPr>
            <w:r>
              <w:rPr>
                <w:rFonts w:hint="eastAsia"/>
              </w:rPr>
              <w:t xml:space="preserve">国际复材(301526)</w:t>
            </w:r>
          </w:p>
        </w:tc>
        <w:tc>
          <w:tcPr/>
          <w:p>
            <w:pPr>
              <w:pStyle w:val="Compact"/>
              <w:jc w:val="right"/>
            </w:pPr>
            <w:r>
              <w:rPr>
                <w:rFonts w:hint="eastAsia"/>
              </w:rPr>
              <w:t xml:space="preserve">-9.10亿</w:t>
            </w:r>
          </w:p>
        </w:tc>
      </w:tr>
    </w:tbl>
    <w:bookmarkEnd w:id="30"/>
    <w:bookmarkStart w:id="31" w:name="流入top10板块"/>
    <w:p>
      <w:pPr>
        <w:pStyle w:val="Heading3"/>
      </w:pPr>
      <w:r>
        <w:t xml:space="preserve">💰 </w:t>
      </w:r>
      <w:r>
        <w:rPr>
          <w:rFonts w:hint="eastAsia"/>
        </w:rPr>
        <w:t xml:space="preserve">流入TOP10板块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电力</w:t>
            </w:r>
          </w:p>
        </w:tc>
        <w:tc>
          <w:tcPr/>
          <w:p>
            <w:pPr>
              <w:pStyle w:val="Compact"/>
              <w:jc w:val="right"/>
            </w:pPr>
            <w:r>
              <w:rPr>
                <w:rFonts w:hint="eastAsia"/>
              </w:rPr>
              <w:t xml:space="preserve">+36.10亿元</w:t>
            </w:r>
          </w:p>
        </w:tc>
      </w:tr>
      <w:tr>
        <w:tc>
          <w:tcPr/>
          <w:p>
            <w:pPr>
              <w:pStyle w:val="Compact"/>
              <w:jc w:val="right"/>
            </w:pPr>
            <w:r>
              <w:t xml:space="preserve">2</w:t>
            </w:r>
          </w:p>
        </w:tc>
        <w:tc>
          <w:tcPr/>
          <w:p>
            <w:pPr>
              <w:pStyle w:val="Compact"/>
            </w:pPr>
            <w:r>
              <w:rPr>
                <w:rFonts w:hint="eastAsia"/>
              </w:rPr>
              <w:t xml:space="preserve">银行Ⅱ</w:t>
            </w:r>
          </w:p>
        </w:tc>
        <w:tc>
          <w:tcPr/>
          <w:p>
            <w:pPr>
              <w:pStyle w:val="Compact"/>
              <w:jc w:val="right"/>
            </w:pPr>
            <w:r>
              <w:rPr>
                <w:rFonts w:hint="eastAsia"/>
              </w:rPr>
              <w:t xml:space="preserve">+18.85亿元</w:t>
            </w:r>
          </w:p>
        </w:tc>
      </w:tr>
      <w:tr>
        <w:tc>
          <w:tcPr/>
          <w:p>
            <w:pPr>
              <w:pStyle w:val="Compact"/>
              <w:jc w:val="right"/>
            </w:pPr>
            <w:r>
              <w:t xml:space="preserve">3</w:t>
            </w:r>
          </w:p>
        </w:tc>
        <w:tc>
          <w:tcPr/>
          <w:p>
            <w:pPr>
              <w:pStyle w:val="Compact"/>
            </w:pPr>
            <w:r>
              <w:rPr>
                <w:rFonts w:hint="eastAsia"/>
              </w:rPr>
              <w:t xml:space="preserve">医疗服务</w:t>
            </w:r>
          </w:p>
        </w:tc>
        <w:tc>
          <w:tcPr/>
          <w:p>
            <w:pPr>
              <w:pStyle w:val="Compact"/>
              <w:jc w:val="right"/>
            </w:pPr>
            <w:r>
              <w:rPr>
                <w:rFonts w:hint="eastAsia"/>
              </w:rPr>
              <w:t xml:space="preserve">+15.99亿元</w:t>
            </w:r>
          </w:p>
        </w:tc>
      </w:tr>
      <w:tr>
        <w:tc>
          <w:tcPr/>
          <w:p>
            <w:pPr>
              <w:pStyle w:val="Compact"/>
              <w:jc w:val="right"/>
            </w:pPr>
            <w:r>
              <w:t xml:space="preserve">4</w:t>
            </w:r>
          </w:p>
        </w:tc>
        <w:tc>
          <w:tcPr/>
          <w:p>
            <w:pPr>
              <w:pStyle w:val="Compact"/>
            </w:pPr>
            <w:r>
              <w:rPr>
                <w:rFonts w:hint="eastAsia"/>
              </w:rPr>
              <w:t xml:space="preserve">中药Ⅱ</w:t>
            </w:r>
          </w:p>
        </w:tc>
        <w:tc>
          <w:tcPr/>
          <w:p>
            <w:pPr>
              <w:pStyle w:val="Compact"/>
              <w:jc w:val="right"/>
            </w:pPr>
            <w:r>
              <w:rPr>
                <w:rFonts w:hint="eastAsia"/>
              </w:rPr>
              <w:t xml:space="preserve">+11.81亿元</w:t>
            </w:r>
          </w:p>
        </w:tc>
      </w:tr>
      <w:tr>
        <w:tc>
          <w:tcPr/>
          <w:p>
            <w:pPr>
              <w:pStyle w:val="Compact"/>
              <w:jc w:val="right"/>
            </w:pPr>
            <w:r>
              <w:t xml:space="preserve">5</w:t>
            </w:r>
          </w:p>
        </w:tc>
        <w:tc>
          <w:tcPr/>
          <w:p>
            <w:pPr>
              <w:pStyle w:val="Compact"/>
            </w:pPr>
            <w:r>
              <w:rPr>
                <w:rFonts w:hint="eastAsia"/>
              </w:rPr>
              <w:t xml:space="preserve">计算机设备</w:t>
            </w:r>
          </w:p>
        </w:tc>
        <w:tc>
          <w:tcPr/>
          <w:p>
            <w:pPr>
              <w:pStyle w:val="Compact"/>
              <w:jc w:val="right"/>
            </w:pPr>
            <w:r>
              <w:rPr>
                <w:rFonts w:hint="eastAsia"/>
              </w:rPr>
              <w:t xml:space="preserve">+8.06亿元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生物制品</w:t>
            </w:r>
          </w:p>
        </w:tc>
        <w:tc>
          <w:tcPr/>
          <w:p>
            <w:pPr>
              <w:pStyle w:val="Compact"/>
              <w:jc w:val="right"/>
            </w:pPr>
            <w:r>
              <w:rPr>
                <w:rFonts w:hint="eastAsia"/>
              </w:rPr>
              <w:t xml:space="preserve">+7.64亿元</w:t>
            </w:r>
          </w:p>
        </w:tc>
      </w:tr>
      <w:tr>
        <w:tc>
          <w:tcPr/>
          <w:p>
            <w:pPr>
              <w:pStyle w:val="Compact"/>
              <w:jc w:val="right"/>
            </w:pPr>
            <w:r>
              <w:t xml:space="preserve">7</w:t>
            </w:r>
          </w:p>
        </w:tc>
        <w:tc>
          <w:tcPr/>
          <w:p>
            <w:pPr>
              <w:pStyle w:val="Compact"/>
            </w:pPr>
            <w:r>
              <w:rPr>
                <w:rFonts w:hint="eastAsia"/>
              </w:rPr>
              <w:t xml:space="preserve">证券Ⅱ</w:t>
            </w:r>
          </w:p>
        </w:tc>
        <w:tc>
          <w:tcPr/>
          <w:p>
            <w:pPr>
              <w:pStyle w:val="Compact"/>
              <w:jc w:val="right"/>
            </w:pPr>
            <w:r>
              <w:rPr>
                <w:rFonts w:hint="eastAsia"/>
              </w:rPr>
              <w:t xml:space="preserve">+6.84亿元</w:t>
            </w:r>
          </w:p>
        </w:tc>
      </w:tr>
      <w:tr>
        <w:tc>
          <w:tcPr/>
          <w:p>
            <w:pPr>
              <w:pStyle w:val="Compact"/>
              <w:jc w:val="right"/>
            </w:pPr>
            <w:r>
              <w:t xml:space="preserve">8</w:t>
            </w:r>
          </w:p>
        </w:tc>
        <w:tc>
          <w:tcPr/>
          <w:p>
            <w:pPr>
              <w:pStyle w:val="Compact"/>
            </w:pPr>
            <w:r>
              <w:rPr>
                <w:rFonts w:hint="eastAsia"/>
              </w:rPr>
              <w:t xml:space="preserve">IT服务Ⅱ</w:t>
            </w:r>
          </w:p>
        </w:tc>
        <w:tc>
          <w:tcPr/>
          <w:p>
            <w:pPr>
              <w:pStyle w:val="Compact"/>
              <w:jc w:val="right"/>
            </w:pPr>
            <w:r>
              <w:rPr>
                <w:rFonts w:hint="eastAsia"/>
              </w:rPr>
              <w:t xml:space="preserve">+4.57亿元</w:t>
            </w:r>
          </w:p>
        </w:tc>
      </w:tr>
      <w:tr>
        <w:tc>
          <w:tcPr/>
          <w:p>
            <w:pPr>
              <w:pStyle w:val="Compact"/>
              <w:jc w:val="right"/>
            </w:pPr>
            <w:r>
              <w:t xml:space="preserve">9</w:t>
            </w:r>
          </w:p>
        </w:tc>
        <w:tc>
          <w:tcPr/>
          <w:p>
            <w:pPr>
              <w:pStyle w:val="Compact"/>
            </w:pPr>
            <w:r>
              <w:rPr>
                <w:rFonts w:hint="eastAsia"/>
              </w:rPr>
              <w:t xml:space="preserve">通信设备</w:t>
            </w:r>
          </w:p>
        </w:tc>
        <w:tc>
          <w:tcPr/>
          <w:p>
            <w:pPr>
              <w:pStyle w:val="Compact"/>
              <w:jc w:val="right"/>
            </w:pPr>
            <w:r>
              <w:rPr>
                <w:rFonts w:hint="eastAsia"/>
              </w:rPr>
              <w:t xml:space="preserve">+4.53亿元</w:t>
            </w:r>
          </w:p>
        </w:tc>
      </w:tr>
      <w:tr>
        <w:tc>
          <w:tcPr/>
          <w:p>
            <w:pPr>
              <w:pStyle w:val="Compact"/>
              <w:jc w:val="right"/>
            </w:pPr>
            <w:r>
              <w:t xml:space="preserve">10</w:t>
            </w:r>
          </w:p>
        </w:tc>
        <w:tc>
          <w:tcPr/>
          <w:p>
            <w:pPr>
              <w:pStyle w:val="Compact"/>
            </w:pPr>
            <w:r>
              <w:rPr>
                <w:rFonts w:hint="eastAsia"/>
              </w:rPr>
              <w:t xml:space="preserve">医药商业</w:t>
            </w:r>
          </w:p>
        </w:tc>
        <w:tc>
          <w:tcPr/>
          <w:p>
            <w:pPr>
              <w:pStyle w:val="Compact"/>
              <w:jc w:val="right"/>
            </w:pPr>
            <w:r>
              <w:rPr>
                <w:rFonts w:hint="eastAsia"/>
              </w:rPr>
              <w:t xml:space="preserve">+4.48亿元</w:t>
            </w:r>
          </w:p>
        </w:tc>
      </w:tr>
    </w:tbl>
    <w:bookmarkEnd w:id="31"/>
    <w:bookmarkStart w:id="32" w:name="流入top10个股"/>
    <w:p>
      <w:pPr>
        <w:pStyle w:val="Heading3"/>
      </w:pPr>
      <w:r>
        <w:t xml:space="preserve">💰 </w:t>
      </w:r>
      <w:r>
        <w:rPr>
          <w:rFonts w:hint="eastAsia"/>
        </w:rPr>
        <w:t xml:space="preserve">流入TOP10个股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中际旭创(300308)</w:t>
            </w:r>
          </w:p>
        </w:tc>
        <w:tc>
          <w:tcPr/>
          <w:p>
            <w:pPr>
              <w:pStyle w:val="Compact"/>
              <w:jc w:val="right"/>
            </w:pPr>
            <w:r>
              <w:rPr>
                <w:rFonts w:hint="eastAsia"/>
              </w:rPr>
              <w:t xml:space="preserve">+176.92亿</w:t>
            </w:r>
          </w:p>
        </w:tc>
      </w:tr>
      <w:tr>
        <w:tc>
          <w:tcPr/>
          <w:p>
            <w:pPr>
              <w:pStyle w:val="Compact"/>
              <w:jc w:val="right"/>
            </w:pPr>
            <w:r>
              <w:t xml:space="preserve">2</w:t>
            </w:r>
          </w:p>
        </w:tc>
        <w:tc>
          <w:tcPr/>
          <w:p>
            <w:pPr>
              <w:pStyle w:val="Compact"/>
            </w:pPr>
            <w:r>
              <w:rPr>
                <w:rFonts w:hint="eastAsia"/>
              </w:rPr>
              <w:t xml:space="preserve">长鑫科技(688825)</w:t>
            </w:r>
          </w:p>
        </w:tc>
        <w:tc>
          <w:tcPr/>
          <w:p>
            <w:pPr>
              <w:pStyle w:val="Compact"/>
              <w:jc w:val="right"/>
            </w:pPr>
            <w:r>
              <w:rPr>
                <w:rFonts w:hint="eastAsia"/>
              </w:rPr>
              <w:t xml:space="preserve">+172.96亿</w:t>
            </w:r>
          </w:p>
        </w:tc>
      </w:tr>
      <w:tr>
        <w:tc>
          <w:tcPr/>
          <w:p>
            <w:pPr>
              <w:pStyle w:val="Compact"/>
              <w:jc w:val="right"/>
            </w:pPr>
            <w:r>
              <w:t xml:space="preserve">3</w:t>
            </w:r>
          </w:p>
        </w:tc>
        <w:tc>
          <w:tcPr/>
          <w:p>
            <w:pPr>
              <w:pStyle w:val="Compact"/>
            </w:pPr>
            <w:r>
              <w:rPr>
                <w:rFonts w:hint="eastAsia"/>
              </w:rPr>
              <w:t xml:space="preserve">寒武纪(688256)</w:t>
            </w:r>
          </w:p>
        </w:tc>
        <w:tc>
          <w:tcPr/>
          <w:p>
            <w:pPr>
              <w:pStyle w:val="Compact"/>
              <w:jc w:val="right"/>
            </w:pPr>
            <w:r>
              <w:rPr>
                <w:rFonts w:hint="eastAsia"/>
              </w:rPr>
              <w:t xml:space="preserve">+143.11亿</w:t>
            </w:r>
          </w:p>
        </w:tc>
      </w:tr>
      <w:tr>
        <w:tc>
          <w:tcPr/>
          <w:p>
            <w:pPr>
              <w:pStyle w:val="Compact"/>
              <w:jc w:val="right"/>
            </w:pPr>
            <w:r>
              <w:t xml:space="preserve">4</w:t>
            </w:r>
          </w:p>
        </w:tc>
        <w:tc>
          <w:tcPr/>
          <w:p>
            <w:pPr>
              <w:pStyle w:val="Compact"/>
            </w:pPr>
            <w:r>
              <w:rPr>
                <w:rFonts w:hint="eastAsia"/>
              </w:rPr>
              <w:t xml:space="preserve">新易盛(300502)</w:t>
            </w:r>
          </w:p>
        </w:tc>
        <w:tc>
          <w:tcPr/>
          <w:p>
            <w:pPr>
              <w:pStyle w:val="Compact"/>
              <w:jc w:val="right"/>
            </w:pPr>
            <w:r>
              <w:rPr>
                <w:rFonts w:hint="eastAsia"/>
              </w:rPr>
              <w:t xml:space="preserve">+116.05亿</w:t>
            </w:r>
          </w:p>
        </w:tc>
      </w:tr>
      <w:tr>
        <w:tc>
          <w:tcPr/>
          <w:p>
            <w:pPr>
              <w:pStyle w:val="Compact"/>
              <w:jc w:val="right"/>
            </w:pPr>
            <w:r>
              <w:t xml:space="preserve">5</w:t>
            </w:r>
          </w:p>
        </w:tc>
        <w:tc>
          <w:tcPr/>
          <w:p>
            <w:pPr>
              <w:pStyle w:val="Compact"/>
            </w:pPr>
            <w:r>
              <w:rPr>
                <w:rFonts w:hint="eastAsia"/>
              </w:rPr>
              <w:t xml:space="preserve">兆易创新(603986)</w:t>
            </w:r>
          </w:p>
        </w:tc>
        <w:tc>
          <w:tcPr/>
          <w:p>
            <w:pPr>
              <w:pStyle w:val="Compact"/>
              <w:jc w:val="right"/>
            </w:pPr>
            <w:r>
              <w:rPr>
                <w:rFonts w:hint="eastAsia"/>
              </w:rPr>
              <w:t xml:space="preserve">+103.13亿</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天孚通信(300394)</w:t>
            </w:r>
          </w:p>
        </w:tc>
        <w:tc>
          <w:tcPr/>
          <w:p>
            <w:pPr>
              <w:pStyle w:val="Compact"/>
              <w:jc w:val="right"/>
            </w:pPr>
            <w:r>
              <w:rPr>
                <w:rFonts w:hint="eastAsia"/>
              </w:rPr>
              <w:t xml:space="preserve">+99.37亿</w:t>
            </w:r>
          </w:p>
        </w:tc>
      </w:tr>
      <w:tr>
        <w:tc>
          <w:tcPr/>
          <w:p>
            <w:pPr>
              <w:pStyle w:val="Compact"/>
              <w:jc w:val="right"/>
            </w:pPr>
            <w:r>
              <w:t xml:space="preserve">7</w:t>
            </w:r>
          </w:p>
        </w:tc>
        <w:tc>
          <w:tcPr/>
          <w:p>
            <w:pPr>
              <w:pStyle w:val="Compact"/>
            </w:pPr>
            <w:r>
              <w:rPr>
                <w:rFonts w:hint="eastAsia"/>
              </w:rPr>
              <w:t xml:space="preserve">源杰科技(688498)</w:t>
            </w:r>
          </w:p>
        </w:tc>
        <w:tc>
          <w:tcPr/>
          <w:p>
            <w:pPr>
              <w:pStyle w:val="Compact"/>
              <w:jc w:val="right"/>
            </w:pPr>
            <w:r>
              <w:rPr>
                <w:rFonts w:hint="eastAsia"/>
              </w:rPr>
              <w:t xml:space="preserve">+80.07亿</w:t>
            </w:r>
          </w:p>
        </w:tc>
      </w:tr>
      <w:tr>
        <w:tc>
          <w:tcPr/>
          <w:p>
            <w:pPr>
              <w:pStyle w:val="Compact"/>
              <w:jc w:val="right"/>
            </w:pPr>
            <w:r>
              <w:t xml:space="preserve">8</w:t>
            </w:r>
          </w:p>
        </w:tc>
        <w:tc>
          <w:tcPr/>
          <w:p>
            <w:pPr>
              <w:pStyle w:val="Compact"/>
            </w:pPr>
            <w:r>
              <w:rPr>
                <w:rFonts w:hint="eastAsia"/>
              </w:rPr>
              <w:t xml:space="preserve">东山精密(002384)</w:t>
            </w:r>
          </w:p>
        </w:tc>
        <w:tc>
          <w:tcPr/>
          <w:p>
            <w:pPr>
              <w:pStyle w:val="Compact"/>
              <w:jc w:val="right"/>
            </w:pPr>
            <w:r>
              <w:rPr>
                <w:rFonts w:hint="eastAsia"/>
              </w:rPr>
              <w:t xml:space="preserve">+80.05亿</w:t>
            </w:r>
          </w:p>
        </w:tc>
      </w:tr>
      <w:tr>
        <w:tc>
          <w:tcPr/>
          <w:p>
            <w:pPr>
              <w:pStyle w:val="Compact"/>
              <w:jc w:val="right"/>
            </w:pPr>
            <w:r>
              <w:t xml:space="preserve">9</w:t>
            </w:r>
          </w:p>
        </w:tc>
        <w:tc>
          <w:tcPr/>
          <w:p>
            <w:pPr>
              <w:pStyle w:val="Compact"/>
            </w:pPr>
            <w:r>
              <w:rPr>
                <w:rFonts w:hint="eastAsia"/>
              </w:rPr>
              <w:t xml:space="preserve">紫光股份(000938)</w:t>
            </w:r>
          </w:p>
        </w:tc>
        <w:tc>
          <w:tcPr/>
          <w:p>
            <w:pPr>
              <w:pStyle w:val="Compact"/>
              <w:jc w:val="right"/>
            </w:pPr>
            <w:r>
              <w:rPr>
                <w:rFonts w:hint="eastAsia"/>
              </w:rPr>
              <w:t xml:space="preserve">+79.50亿</w:t>
            </w:r>
          </w:p>
        </w:tc>
      </w:tr>
      <w:tr>
        <w:tc>
          <w:tcPr/>
          <w:p>
            <w:pPr>
              <w:pStyle w:val="Compact"/>
              <w:jc w:val="right"/>
            </w:pPr>
            <w:r>
              <w:t xml:space="preserve">10</w:t>
            </w:r>
          </w:p>
        </w:tc>
        <w:tc>
          <w:tcPr/>
          <w:p>
            <w:pPr>
              <w:pStyle w:val="Compact"/>
            </w:pPr>
            <w:r>
              <w:rPr>
                <w:rFonts w:hint="eastAsia"/>
              </w:rPr>
              <w:t xml:space="preserve">胜宏科技(300476)</w:t>
            </w:r>
          </w:p>
        </w:tc>
        <w:tc>
          <w:tcPr/>
          <w:p>
            <w:pPr>
              <w:pStyle w:val="Compact"/>
              <w:jc w:val="right"/>
            </w:pPr>
            <w:r>
              <w:rPr>
                <w:rFonts w:hint="eastAsia"/>
              </w:rPr>
              <w:t xml:space="preserve">+78.37亿</w:t>
            </w:r>
          </w:p>
        </w:tc>
      </w:tr>
    </w:tbl>
    <w:p>
      <w:pPr>
        <w:pStyle w:val="BodyText"/>
      </w:pPr>
      <w:r>
        <w:t xml:space="preserve">💡 </w:t>
      </w:r>
      <w:r>
        <w:rPr>
          <w:rFonts w:hint="eastAsia"/>
        </w:rPr>
        <w:t xml:space="preserve">资金解读：</w:t>
      </w:r>
    </w:p>
    <w:p>
      <w:pPr>
        <w:pStyle w:val="Compact"/>
        <w:numPr>
          <w:ilvl w:val="0"/>
          <w:numId w:val="1027"/>
        </w:numPr>
      </w:pPr>
      <w:r>
        <w:rPr>
          <w:rFonts w:hint="eastAsia"/>
        </w:rPr>
        <w:t xml:space="preserve">板块层面，半导体净流出-98.00亿元居首，但个股层面中际旭创、长鑫科技、寒武纪、新易盛等仍大额流入，说明科技不是全面退潮，而是高位内部剧烈分化。</w:t>
      </w:r>
    </w:p>
    <w:p>
      <w:pPr>
        <w:pStyle w:val="Compact"/>
        <w:numPr>
          <w:ilvl w:val="0"/>
          <w:numId w:val="1027"/>
        </w:numPr>
      </w:pPr>
      <w:r>
        <w:rPr>
          <w:rFonts w:hint="eastAsia"/>
        </w:rPr>
        <w:t xml:space="preserve">电力、银行Ⅱ、医疗服务、中药Ⅱ承接资金，显示资金从高弹性科技向防御与低位政策方向切换。</w:t>
      </w:r>
    </w:p>
    <w:p>
      <w:pPr>
        <w:pStyle w:val="Compact"/>
        <w:numPr>
          <w:ilvl w:val="0"/>
          <w:numId w:val="1027"/>
        </w:numPr>
      </w:pPr>
      <w:r>
        <w:rPr>
          <w:rFonts w:hint="eastAsia"/>
        </w:rPr>
        <w:t xml:space="preserve">风华高科既是流出个股TOP1，也是TickFlow唯一B级趋势观察股，说明它的技术趋势与资金流存在冲突，今日只能观察资金是否纠偏，不能直接追。</w:t>
      </w:r>
    </w:p>
    <w:p>
      <w:r>
        <w:pict>
          <v:rect style="width:0;height:1.5pt" o:hralign="center" o:hrstd="t" o:hr="t"/>
        </w:pict>
      </w:r>
    </w:p>
    <w:bookmarkEnd w:id="32"/>
    <w:bookmarkEnd w:id="33"/>
    <w:bookmarkStart w:id="38" w:name="两融宽基etf成交额恐慌联合信号"/>
    <w:p>
      <w:pPr>
        <w:pStyle w:val="Heading2"/>
      </w:pPr>
      <w:r>
        <w:t xml:space="preserve">💧 </w:t>
      </w:r>
      <w:r>
        <w:rPr>
          <w:rFonts w:hint="eastAsia"/>
        </w:rPr>
        <w:t xml:space="preserve">两融·宽基ETF·成交额·恐慌联合信号</w:t>
      </w:r>
    </w:p>
    <w:bookmarkStart w:id="34" w:name="两融余额t1滞后报告日当日两融尚未发布"/>
    <w:p>
      <w:pPr>
        <w:pStyle w:val="Heading3"/>
      </w:pPr>
      <w:r>
        <w:t xml:space="preserve">💰 </w:t>
      </w:r>
      <w:r>
        <w:rPr>
          <w:rFonts w:hint="eastAsia"/>
        </w:rPr>
        <w:t xml:space="preserve">两融余额：T+1滞后，报告日当日两融尚未发布</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项目</w:t>
            </w:r>
          </w:p>
        </w:tc>
        <w:tc>
          <w:tcPr/>
          <w:p>
            <w:pPr>
              <w:pStyle w:val="Compact"/>
              <w:jc w:val="right"/>
            </w:pPr>
            <w:r>
              <w:rPr>
                <w:rFonts w:hint="eastAsia"/>
              </w:rPr>
              <w:t xml:space="preserve">最新结算日</w:t>
            </w:r>
            <w:r>
              <w:t xml:space="preserve"> 2026-08-12</w:t>
            </w:r>
          </w:p>
        </w:tc>
        <w:tc>
          <w:tcPr/>
          <w:p>
            <w:pPr>
              <w:pStyle w:val="Compact"/>
              <w:jc w:val="right"/>
            </w:pPr>
            <w:r>
              <w:rPr>
                <w:rFonts w:hint="eastAsia"/>
              </w:rPr>
              <w:t xml:space="preserve">前一结算日</w:t>
            </w:r>
            <w:r>
              <w:t xml:space="preserve"> 2026-08-11</w:t>
            </w:r>
          </w:p>
        </w:tc>
        <w:tc>
          <w:tcPr/>
          <w:p>
            <w:pPr>
              <w:pStyle w:val="Compact"/>
              <w:jc w:val="right"/>
            </w:pPr>
            <w:r>
              <w:rPr>
                <w:rFonts w:hint="eastAsia"/>
              </w:rPr>
              <w:t xml:space="preserve">变化</w:t>
            </w:r>
          </w:p>
        </w:tc>
      </w:tr>
      <w:tr>
        <w:tc>
          <w:tcPr/>
          <w:p>
            <w:pPr>
              <w:pStyle w:val="Compact"/>
            </w:pPr>
            <w:r>
              <w:rPr>
                <w:rFonts w:hint="eastAsia"/>
              </w:rPr>
              <w:t xml:space="preserve">两融余额</w:t>
            </w:r>
          </w:p>
        </w:tc>
        <w:tc>
          <w:tcPr/>
          <w:p>
            <w:pPr>
              <w:pStyle w:val="Compact"/>
              <w:jc w:val="right"/>
            </w:pPr>
            <w:r>
              <w:rPr>
                <w:rFonts w:hint="eastAsia"/>
              </w:rPr>
              <w:t xml:space="preserve">26731.7285亿元</w:t>
            </w:r>
          </w:p>
        </w:tc>
        <w:tc>
          <w:tcPr/>
          <w:p>
            <w:pPr>
              <w:pStyle w:val="Compact"/>
              <w:jc w:val="right"/>
            </w:pPr>
            <w:r>
              <w:rPr>
                <w:rFonts w:hint="eastAsia"/>
              </w:rPr>
              <w:t xml:space="preserve">26633.2913亿元</w:t>
            </w:r>
          </w:p>
        </w:tc>
        <w:tc>
          <w:tcPr/>
          <w:p>
            <w:pPr>
              <w:pStyle w:val="Compact"/>
              <w:jc w:val="right"/>
            </w:pPr>
            <w:r>
              <w:rPr>
                <w:rFonts w:hint="eastAsia"/>
              </w:rPr>
              <w:t xml:space="preserve">+98.4371亿元</w:t>
            </w:r>
          </w:p>
        </w:tc>
      </w:tr>
      <w:tr>
        <w:tc>
          <w:tcPr/>
          <w:p>
            <w:pPr>
              <w:pStyle w:val="Compact"/>
            </w:pPr>
            <w:r>
              <w:rPr>
                <w:rFonts w:hint="eastAsia"/>
              </w:rPr>
              <w:t xml:space="preserve">融资余额</w:t>
            </w:r>
          </w:p>
        </w:tc>
        <w:tc>
          <w:tcPr/>
          <w:p>
            <w:pPr>
              <w:pStyle w:val="Compact"/>
              <w:jc w:val="right"/>
            </w:pPr>
            <w:r>
              <w:rPr>
                <w:rFonts w:hint="eastAsia"/>
              </w:rPr>
              <w:t xml:space="preserve">26473.8328亿元</w:t>
            </w:r>
          </w:p>
        </w:tc>
        <w:tc>
          <w:tcPr/>
          <w:p>
            <w:pPr>
              <w:pStyle w:val="Compact"/>
              <w:jc w:val="right"/>
            </w:pPr>
            <w:r>
              <w:rPr>
                <w:rFonts w:hint="eastAsia"/>
              </w:rPr>
              <w:t xml:space="preserve">26379.2022亿元</w:t>
            </w:r>
          </w:p>
        </w:tc>
        <w:tc>
          <w:tcPr/>
          <w:p>
            <w:pPr>
              <w:pStyle w:val="Compact"/>
              <w:jc w:val="right"/>
            </w:pPr>
            <w:r>
              <w:rPr>
                <w:rFonts w:hint="eastAsia"/>
              </w:rPr>
              <w:t xml:space="preserve">+94.6306亿元</w:t>
            </w:r>
          </w:p>
        </w:tc>
      </w:tr>
      <w:tr>
        <w:tc>
          <w:tcPr/>
          <w:p>
            <w:pPr>
              <w:pStyle w:val="Compact"/>
            </w:pPr>
            <w:r>
              <w:rPr>
                <w:rFonts w:hint="eastAsia"/>
              </w:rPr>
              <w:t xml:space="preserve">融券余额</w:t>
            </w:r>
          </w:p>
        </w:tc>
        <w:tc>
          <w:tcPr/>
          <w:p>
            <w:pPr>
              <w:pStyle w:val="Compact"/>
              <w:jc w:val="right"/>
            </w:pPr>
            <w:r>
              <w:rPr>
                <w:rFonts w:hint="eastAsia"/>
              </w:rPr>
              <w:t xml:space="preserve">257.8957亿元</w:t>
            </w:r>
          </w:p>
        </w:tc>
        <w:tc>
          <w:tcPr/>
          <w:p>
            <w:pPr>
              <w:pStyle w:val="Compact"/>
              <w:jc w:val="right"/>
            </w:pPr>
            <w:r>
              <w:rPr>
                <w:rFonts w:hint="eastAsia"/>
              </w:rPr>
              <w:t xml:space="preserve">254.0891亿元</w:t>
            </w:r>
          </w:p>
        </w:tc>
        <w:tc>
          <w:tcPr/>
          <w:p>
            <w:pPr>
              <w:pStyle w:val="Compact"/>
              <w:jc w:val="right"/>
            </w:pPr>
            <w:r>
              <w:rPr>
                <w:rFonts w:hint="eastAsia"/>
              </w:rPr>
              <w:t xml:space="preserve">+3.8066亿元</w:t>
            </w:r>
          </w:p>
        </w:tc>
      </w:tr>
    </w:tbl>
    <w:p>
      <w:pPr>
        <w:pStyle w:val="BodyText"/>
      </w:pPr>
      <w:r>
        <w:t xml:space="preserve">📌 </w:t>
      </w:r>
      <w:r>
        <w:rPr>
          <w:rFonts w:hint="eastAsia"/>
        </w:rPr>
        <w:t xml:space="preserve">解读：</w:t>
      </w:r>
    </w:p>
    <w:p>
      <w:pPr>
        <w:pStyle w:val="Compact"/>
        <w:numPr>
          <w:ilvl w:val="0"/>
          <w:numId w:val="1028"/>
        </w:numPr>
      </w:pPr>
      <w:r>
        <w:rPr>
          <w:rFonts w:hint="eastAsia"/>
        </w:rPr>
        <w:t xml:space="preserve">最新实际结算日为2026-08-12，早于报告日2026-08-14。</w:t>
      </w:r>
    </w:p>
    <w:p>
      <w:pPr>
        <w:pStyle w:val="Compact"/>
        <w:numPr>
          <w:ilvl w:val="0"/>
          <w:numId w:val="1028"/>
        </w:numPr>
      </w:pPr>
      <w:r>
        <w:rPr>
          <w:rFonts w:hint="eastAsia"/>
        </w:rPr>
        <w:t xml:space="preserve">T+1滞后，报告日当日两融尚未发布。</w:t>
      </w:r>
    </w:p>
    <w:p>
      <w:pPr>
        <w:pStyle w:val="Compact"/>
        <w:numPr>
          <w:ilvl w:val="0"/>
          <w:numId w:val="1028"/>
        </w:numPr>
      </w:pPr>
      <w:r>
        <w:rPr>
          <w:rFonts w:hint="eastAsia"/>
        </w:rPr>
        <w:t xml:space="preserve">本轮两融增加主要由融资余额增加驱动，融资增加+94.6306亿元，占两融增量的主要部分。</w:t>
      </w:r>
    </w:p>
    <w:p>
      <w:pPr>
        <w:pStyle w:val="Compact"/>
        <w:numPr>
          <w:ilvl w:val="0"/>
          <w:numId w:val="1028"/>
        </w:numPr>
      </w:pPr>
      <w:r>
        <w:rPr>
          <w:rFonts w:hint="eastAsia"/>
        </w:rPr>
        <w:t xml:space="preserve">杠杆风险偏好仍在抬升，但上一交易日市场宽度弱，若杠杆资金集中在高位科技，分歧扩大时会放大波动。</w:t>
      </w:r>
    </w:p>
    <w:bookmarkEnd w:id="34"/>
    <w:bookmarkStart w:id="35" w:name="宽基etf份额未出现连续流入"/>
    <w:p>
      <w:pPr>
        <w:pStyle w:val="Heading3"/>
      </w:pPr>
      <w:r>
        <w:t xml:space="preserve">💧 </w:t>
      </w:r>
      <w:r>
        <w:rPr>
          <w:rFonts w:hint="eastAsia"/>
        </w:rPr>
        <w:t xml:space="preserve">宽基ETF份额：未出现连续流入</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ETF</w:t>
            </w:r>
          </w:p>
        </w:tc>
        <w:tc>
          <w:tcPr/>
          <w:p>
            <w:pPr>
              <w:pStyle w:val="Compact"/>
            </w:pPr>
            <w:r>
              <w:rPr>
                <w:rFonts w:hint="eastAsia"/>
              </w:rPr>
              <w:t xml:space="preserve">最新日期</w:t>
            </w:r>
          </w:p>
        </w:tc>
        <w:tc>
          <w:tcPr/>
          <w:p>
            <w:pPr>
              <w:pStyle w:val="Compact"/>
              <w:jc w:val="right"/>
            </w:pPr>
            <w:r>
              <w:rPr>
                <w:rFonts w:hint="eastAsia"/>
              </w:rPr>
              <w:t xml:space="preserve">最新份额变化</w:t>
            </w:r>
          </w:p>
        </w:tc>
        <w:tc>
          <w:tcPr/>
          <w:p>
            <w:pPr>
              <w:pStyle w:val="Compact"/>
              <w:jc w:val="right"/>
            </w:pPr>
            <w:r>
              <w:rPr>
                <w:rFonts w:hint="eastAsia"/>
              </w:rPr>
              <w:t xml:space="preserve">估算净申购</w:t>
            </w:r>
          </w:p>
        </w:tc>
        <w:tc>
          <w:tcPr/>
          <w:p>
            <w:pPr>
              <w:pStyle w:val="Compact"/>
            </w:pPr>
            <w:r>
              <w:rPr>
                <w:rFonts w:hint="eastAsia"/>
              </w:rPr>
              <w:t xml:space="preserve">连续流入</w:t>
            </w:r>
          </w:p>
        </w:tc>
      </w:tr>
      <w:tr>
        <w:tc>
          <w:tcPr/>
          <w:p>
            <w:pPr>
              <w:pStyle w:val="Compact"/>
            </w:pPr>
            <w:r>
              <w:rPr>
                <w:rFonts w:hint="eastAsia"/>
              </w:rPr>
              <w:t xml:space="preserve">上证50ETF</w:t>
            </w:r>
          </w:p>
        </w:tc>
        <w:tc>
          <w:tcPr/>
          <w:p>
            <w:pPr>
              <w:pStyle w:val="Compact"/>
            </w:pPr>
            <w:r>
              <w:t xml:space="preserve">2026-08-13</w:t>
            </w:r>
          </w:p>
        </w:tc>
        <w:tc>
          <w:tcPr/>
          <w:p>
            <w:pPr>
              <w:pStyle w:val="Compact"/>
              <w:jc w:val="right"/>
            </w:pPr>
            <w:r>
              <w:rPr>
                <w:rFonts w:hint="eastAsia"/>
              </w:rPr>
              <w:t xml:space="preserve">-3780万份</w:t>
            </w:r>
          </w:p>
        </w:tc>
        <w:tc>
          <w:tcPr/>
          <w:p>
            <w:pPr>
              <w:pStyle w:val="Compact"/>
              <w:jc w:val="right"/>
            </w:pPr>
            <w:r>
              <w:rPr>
                <w:rFonts w:hint="eastAsia"/>
              </w:rPr>
              <w:t xml:space="preserve">未核验</w:t>
            </w:r>
          </w:p>
        </w:tc>
        <w:tc>
          <w:tcPr/>
          <w:p>
            <w:pPr>
              <w:pStyle w:val="Compact"/>
            </w:pPr>
            <w:r>
              <w:rPr>
                <w:rFonts w:hint="eastAsia"/>
              </w:rPr>
              <w:t xml:space="preserve">否</w:t>
            </w:r>
          </w:p>
        </w:tc>
      </w:tr>
      <w:tr>
        <w:tc>
          <w:tcPr/>
          <w:p>
            <w:pPr>
              <w:pStyle w:val="Compact"/>
            </w:pPr>
            <w:r>
              <w:rPr>
                <w:rFonts w:hint="eastAsia"/>
              </w:rPr>
              <w:t xml:space="preserve">沪深300ETF</w:t>
            </w:r>
          </w:p>
        </w:tc>
        <w:tc>
          <w:tcPr/>
          <w:p>
            <w:pPr>
              <w:pStyle w:val="Compact"/>
            </w:pPr>
            <w:r>
              <w:t xml:space="preserve">2026-08-13</w:t>
            </w:r>
          </w:p>
        </w:tc>
        <w:tc>
          <w:tcPr/>
          <w:p>
            <w:pPr>
              <w:pStyle w:val="Compact"/>
              <w:jc w:val="right"/>
            </w:pPr>
            <w:r>
              <w:rPr>
                <w:rFonts w:hint="eastAsia"/>
              </w:rPr>
              <w:t xml:space="preserve">-48960万份</w:t>
            </w:r>
          </w:p>
        </w:tc>
        <w:tc>
          <w:tcPr/>
          <w:p>
            <w:pPr>
              <w:pStyle w:val="Compact"/>
              <w:jc w:val="right"/>
            </w:pPr>
            <w:r>
              <w:rPr>
                <w:rFonts w:hint="eastAsia"/>
              </w:rPr>
              <w:t xml:space="preserve">-23.1532亿元</w:t>
            </w:r>
          </w:p>
        </w:tc>
        <w:tc>
          <w:tcPr/>
          <w:p>
            <w:pPr>
              <w:pStyle w:val="Compact"/>
            </w:pPr>
            <w:r>
              <w:rPr>
                <w:rFonts w:hint="eastAsia"/>
              </w:rPr>
              <w:t xml:space="preserve">否</w:t>
            </w:r>
          </w:p>
        </w:tc>
      </w:tr>
      <w:tr>
        <w:tc>
          <w:tcPr/>
          <w:p>
            <w:pPr>
              <w:pStyle w:val="Compact"/>
            </w:pPr>
            <w:r>
              <w:rPr>
                <w:rFonts w:hint="eastAsia"/>
              </w:rPr>
              <w:t xml:space="preserve">中证500ETF</w:t>
            </w:r>
          </w:p>
        </w:tc>
        <w:tc>
          <w:tcPr/>
          <w:p>
            <w:pPr>
              <w:pStyle w:val="Compact"/>
            </w:pPr>
            <w:r>
              <w:t xml:space="preserve">2026-08-13</w:t>
            </w:r>
          </w:p>
        </w:tc>
        <w:tc>
          <w:tcPr/>
          <w:p>
            <w:pPr>
              <w:pStyle w:val="Compact"/>
              <w:jc w:val="right"/>
            </w:pPr>
            <w:r>
              <w:rPr>
                <w:rFonts w:hint="eastAsia"/>
              </w:rPr>
              <w:t xml:space="preserve">-12840万份</w:t>
            </w:r>
          </w:p>
        </w:tc>
        <w:tc>
          <w:tcPr/>
          <w:p>
            <w:pPr>
              <w:pStyle w:val="Compact"/>
              <w:jc w:val="right"/>
            </w:pPr>
            <w:r>
              <w:rPr>
                <w:rFonts w:hint="eastAsia"/>
              </w:rPr>
              <w:t xml:space="preserve">未核验</w:t>
            </w:r>
          </w:p>
        </w:tc>
        <w:tc>
          <w:tcPr/>
          <w:p>
            <w:pPr>
              <w:pStyle w:val="Compact"/>
            </w:pPr>
            <w:r>
              <w:rPr>
                <w:rFonts w:hint="eastAsia"/>
              </w:rPr>
              <w:t xml:space="preserve">否</w:t>
            </w:r>
          </w:p>
        </w:tc>
      </w:tr>
      <w:tr>
        <w:tc>
          <w:tcPr/>
          <w:p>
            <w:pPr>
              <w:pStyle w:val="Compact"/>
            </w:pPr>
            <w:r>
              <w:rPr>
                <w:rFonts w:hint="eastAsia"/>
              </w:rPr>
              <w:t xml:space="preserve">科创50ETF</w:t>
            </w:r>
          </w:p>
        </w:tc>
        <w:tc>
          <w:tcPr/>
          <w:p>
            <w:pPr>
              <w:pStyle w:val="Compact"/>
            </w:pPr>
            <w:r>
              <w:t xml:space="preserve">2026-08-13</w:t>
            </w:r>
          </w:p>
        </w:tc>
        <w:tc>
          <w:tcPr/>
          <w:p>
            <w:pPr>
              <w:pStyle w:val="Compact"/>
              <w:jc w:val="right"/>
            </w:pPr>
            <w:r>
              <w:rPr>
                <w:rFonts w:hint="eastAsia"/>
              </w:rPr>
              <w:t xml:space="preserve">-39000万份</w:t>
            </w:r>
          </w:p>
        </w:tc>
        <w:tc>
          <w:tcPr/>
          <w:p>
            <w:pPr>
              <w:pStyle w:val="Compact"/>
              <w:jc w:val="right"/>
            </w:pPr>
            <w:r>
              <w:rPr>
                <w:rFonts w:hint="eastAsia"/>
              </w:rPr>
              <w:t xml:space="preserve">-7.0668亿元</w:t>
            </w:r>
          </w:p>
        </w:tc>
        <w:tc>
          <w:tcPr/>
          <w:p>
            <w:pPr>
              <w:pStyle w:val="Compact"/>
            </w:pPr>
            <w:r>
              <w:rPr>
                <w:rFonts w:hint="eastAsia"/>
              </w:rPr>
              <w:t xml:space="preserve">否</w:t>
            </w:r>
          </w:p>
        </w:tc>
      </w:tr>
      <w:tr>
        <w:tc>
          <w:tcPr/>
          <w:p>
            <w:pPr>
              <w:pStyle w:val="Compact"/>
            </w:pPr>
            <w:r>
              <w:rPr>
                <w:rFonts w:hint="eastAsia"/>
              </w:rPr>
              <w:t xml:space="preserve">科创板50ETF</w:t>
            </w:r>
          </w:p>
        </w:tc>
        <w:tc>
          <w:tcPr/>
          <w:p>
            <w:pPr>
              <w:pStyle w:val="Compact"/>
            </w:pPr>
            <w:r>
              <w:t xml:space="preserve">2026-08-13</w:t>
            </w:r>
          </w:p>
        </w:tc>
        <w:tc>
          <w:tcPr/>
          <w:p>
            <w:pPr>
              <w:pStyle w:val="Compact"/>
              <w:jc w:val="right"/>
            </w:pPr>
            <w:r>
              <w:rPr>
                <w:rFonts w:hint="eastAsia"/>
              </w:rPr>
              <w:t xml:space="preserve">-9600万份</w:t>
            </w:r>
          </w:p>
        </w:tc>
        <w:tc>
          <w:tcPr/>
          <w:p>
            <w:pPr>
              <w:pStyle w:val="Compact"/>
              <w:jc w:val="right"/>
            </w:pPr>
            <w:r>
              <w:rPr>
                <w:rFonts w:hint="eastAsia"/>
              </w:rPr>
              <w:t xml:space="preserve">未核验</w:t>
            </w:r>
          </w:p>
        </w:tc>
        <w:tc>
          <w:tcPr/>
          <w:p>
            <w:pPr>
              <w:pStyle w:val="Compact"/>
            </w:pPr>
            <w:r>
              <w:rPr>
                <w:rFonts w:hint="eastAsia"/>
              </w:rPr>
              <w:t xml:space="preserve">否</w:t>
            </w:r>
          </w:p>
        </w:tc>
      </w:tr>
    </w:tbl>
    <w:p>
      <w:pPr>
        <w:pStyle w:val="BodyText"/>
      </w:pPr>
      <w:r>
        <w:t xml:space="preserve">📌 </w:t>
      </w:r>
      <w:r>
        <w:rPr>
          <w:rFonts w:hint="eastAsia"/>
        </w:rPr>
        <w:t xml:space="preserve">解读：</w:t>
      </w:r>
    </w:p>
    <w:p>
      <w:pPr>
        <w:pStyle w:val="Compact"/>
        <w:numPr>
          <w:ilvl w:val="0"/>
          <w:numId w:val="1029"/>
        </w:numPr>
      </w:pPr>
      <w:r>
        <w:rPr>
          <w:rFonts w:hint="eastAsia"/>
        </w:rPr>
        <w:t xml:space="preserve">连续流入宽基ETF数量为0。</w:t>
      </w:r>
    </w:p>
    <w:p>
      <w:pPr>
        <w:pStyle w:val="Compact"/>
        <w:numPr>
          <w:ilvl w:val="0"/>
          <w:numId w:val="1029"/>
        </w:numPr>
      </w:pPr>
      <w:r>
        <w:rPr>
          <w:rFonts w:hint="eastAsia"/>
        </w:rPr>
        <w:t xml:space="preserve">沪深300ETF与科创50ETF均为份额减少，说明被动资金没有确认回流。</w:t>
      </w:r>
    </w:p>
    <w:p>
      <w:pPr>
        <w:pStyle w:val="Compact"/>
        <w:numPr>
          <w:ilvl w:val="0"/>
          <w:numId w:val="1029"/>
        </w:numPr>
      </w:pPr>
      <w:r>
        <w:rPr>
          <w:rFonts w:hint="eastAsia"/>
        </w:rPr>
        <w:t xml:space="preserve">宽基ETF未形成托底确认，指数反弹仍需要盘中资金重新验证。</w:t>
      </w:r>
    </w:p>
    <w:bookmarkEnd w:id="35"/>
    <w:bookmarkStart w:id="36" w:name="成交额质量显著放量但不是健康普涨"/>
    <w:p>
      <w:pPr>
        <w:pStyle w:val="Heading3"/>
      </w:pPr>
      <w:r>
        <w:t xml:space="preserve">📊 </w:t>
      </w:r>
      <w:r>
        <w:rPr>
          <w:rFonts w:hint="eastAsia"/>
        </w:rPr>
        <w:t xml:space="preserve">成交额质量：显著放量但不是健康普涨</w:t>
      </w:r>
    </w:p>
    <w:p>
      <w:pPr>
        <w:pStyle w:val="Compact"/>
        <w:numPr>
          <w:ilvl w:val="0"/>
          <w:numId w:val="1030"/>
        </w:numPr>
      </w:pPr>
      <w:r>
        <w:rPr>
          <w:rFonts w:hint="eastAsia"/>
        </w:rPr>
        <w:t xml:space="preserve">上一交易日成交额：25679.77亿元</w:t>
      </w:r>
    </w:p>
    <w:p>
      <w:pPr>
        <w:pStyle w:val="Compact"/>
        <w:numPr>
          <w:ilvl w:val="0"/>
          <w:numId w:val="1030"/>
        </w:numPr>
      </w:pPr>
      <w:r>
        <w:rPr>
          <w:rFonts w:hint="eastAsia"/>
        </w:rPr>
        <w:t xml:space="preserve">前一交易日成交额：21671.62亿元</w:t>
      </w:r>
    </w:p>
    <w:p>
      <w:pPr>
        <w:pStyle w:val="Compact"/>
        <w:numPr>
          <w:ilvl w:val="0"/>
          <w:numId w:val="1030"/>
        </w:numPr>
      </w:pPr>
      <w:r>
        <w:rPr>
          <w:rFonts w:hint="eastAsia"/>
        </w:rPr>
        <w:t xml:space="preserve">成交额变化：+4008.15亿元</w:t>
      </w:r>
    </w:p>
    <w:p>
      <w:pPr>
        <w:pStyle w:val="Compact"/>
        <w:numPr>
          <w:ilvl w:val="0"/>
          <w:numId w:val="1030"/>
        </w:numPr>
      </w:pPr>
      <w:r>
        <w:rPr>
          <w:rFonts w:hint="eastAsia"/>
        </w:rPr>
        <w:t xml:space="preserve">成交额变化幅度：+18.49%</w:t>
      </w:r>
    </w:p>
    <w:p>
      <w:pPr>
        <w:pStyle w:val="Compact"/>
        <w:numPr>
          <w:ilvl w:val="0"/>
          <w:numId w:val="1030"/>
        </w:numPr>
      </w:pPr>
      <w:r>
        <w:rPr>
          <w:rFonts w:hint="eastAsia"/>
        </w:rPr>
        <w:t xml:space="preserve">状态：显著放量</w:t>
      </w:r>
    </w:p>
    <w:p>
      <w:pPr>
        <w:pStyle w:val="FirstParagraph"/>
      </w:pPr>
      <w:r>
        <w:t xml:space="preserve">📌 </w:t>
      </w:r>
      <w:r>
        <w:rPr>
          <w:rFonts w:hint="eastAsia"/>
        </w:rPr>
        <w:t xml:space="preserve">解读：</w:t>
      </w:r>
    </w:p>
    <w:p>
      <w:pPr>
        <w:pStyle w:val="Compact"/>
        <w:numPr>
          <w:ilvl w:val="0"/>
          <w:numId w:val="1031"/>
        </w:numPr>
      </w:pPr>
      <w:r>
        <w:rPr>
          <w:rFonts w:hint="eastAsia"/>
        </w:rPr>
        <w:t xml:space="preserve">放量本身是加分项，但配合上涨1142家、下跌4317家，属于“放量分歧”而不是“放量普涨”。</w:t>
      </w:r>
    </w:p>
    <w:p>
      <w:pPr>
        <w:pStyle w:val="Compact"/>
        <w:numPr>
          <w:ilvl w:val="0"/>
          <w:numId w:val="1031"/>
        </w:numPr>
      </w:pPr>
      <w:r>
        <w:rPr>
          <w:rFonts w:hint="eastAsia"/>
        </w:rPr>
        <w:t xml:space="preserve">若今日指数高开但涨跌比不能回到1以上，放量会被解读为高位筹码继续派发。</w:t>
      </w:r>
    </w:p>
    <w:bookmarkEnd w:id="36"/>
    <w:bookmarkStart w:id="37" w:name="恐慌代理300etf-qvix降温但联合信号未确认"/>
    <w:p>
      <w:pPr>
        <w:pStyle w:val="Heading3"/>
      </w:pPr>
      <w:r>
        <w:t xml:space="preserve">⚠️ </w:t>
      </w:r>
      <w:r>
        <w:rPr>
          <w:rFonts w:hint="eastAsia"/>
        </w:rPr>
        <w:t xml:space="preserve">恐慌代理：300ETF</w:t>
      </w:r>
      <w:r>
        <w:t xml:space="preserve"> </w:t>
      </w:r>
      <w:r>
        <w:rPr>
          <w:rFonts w:hint="eastAsia"/>
        </w:rPr>
        <w:t xml:space="preserve">QVIX降温，但联合信号未确认</w:t>
      </w:r>
    </w:p>
    <w:p>
      <w:pPr>
        <w:pStyle w:val="Compact"/>
        <w:numPr>
          <w:ilvl w:val="0"/>
          <w:numId w:val="1032"/>
        </w:numPr>
      </w:pPr>
      <w:r>
        <w:t xml:space="preserve">300ETF </w:t>
      </w:r>
      <w:r>
        <w:rPr>
          <w:rFonts w:hint="eastAsia"/>
        </w:rPr>
        <w:t xml:space="preserve">QVIX最新结算值：19.57</w:t>
      </w:r>
    </w:p>
    <w:p>
      <w:pPr>
        <w:pStyle w:val="Compact"/>
        <w:numPr>
          <w:ilvl w:val="0"/>
          <w:numId w:val="1032"/>
        </w:numPr>
      </w:pPr>
      <w:r>
        <w:rPr>
          <w:rFonts w:hint="eastAsia"/>
        </w:rPr>
        <w:t xml:space="preserve">前收盘：19.59</w:t>
      </w:r>
    </w:p>
    <w:p>
      <w:pPr>
        <w:pStyle w:val="Compact"/>
        <w:numPr>
          <w:ilvl w:val="0"/>
          <w:numId w:val="1032"/>
        </w:numPr>
      </w:pPr>
      <w:r>
        <w:rPr>
          <w:rFonts w:hint="eastAsia"/>
        </w:rPr>
        <w:t xml:space="preserve">变化：-0.02</w:t>
      </w:r>
    </w:p>
    <w:p>
      <w:pPr>
        <w:pStyle w:val="Compact"/>
        <w:numPr>
          <w:ilvl w:val="0"/>
          <w:numId w:val="1032"/>
        </w:numPr>
      </w:pPr>
      <w:r>
        <w:rPr>
          <w:rFonts w:hint="eastAsia"/>
        </w:rPr>
        <w:t xml:space="preserve">较20日峰值28.39回落：31.0673%</w:t>
      </w:r>
    </w:p>
    <w:p>
      <w:pPr>
        <w:pStyle w:val="Compact"/>
        <w:numPr>
          <w:ilvl w:val="0"/>
          <w:numId w:val="1032"/>
        </w:numPr>
      </w:pPr>
      <w:r>
        <w:rPr>
          <w:rFonts w:hint="eastAsia"/>
        </w:rPr>
        <w:t xml:space="preserve">恐慌高位降温：是</w:t>
      </w:r>
    </w:p>
    <w:p>
      <w:pPr>
        <w:pStyle w:val="FirstParagraph"/>
      </w:pPr>
      <w:r>
        <w:t xml:space="preserve">📌 </w:t>
      </w:r>
      <w:r>
        <w:rPr>
          <w:rFonts w:hint="eastAsia"/>
        </w:rPr>
        <w:t xml:space="preserve">联合信号结论：</w:t>
      </w:r>
    </w:p>
    <w:p>
      <w:pPr>
        <w:pStyle w:val="Compact"/>
        <w:numPr>
          <w:ilvl w:val="0"/>
          <w:numId w:val="1033"/>
        </w:numPr>
      </w:pPr>
      <w:r>
        <w:t xml:space="preserve">derived.liquidity_panic_signal.status = not_confirmed。</w:t>
      </w:r>
    </w:p>
    <w:p>
      <w:pPr>
        <w:pStyle w:val="Compact"/>
        <w:numPr>
          <w:ilvl w:val="0"/>
          <w:numId w:val="1033"/>
        </w:numPr>
      </w:pPr>
      <w:r>
        <w:rPr>
          <w:rFonts w:hint="eastAsia"/>
        </w:rPr>
        <w:t xml:space="preserve">恐慌降温已出现，但宽基ETF连续流入未出现。</w:t>
      </w:r>
    </w:p>
    <w:p>
      <w:pPr>
        <w:pStyle w:val="Compact"/>
        <w:numPr>
          <w:ilvl w:val="0"/>
          <w:numId w:val="1033"/>
        </w:numPr>
      </w:pPr>
      <w:r>
        <w:rPr>
          <w:rFonts w:hint="eastAsia"/>
        </w:rPr>
        <w:t xml:space="preserve">因此不能写“恐慌高位降温且宽基ETF持续流入已确认”。</w:t>
      </w:r>
    </w:p>
    <w:p>
      <w:pPr>
        <w:pStyle w:val="Compact"/>
        <w:numPr>
          <w:ilvl w:val="0"/>
          <w:numId w:val="1033"/>
        </w:numPr>
      </w:pPr>
      <w:r>
        <w:rPr>
          <w:rFonts w:hint="eastAsia"/>
        </w:rPr>
        <w:t xml:space="preserve">当前只能定义为：恐慌降温单项成立，宽基ETF回流未确认，联合信号未确认。</w:t>
      </w:r>
    </w:p>
    <w:p>
      <w:r>
        <w:pict>
          <v:rect style="width:0;height:1.5pt" o:hralign="center" o:hrstd="t" o:hr="t"/>
        </w:pict>
      </w:r>
    </w:p>
    <w:bookmarkEnd w:id="37"/>
    <w:bookmarkEnd w:id="38"/>
    <w:bookmarkStart w:id="41" w:name="今日操作策略不追高等待分歧转强"/>
    <w:p>
      <w:pPr>
        <w:pStyle w:val="Heading2"/>
      </w:pPr>
      <w:r>
        <w:t xml:space="preserve">💡 </w:t>
      </w:r>
      <w:r>
        <w:rPr>
          <w:rFonts w:hint="eastAsia"/>
        </w:rPr>
        <w:t xml:space="preserve">今日操作策略：不追高，等待分歧转强</w:t>
      </w:r>
    </w:p>
    <w:bookmarkStart w:id="39" w:name="三档仓位"/>
    <w:p>
      <w:pPr>
        <w:pStyle w:val="Heading3"/>
      </w:pPr>
      <w:r>
        <w:rPr>
          <w:rFonts w:hint="eastAsia"/>
        </w:rPr>
        <w:t xml:space="preserve">三档仓位</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风险偏好</w:t>
            </w:r>
          </w:p>
        </w:tc>
        <w:tc>
          <w:tcPr/>
          <w:p>
            <w:pPr>
              <w:pStyle w:val="Compact"/>
              <w:jc w:val="right"/>
            </w:pPr>
            <w:r>
              <w:rPr>
                <w:rFonts w:hint="eastAsia"/>
              </w:rPr>
              <w:t xml:space="preserve">建议仓位</w:t>
            </w:r>
          </w:p>
        </w:tc>
        <w:tc>
          <w:tcPr/>
          <w:p>
            <w:pPr>
              <w:pStyle w:val="Compact"/>
            </w:pPr>
            <w:r>
              <w:rPr>
                <w:rFonts w:hint="eastAsia"/>
              </w:rPr>
              <w:t xml:space="preserve">触发条件</w:t>
            </w:r>
          </w:p>
        </w:tc>
      </w:tr>
      <w:tr>
        <w:tc>
          <w:tcPr/>
          <w:p>
            <w:pPr>
              <w:pStyle w:val="Compact"/>
            </w:pPr>
            <w:r>
              <w:rPr>
                <w:rFonts w:hint="eastAsia"/>
              </w:rPr>
              <w:t xml:space="preserve">保守</w:t>
            </w:r>
          </w:p>
        </w:tc>
        <w:tc>
          <w:tcPr/>
          <w:p>
            <w:pPr>
              <w:pStyle w:val="Compact"/>
              <w:jc w:val="right"/>
            </w:pPr>
            <w:r>
              <w:t xml:space="preserve">18%</w:t>
            </w:r>
          </w:p>
        </w:tc>
        <w:tc>
          <w:tcPr/>
          <w:p>
            <w:pPr>
              <w:pStyle w:val="Compact"/>
            </w:pPr>
            <w:r>
              <w:rPr>
                <w:rFonts w:hint="eastAsia"/>
              </w:rPr>
              <w:t xml:space="preserve">指数低开弱修复、涨跌比低于1、科技继续分化</w:t>
            </w:r>
          </w:p>
        </w:tc>
      </w:tr>
      <w:tr>
        <w:tc>
          <w:tcPr/>
          <w:p>
            <w:pPr>
              <w:pStyle w:val="Compact"/>
            </w:pPr>
            <w:r>
              <w:rPr>
                <w:rFonts w:hint="eastAsia"/>
              </w:rPr>
              <w:t xml:space="preserve">均衡</w:t>
            </w:r>
          </w:p>
        </w:tc>
        <w:tc>
          <w:tcPr/>
          <w:p>
            <w:pPr>
              <w:pStyle w:val="Compact"/>
              <w:jc w:val="right"/>
            </w:pPr>
            <w:r>
              <w:t xml:space="preserve">33%</w:t>
            </w:r>
          </w:p>
        </w:tc>
        <w:tc>
          <w:tcPr/>
          <w:p>
            <w:pPr>
              <w:pStyle w:val="Compact"/>
            </w:pPr>
            <w:r>
              <w:rPr>
                <w:rFonts w:hint="eastAsia"/>
              </w:rPr>
              <w:t xml:space="preserve">上证守住3900，涨跌比回升，通信/医药/电力有承接</w:t>
            </w:r>
          </w:p>
        </w:tc>
      </w:tr>
      <w:tr>
        <w:tc>
          <w:tcPr/>
          <w:p>
            <w:pPr>
              <w:pStyle w:val="Compact"/>
            </w:pPr>
            <w:r>
              <w:rPr>
                <w:rFonts w:hint="eastAsia"/>
              </w:rPr>
              <w:t xml:space="preserve">激进</w:t>
            </w:r>
          </w:p>
        </w:tc>
        <w:tc>
          <w:tcPr/>
          <w:p>
            <w:pPr>
              <w:pStyle w:val="Compact"/>
              <w:jc w:val="right"/>
            </w:pPr>
            <w:r>
              <w:t xml:space="preserve">43%</w:t>
            </w:r>
          </w:p>
        </w:tc>
        <w:tc>
          <w:tcPr/>
          <w:p>
            <w:pPr>
              <w:pStyle w:val="Compact"/>
            </w:pPr>
            <w:r>
              <w:rPr>
                <w:rFonts w:hint="eastAsia"/>
              </w:rPr>
              <w:t xml:space="preserve">放量修复，涨跌比回到1以上，核心方向出现分歧转强</w:t>
            </w:r>
          </w:p>
        </w:tc>
      </w:tr>
    </w:tbl>
    <w:p>
      <w:pPr>
        <w:pStyle w:val="BodyText"/>
      </w:pPr>
      <w:r>
        <w:t xml:space="preserve">📌 </w:t>
      </w:r>
      <w:r>
        <w:rPr>
          <w:rFonts w:hint="eastAsia"/>
        </w:rPr>
        <w:t xml:space="preserve">上限约束：</w:t>
      </w:r>
    </w:p>
    <w:p>
      <w:pPr>
        <w:pStyle w:val="Compact"/>
        <w:numPr>
          <w:ilvl w:val="0"/>
          <w:numId w:val="1034"/>
        </w:numPr>
      </w:pPr>
      <w:r>
        <w:rPr>
          <w:rFonts w:hint="eastAsia"/>
        </w:rPr>
        <w:t xml:space="preserve">仓位模型给出max_position_pct=50%。</w:t>
      </w:r>
    </w:p>
    <w:p>
      <w:pPr>
        <w:pStyle w:val="Compact"/>
        <w:numPr>
          <w:ilvl w:val="0"/>
          <w:numId w:val="1034"/>
        </w:numPr>
      </w:pPr>
      <w:r>
        <w:rPr>
          <w:rFonts w:hint="eastAsia"/>
        </w:rPr>
        <w:t xml:space="preserve">由于宽基ETF连续流入未确认，科技高位TickFlow多数D级，不建议突破50%。</w:t>
      </w:r>
    </w:p>
    <w:p>
      <w:pPr>
        <w:pStyle w:val="Compact"/>
        <w:numPr>
          <w:ilvl w:val="0"/>
          <w:numId w:val="1034"/>
        </w:numPr>
      </w:pPr>
      <w:r>
        <w:rPr>
          <w:rFonts w:hint="eastAsia"/>
        </w:rPr>
        <w:t xml:space="preserve">今日首要任务不是进攻，而是确认昨日放量分歧后是否修复。</w:t>
      </w:r>
    </w:p>
    <w:bookmarkEnd w:id="39"/>
    <w:bookmarkStart w:id="40" w:name="盘前执行纪律"/>
    <w:p>
      <w:pPr>
        <w:pStyle w:val="Heading3"/>
      </w:pPr>
      <w:r>
        <w:t xml:space="preserve">💡 </w:t>
      </w:r>
      <w:r>
        <w:rPr>
          <w:rFonts w:hint="eastAsia"/>
        </w:rPr>
        <w:t xml:space="preserve">盘前执行纪律</w:t>
      </w:r>
    </w:p>
    <w:p>
      <w:pPr>
        <w:pStyle w:val="Compact"/>
        <w:numPr>
          <w:ilvl w:val="0"/>
          <w:numId w:val="1035"/>
        </w:numPr>
      </w:pPr>
      <w:r>
        <w:rPr>
          <w:rFonts w:hint="eastAsia"/>
        </w:rPr>
        <w:t xml:space="preserve">不追高开：美股科技上涨只能作为情绪参考，不能替代A股资金确认。</w:t>
      </w:r>
    </w:p>
    <w:p>
      <w:pPr>
        <w:pStyle w:val="Compact"/>
        <w:numPr>
          <w:ilvl w:val="0"/>
          <w:numId w:val="1035"/>
        </w:numPr>
      </w:pPr>
      <w:r>
        <w:rPr>
          <w:rFonts w:hint="eastAsia"/>
        </w:rPr>
        <w:t xml:space="preserve">不低吸破位D级股：中际旭创、兆易创新、新易盛、寒武纪等虽有资金流入，但TickFlow为D。</w:t>
      </w:r>
    </w:p>
    <w:p>
      <w:pPr>
        <w:pStyle w:val="Compact"/>
        <w:numPr>
          <w:ilvl w:val="0"/>
          <w:numId w:val="1035"/>
        </w:numPr>
      </w:pPr>
      <w:r>
        <w:rPr>
          <w:rFonts w:hint="eastAsia"/>
        </w:rPr>
        <w:t xml:space="preserve">可等分歧：若通信设备、医疗服务、电力早盘回踩后重新放量走强，再考虑小仓试错。</w:t>
      </w:r>
    </w:p>
    <w:p>
      <w:pPr>
        <w:pStyle w:val="Compact"/>
        <w:numPr>
          <w:ilvl w:val="0"/>
          <w:numId w:val="1035"/>
        </w:numPr>
      </w:pPr>
      <w:r>
        <w:rPr>
          <w:rFonts w:hint="eastAsia"/>
        </w:rPr>
        <w:t xml:space="preserve">保留现金：周五叠加周末不确定性，重仓账户应优先控制回撤。</w:t>
      </w:r>
    </w:p>
    <w:p>
      <w:r>
        <w:pict>
          <v:rect style="width:0;height:1.5pt" o:hralign="center" o:hrstd="t" o:hr="t"/>
        </w:pict>
      </w:r>
    </w:p>
    <w:bookmarkEnd w:id="40"/>
    <w:bookmarkEnd w:id="41"/>
    <w:bookmarkStart w:id="44" w:name="市场风格预判防御与政策低位优先科技只做强修复"/>
    <w:p>
      <w:pPr>
        <w:pStyle w:val="Heading2"/>
      </w:pPr>
      <w:r>
        <w:t xml:space="preserve">🎨 </w:t>
      </w:r>
      <w:r>
        <w:rPr>
          <w:rFonts w:hint="eastAsia"/>
        </w:rPr>
        <w:t xml:space="preserve">市场风格预判：防御与政策低位优先，科技只做强修复</w:t>
      </w:r>
    </w:p>
    <w:bookmarkStart w:id="42" w:name="风格仪表"/>
    <w:p>
      <w:pPr>
        <w:pStyle w:val="Heading3"/>
      </w:pPr>
      <w:r>
        <w:t xml:space="preserve">📌 </w:t>
      </w:r>
      <w:r>
        <w:rPr>
          <w:rFonts w:hint="eastAsia"/>
        </w:rPr>
        <w:t xml:space="preserve">风格仪表</w:t>
      </w:r>
    </w:p>
    <w:p>
      <w:pPr>
        <w:pStyle w:val="Compact"/>
        <w:numPr>
          <w:ilvl w:val="0"/>
          <w:numId w:val="1036"/>
        </w:numPr>
      </w:pPr>
      <w:r>
        <w:rPr>
          <w:rFonts w:hint="eastAsia"/>
        </w:rPr>
        <w:t xml:space="preserve">大小盘：均衡/未核验。</w:t>
      </w:r>
    </w:p>
    <w:p>
      <w:pPr>
        <w:pStyle w:val="Compact"/>
        <w:numPr>
          <w:ilvl w:val="0"/>
          <w:numId w:val="1036"/>
        </w:numPr>
      </w:pPr>
      <w:r>
        <w:rPr>
          <w:rFonts w:hint="eastAsia"/>
        </w:rPr>
        <w:t xml:space="preserve">成长价值：均衡。</w:t>
      </w:r>
    </w:p>
    <w:p>
      <w:pPr>
        <w:pStyle w:val="Compact"/>
        <w:numPr>
          <w:ilvl w:val="0"/>
          <w:numId w:val="1036"/>
        </w:numPr>
      </w:pPr>
      <w:r>
        <w:rPr>
          <w:rFonts w:hint="eastAsia"/>
        </w:rPr>
        <w:t xml:space="preserve">攻防状态：防守/退潮。</w:t>
      </w:r>
    </w:p>
    <w:p>
      <w:pPr>
        <w:pStyle w:val="Compact"/>
        <w:numPr>
          <w:ilvl w:val="0"/>
          <w:numId w:val="1036"/>
        </w:numPr>
      </w:pPr>
      <w:r>
        <w:rPr>
          <w:rFonts w:hint="eastAsia"/>
        </w:rPr>
        <w:t xml:space="preserve">机构/主题：机构与成交额核心主导。</w:t>
      </w:r>
    </w:p>
    <w:p>
      <w:pPr>
        <w:pStyle w:val="Compact"/>
        <w:numPr>
          <w:ilvl w:val="0"/>
          <w:numId w:val="1036"/>
        </w:numPr>
      </w:pPr>
      <w:r>
        <w:rPr>
          <w:rFonts w:hint="eastAsia"/>
        </w:rPr>
        <w:t xml:space="preserve">ETF主线：宽基未确认连续流入。</w:t>
      </w:r>
    </w:p>
    <w:bookmarkEnd w:id="42"/>
    <w:bookmarkStart w:id="43" w:name="行为金融信号"/>
    <w:p>
      <w:pPr>
        <w:pStyle w:val="Heading3"/>
      </w:pPr>
      <w:r>
        <w:rPr>
          <w:rFonts w:hint="eastAsia"/>
        </w:rPr>
        <w:t xml:space="preserve">行为金融信号</w:t>
      </w:r>
    </w:p>
    <w:p>
      <w:pPr>
        <w:pStyle w:val="FirstParagraph"/>
      </w:pPr>
      <w:r>
        <w:rPr>
          <w:rFonts w:hint="eastAsia"/>
        </w:rPr>
        <w:t xml:space="preserve">derived.behavioral_finance_signals显示：</w:t>
      </w:r>
    </w:p>
    <w:p>
      <w:pPr>
        <w:pStyle w:val="Compact"/>
        <w:numPr>
          <w:ilvl w:val="0"/>
          <w:numId w:val="1037"/>
        </w:numPr>
      </w:pPr>
      <w:r>
        <w:rPr>
          <w:rFonts w:hint="eastAsia"/>
        </w:rPr>
        <w:t xml:space="preserve">风险分数：1。</w:t>
      </w:r>
    </w:p>
    <w:p>
      <w:pPr>
        <w:pStyle w:val="Compact"/>
        <w:numPr>
          <w:ilvl w:val="0"/>
          <w:numId w:val="1037"/>
        </w:numPr>
      </w:pPr>
      <w:r>
        <w:rPr>
          <w:rFonts w:hint="eastAsia"/>
        </w:rPr>
        <w:t xml:space="preserve">信号：行为金融信号中性。</w:t>
      </w:r>
    </w:p>
    <w:p>
      <w:pPr>
        <w:pStyle w:val="Compact"/>
        <w:numPr>
          <w:ilvl w:val="0"/>
          <w:numId w:val="1037"/>
        </w:numPr>
      </w:pPr>
      <w:r>
        <w:rPr>
          <w:rFonts w:hint="eastAsia"/>
        </w:rPr>
        <w:t xml:space="preserve">证据：未触发FOMO、拥挤或亏损厌恶阈值。</w:t>
      </w:r>
    </w:p>
    <w:p>
      <w:pPr>
        <w:pStyle w:val="Compact"/>
        <w:numPr>
          <w:ilvl w:val="0"/>
          <w:numId w:val="1037"/>
        </w:numPr>
      </w:pPr>
      <w:r>
        <w:rPr>
          <w:rFonts w:hint="eastAsia"/>
        </w:rPr>
        <w:t xml:space="preserve">但涨跌比0.265、成交额放大18.49%，说明盘面已出现分歧，不适合扩大仓位。</w:t>
      </w:r>
    </w:p>
    <w:p>
      <w:pPr>
        <w:pStyle w:val="FirstParagraph"/>
      </w:pPr>
      <w:r>
        <w:t xml:space="preserve">💡 </w:t>
      </w:r>
      <w:r>
        <w:rPr>
          <w:rFonts w:hint="eastAsia"/>
        </w:rPr>
        <w:t xml:space="preserve">今日风格结论：</w:t>
      </w:r>
    </w:p>
    <w:p>
      <w:pPr>
        <w:pStyle w:val="Compact"/>
        <w:numPr>
          <w:ilvl w:val="0"/>
          <w:numId w:val="1038"/>
        </w:numPr>
      </w:pPr>
      <w:r>
        <w:rPr>
          <w:rFonts w:hint="eastAsia"/>
        </w:rPr>
        <w:t xml:space="preserve">防御端：电力、银行Ⅱ、医疗服务、中药Ⅱ更适合稳仓。</w:t>
      </w:r>
    </w:p>
    <w:p>
      <w:pPr>
        <w:pStyle w:val="Compact"/>
        <w:numPr>
          <w:ilvl w:val="0"/>
          <w:numId w:val="1038"/>
        </w:numPr>
      </w:pPr>
      <w:r>
        <w:rPr>
          <w:rFonts w:hint="eastAsia"/>
        </w:rPr>
        <w:t xml:space="preserve">成长端：通信设备、AI算力、存储只适合看强修复，不适合追涨。</w:t>
      </w:r>
    </w:p>
    <w:p>
      <w:pPr>
        <w:pStyle w:val="Compact"/>
        <w:numPr>
          <w:ilvl w:val="0"/>
          <w:numId w:val="1038"/>
        </w:numPr>
      </w:pPr>
      <w:r>
        <w:rPr>
          <w:rFonts w:hint="eastAsia"/>
        </w:rPr>
        <w:t xml:space="preserve">周期端：工业金属、小金属、贵金属上一交易日资金流出靠前，反抽优先减仓。</w:t>
      </w:r>
    </w:p>
    <w:p>
      <w:r>
        <w:pict>
          <v:rect style="width:0;height:1.5pt" o:hralign="center" o:hrstd="t" o:hr="t"/>
        </w:pict>
      </w:r>
    </w:p>
    <w:bookmarkEnd w:id="43"/>
    <w:bookmarkEnd w:id="44"/>
    <w:bookmarkStart w:id="45" w:name="投资方向分层可参与只观察应回避"/>
    <w:p>
      <w:pPr>
        <w:pStyle w:val="Heading2"/>
      </w:pPr>
      <w:r>
        <w:t xml:space="preserve">🧱 </w:t>
      </w:r>
      <w:r>
        <w:rPr>
          <w:rFonts w:hint="eastAsia"/>
        </w:rPr>
        <w:t xml:space="preserve">投资方向分层：可参与、只观察、应回避</w:t>
      </w:r>
    </w:p>
    <w:bookmarkEnd w:id="45"/>
    <w:bookmarkStart w:id="50" w:name="可参与方向一电力能源安全"/>
    <w:p>
      <w:pPr>
        <w:pStyle w:val="Heading2"/>
      </w:pPr>
      <w:r>
        <w:t xml:space="preserve">✅ </w:t>
      </w:r>
      <w:r>
        <w:rPr>
          <w:rFonts w:hint="eastAsia"/>
        </w:rPr>
        <w:t xml:space="preserve">可参与方向一：电力/能源安全</w:t>
      </w:r>
    </w:p>
    <w:bookmarkStart w:id="46" w:name="证据链"/>
    <w:p>
      <w:pPr>
        <w:pStyle w:val="Heading3"/>
      </w:pPr>
      <w:r>
        <w:rPr>
          <w:rFonts w:hint="eastAsia"/>
        </w:rPr>
        <w:t xml:space="preserve">证据链</w:t>
      </w:r>
    </w:p>
    <w:p>
      <w:pPr>
        <w:pStyle w:val="Compact"/>
        <w:numPr>
          <w:ilvl w:val="0"/>
          <w:numId w:val="1039"/>
        </w:numPr>
      </w:pPr>
      <w:r>
        <w:rPr>
          <w:rFonts w:hint="eastAsia"/>
        </w:rPr>
        <w:t xml:space="preserve">资金榜：电力主力净流入+36.10亿元，板块流入TOP1。</w:t>
      </w:r>
    </w:p>
    <w:p>
      <w:pPr>
        <w:pStyle w:val="Compact"/>
        <w:numPr>
          <w:ilvl w:val="0"/>
          <w:numId w:val="1039"/>
        </w:numPr>
      </w:pPr>
      <w:r>
        <w:rPr>
          <w:rFonts w:hint="eastAsia"/>
        </w:rPr>
        <w:t xml:space="preserve">新闻联播：连云港至仪征原油管道首段投产，设计年输油量1850万吨。</w:t>
      </w:r>
    </w:p>
    <w:p>
      <w:pPr>
        <w:pStyle w:val="Compact"/>
        <w:numPr>
          <w:ilvl w:val="0"/>
          <w:numId w:val="1039"/>
        </w:numPr>
      </w:pPr>
      <w:r>
        <w:rPr>
          <w:rFonts w:hint="eastAsia"/>
        </w:rPr>
        <w:t xml:space="preserve">国内高温、强降雨并存，能源安全和电力保供仍有政策关注。</w:t>
      </w:r>
    </w:p>
    <w:bookmarkEnd w:id="46"/>
    <w:bookmarkStart w:id="47" w:name="核心标的"/>
    <w:p>
      <w:pPr>
        <w:pStyle w:val="Heading3"/>
      </w:pPr>
      <w:r>
        <w:rPr>
          <w:rFonts w:hint="eastAsia"/>
        </w:rPr>
        <w:t xml:space="preserve">核心标的</w:t>
      </w:r>
    </w:p>
    <w:p>
      <w:pPr>
        <w:pStyle w:val="Compact"/>
        <w:numPr>
          <w:ilvl w:val="0"/>
          <w:numId w:val="1040"/>
        </w:numPr>
      </w:pPr>
      <w:r>
        <w:rPr>
          <w:rFonts w:hint="eastAsia"/>
        </w:rPr>
        <w:t xml:space="preserve">电力板块：采集JSON未给出具体电力核心股资金明细，个股需盘中核验。</w:t>
      </w:r>
    </w:p>
    <w:p>
      <w:pPr>
        <w:pStyle w:val="Compact"/>
        <w:numPr>
          <w:ilvl w:val="0"/>
          <w:numId w:val="1040"/>
        </w:numPr>
      </w:pPr>
      <w:r>
        <w:rPr>
          <w:rFonts w:hint="eastAsia"/>
        </w:rPr>
        <w:t xml:space="preserve">只允许关注板块强度，不凭空指定买入标的。</w:t>
      </w:r>
    </w:p>
    <w:bookmarkEnd w:id="47"/>
    <w:bookmarkStart w:id="48" w:name="触发条件"/>
    <w:p>
      <w:pPr>
        <w:pStyle w:val="Heading3"/>
      </w:pPr>
      <w:r>
        <w:rPr>
          <w:rFonts w:hint="eastAsia"/>
        </w:rPr>
        <w:t xml:space="preserve">触发条件</w:t>
      </w:r>
    </w:p>
    <w:p>
      <w:pPr>
        <w:pStyle w:val="Compact"/>
        <w:numPr>
          <w:ilvl w:val="0"/>
          <w:numId w:val="1041"/>
        </w:numPr>
      </w:pPr>
      <w:r>
        <w:rPr>
          <w:rFonts w:hint="eastAsia"/>
        </w:rPr>
        <w:t xml:space="preserve">电力板块早盘不补跌。</w:t>
      </w:r>
    </w:p>
    <w:p>
      <w:pPr>
        <w:pStyle w:val="Compact"/>
        <w:numPr>
          <w:ilvl w:val="0"/>
          <w:numId w:val="1041"/>
        </w:numPr>
      </w:pPr>
      <w:r>
        <w:rPr>
          <w:rFonts w:hint="eastAsia"/>
        </w:rPr>
        <w:t xml:space="preserve">板块内主动放量上攻。</w:t>
      </w:r>
    </w:p>
    <w:p>
      <w:pPr>
        <w:pStyle w:val="Compact"/>
        <w:numPr>
          <w:ilvl w:val="0"/>
          <w:numId w:val="1041"/>
        </w:numPr>
      </w:pPr>
      <w:r>
        <w:rPr>
          <w:rFonts w:hint="eastAsia"/>
        </w:rPr>
        <w:t xml:space="preserve">指数弱时仍能保持红盘扩散。</w:t>
      </w:r>
    </w:p>
    <w:bookmarkEnd w:id="48"/>
    <w:bookmarkStart w:id="49" w:name="失效条件"/>
    <w:p>
      <w:pPr>
        <w:pStyle w:val="Heading3"/>
      </w:pPr>
      <w:r>
        <w:rPr>
          <w:rFonts w:hint="eastAsia"/>
        </w:rPr>
        <w:t xml:space="preserve">失效条件</w:t>
      </w:r>
    </w:p>
    <w:p>
      <w:pPr>
        <w:pStyle w:val="Compact"/>
        <w:numPr>
          <w:ilvl w:val="0"/>
          <w:numId w:val="1042"/>
        </w:numPr>
      </w:pPr>
      <w:r>
        <w:rPr>
          <w:rFonts w:hint="eastAsia"/>
        </w:rPr>
        <w:t xml:space="preserve">电力板块高开低走。</w:t>
      </w:r>
    </w:p>
    <w:p>
      <w:pPr>
        <w:pStyle w:val="Compact"/>
        <w:numPr>
          <w:ilvl w:val="0"/>
          <w:numId w:val="1042"/>
        </w:numPr>
      </w:pPr>
      <w:r>
        <w:rPr>
          <w:rFonts w:hint="eastAsia"/>
        </w:rPr>
        <w:t xml:space="preserve">银行、电力等防御资金同步回落。</w:t>
      </w:r>
    </w:p>
    <w:p>
      <w:pPr>
        <w:pStyle w:val="Compact"/>
        <w:numPr>
          <w:ilvl w:val="0"/>
          <w:numId w:val="1042"/>
        </w:numPr>
      </w:pPr>
      <w:r>
        <w:rPr>
          <w:rFonts w:hint="eastAsia"/>
        </w:rPr>
        <w:t xml:space="preserve">资金重新大幅切回高位科技。</w:t>
      </w:r>
    </w:p>
    <w:p>
      <w:r>
        <w:pict>
          <v:rect style="width:0;height:1.5pt" o:hralign="center" o:hrstd="t" o:hr="t"/>
        </w:pict>
      </w:r>
    </w:p>
    <w:bookmarkEnd w:id="49"/>
    <w:bookmarkEnd w:id="50"/>
    <w:bookmarkStart w:id="55" w:name="可参与方向二医疗服务中药生物制品"/>
    <w:p>
      <w:pPr>
        <w:pStyle w:val="Heading2"/>
      </w:pPr>
      <w:r>
        <w:t xml:space="preserve">✅ </w:t>
      </w:r>
      <w:r>
        <w:rPr>
          <w:rFonts w:hint="eastAsia"/>
        </w:rPr>
        <w:t xml:space="preserve">可参与方向二：医疗服务/中药/生物制品</w:t>
      </w:r>
    </w:p>
    <w:bookmarkStart w:id="51" w:name="证据链-1"/>
    <w:p>
      <w:pPr>
        <w:pStyle w:val="Heading3"/>
      </w:pPr>
      <w:r>
        <w:rPr>
          <w:rFonts w:hint="eastAsia"/>
        </w:rPr>
        <w:t xml:space="preserve">证据链</w:t>
      </w:r>
    </w:p>
    <w:p>
      <w:pPr>
        <w:pStyle w:val="Compact"/>
        <w:numPr>
          <w:ilvl w:val="0"/>
          <w:numId w:val="1043"/>
        </w:numPr>
      </w:pPr>
      <w:r>
        <w:rPr>
          <w:rFonts w:hint="eastAsia"/>
        </w:rPr>
        <w:t xml:space="preserve">医疗服务主力净流入+15.99亿元。</w:t>
      </w:r>
    </w:p>
    <w:p>
      <w:pPr>
        <w:pStyle w:val="Compact"/>
        <w:numPr>
          <w:ilvl w:val="0"/>
          <w:numId w:val="1043"/>
        </w:numPr>
      </w:pPr>
      <w:r>
        <w:rPr>
          <w:rFonts w:hint="eastAsia"/>
        </w:rPr>
        <w:t xml:space="preserve">中药Ⅱ主力净流入+11.81亿元。</w:t>
      </w:r>
    </w:p>
    <w:p>
      <w:pPr>
        <w:pStyle w:val="Compact"/>
        <w:numPr>
          <w:ilvl w:val="0"/>
          <w:numId w:val="1043"/>
        </w:numPr>
      </w:pPr>
      <w:r>
        <w:rPr>
          <w:rFonts w:hint="eastAsia"/>
        </w:rPr>
        <w:t xml:space="preserve">生物制品主力净流入+7.64亿元。</w:t>
      </w:r>
    </w:p>
    <w:p>
      <w:pPr>
        <w:pStyle w:val="Compact"/>
        <w:numPr>
          <w:ilvl w:val="0"/>
          <w:numId w:val="1043"/>
        </w:numPr>
      </w:pPr>
      <w:r>
        <w:rPr>
          <w:rFonts w:hint="eastAsia"/>
        </w:rPr>
        <w:t xml:space="preserve">新闻联播：国家巡回医疗队下沉基层，89支国家医疗队开展驻点帮扶，医疗资源下沉政策延续。</w:t>
      </w:r>
    </w:p>
    <w:bookmarkEnd w:id="51"/>
    <w:bookmarkStart w:id="52" w:name="核心标的-1"/>
    <w:p>
      <w:pPr>
        <w:pStyle w:val="Heading3"/>
      </w:pPr>
      <w:r>
        <w:rPr>
          <w:rFonts w:hint="eastAsia"/>
        </w:rPr>
        <w:t xml:space="preserve">核心标的</w:t>
      </w:r>
    </w:p>
    <w:p>
      <w:pPr>
        <w:pStyle w:val="Compact"/>
        <w:numPr>
          <w:ilvl w:val="0"/>
          <w:numId w:val="1044"/>
        </w:numPr>
      </w:pPr>
      <w:r>
        <w:rPr>
          <w:rFonts w:hint="eastAsia"/>
        </w:rPr>
        <w:t xml:space="preserve">采集JSON未提供医疗服务、中药、生物制品具体核心股资金明细，个股需盘中核验。</w:t>
      </w:r>
    </w:p>
    <w:p>
      <w:pPr>
        <w:pStyle w:val="Compact"/>
        <w:numPr>
          <w:ilvl w:val="0"/>
          <w:numId w:val="1044"/>
        </w:numPr>
      </w:pPr>
      <w:r>
        <w:rPr>
          <w:rFonts w:hint="eastAsia"/>
        </w:rPr>
        <w:t xml:space="preserve">医药ETF上一交易日价格涨幅+1.4286%，成交额8.9776亿元，可作为板块温度观察。</w:t>
      </w:r>
    </w:p>
    <w:bookmarkEnd w:id="52"/>
    <w:bookmarkStart w:id="53" w:name="触发条件-1"/>
    <w:p>
      <w:pPr>
        <w:pStyle w:val="Heading3"/>
      </w:pPr>
      <w:r>
        <w:rPr>
          <w:rFonts w:hint="eastAsia"/>
        </w:rPr>
        <w:t xml:space="preserve">触发条件</w:t>
      </w:r>
    </w:p>
    <w:p>
      <w:pPr>
        <w:pStyle w:val="Compact"/>
        <w:numPr>
          <w:ilvl w:val="0"/>
          <w:numId w:val="1045"/>
        </w:numPr>
      </w:pPr>
      <w:r>
        <w:rPr>
          <w:rFonts w:hint="eastAsia"/>
        </w:rPr>
        <w:t xml:space="preserve">医药ETF继续强于宽基ETF。</w:t>
      </w:r>
    </w:p>
    <w:p>
      <w:pPr>
        <w:pStyle w:val="Compact"/>
        <w:numPr>
          <w:ilvl w:val="0"/>
          <w:numId w:val="1045"/>
        </w:numPr>
      </w:pPr>
      <w:r>
        <w:rPr>
          <w:rFonts w:hint="eastAsia"/>
        </w:rPr>
        <w:t xml:space="preserve">医疗服务/中药/生物制品维持资金净流入方向。</w:t>
      </w:r>
    </w:p>
    <w:p>
      <w:pPr>
        <w:pStyle w:val="Compact"/>
        <w:numPr>
          <w:ilvl w:val="0"/>
          <w:numId w:val="1045"/>
        </w:numPr>
      </w:pPr>
      <w:r>
        <w:rPr>
          <w:rFonts w:hint="eastAsia"/>
        </w:rPr>
        <w:t xml:space="preserve">高位科技分歧时医药承接不破。</w:t>
      </w:r>
    </w:p>
    <w:bookmarkEnd w:id="53"/>
    <w:bookmarkStart w:id="54" w:name="失效条件-1"/>
    <w:p>
      <w:pPr>
        <w:pStyle w:val="Heading3"/>
      </w:pPr>
      <w:r>
        <w:rPr>
          <w:rFonts w:hint="eastAsia"/>
        </w:rPr>
        <w:t xml:space="preserve">失效条件</w:t>
      </w:r>
    </w:p>
    <w:p>
      <w:pPr>
        <w:pStyle w:val="Compact"/>
        <w:numPr>
          <w:ilvl w:val="0"/>
          <w:numId w:val="1046"/>
        </w:numPr>
      </w:pPr>
      <w:r>
        <w:rPr>
          <w:rFonts w:hint="eastAsia"/>
        </w:rPr>
        <w:t xml:space="preserve">医药ETF放量长上影。</w:t>
      </w:r>
    </w:p>
    <w:p>
      <w:pPr>
        <w:pStyle w:val="Compact"/>
        <w:numPr>
          <w:ilvl w:val="0"/>
          <w:numId w:val="1046"/>
        </w:numPr>
      </w:pPr>
      <w:r>
        <w:rPr>
          <w:rFonts w:hint="eastAsia"/>
        </w:rPr>
        <w:t xml:space="preserve">医疗资金被科技抽走。</w:t>
      </w:r>
    </w:p>
    <w:p>
      <w:pPr>
        <w:pStyle w:val="Compact"/>
        <w:numPr>
          <w:ilvl w:val="0"/>
          <w:numId w:val="1046"/>
        </w:numPr>
      </w:pPr>
      <w:r>
        <w:rPr>
          <w:rFonts w:hint="eastAsia"/>
        </w:rPr>
        <w:t xml:space="preserve">医疗服务板块跌破上一交易日强势结构。</w:t>
      </w:r>
    </w:p>
    <w:p>
      <w:r>
        <w:pict>
          <v:rect style="width:0;height:1.5pt" o:hralign="center" o:hrstd="t" o:hr="t"/>
        </w:pict>
      </w:r>
    </w:p>
    <w:bookmarkEnd w:id="54"/>
    <w:bookmarkEnd w:id="55"/>
    <w:bookmarkStart w:id="58" w:name="只观察方向一通信设备ai算力光模块cpo"/>
    <w:p>
      <w:pPr>
        <w:pStyle w:val="Heading2"/>
      </w:pPr>
      <w:r>
        <w:t xml:space="preserve">👀 </w:t>
      </w:r>
      <w:r>
        <w:rPr>
          <w:rFonts w:hint="eastAsia"/>
        </w:rPr>
        <w:t xml:space="preserve">只观察方向一：通信设备/AI算力/光模块/CPO</w:t>
      </w:r>
    </w:p>
    <w:bookmarkStart w:id="56" w:name="证据链-2"/>
    <w:p>
      <w:pPr>
        <w:pStyle w:val="Heading3"/>
      </w:pPr>
      <w:r>
        <w:rPr>
          <w:rFonts w:hint="eastAsia"/>
        </w:rPr>
        <w:t xml:space="preserve">证据链</w:t>
      </w:r>
    </w:p>
    <w:p>
      <w:pPr>
        <w:pStyle w:val="Compact"/>
        <w:numPr>
          <w:ilvl w:val="0"/>
          <w:numId w:val="1047"/>
        </w:numPr>
      </w:pPr>
      <w:r>
        <w:rPr>
          <w:rFonts w:hint="eastAsia"/>
        </w:rPr>
        <w:t xml:space="preserve">新闻联播强催化：万兆光网136个试点、5G-A、6G、卫星互联网。</w:t>
      </w:r>
    </w:p>
    <w:p>
      <w:pPr>
        <w:pStyle w:val="Compact"/>
        <w:numPr>
          <w:ilvl w:val="0"/>
          <w:numId w:val="1047"/>
        </w:numPr>
      </w:pPr>
      <w:r>
        <w:rPr>
          <w:rFonts w:hint="eastAsia"/>
        </w:rPr>
        <w:t xml:space="preserve">资金榜：通信设备主力净流入+4.53亿元。</w:t>
      </w:r>
    </w:p>
    <w:p>
      <w:pPr>
        <w:pStyle w:val="Compact"/>
        <w:numPr>
          <w:ilvl w:val="0"/>
          <w:numId w:val="1047"/>
        </w:numPr>
      </w:pPr>
      <w:r>
        <w:rPr>
          <w:rFonts w:hint="eastAsia"/>
        </w:rPr>
        <w:t xml:space="preserve">个股资金：中际旭创+176.92亿、新易盛+116.05亿、天孚通信+99.37亿、紫光股份+79.50亿。</w:t>
      </w:r>
    </w:p>
    <w:p>
      <w:pPr>
        <w:pStyle w:val="Compact"/>
        <w:numPr>
          <w:ilvl w:val="0"/>
          <w:numId w:val="1047"/>
        </w:numPr>
      </w:pPr>
      <w:r>
        <w:rPr>
          <w:rFonts w:hint="eastAsia"/>
        </w:rPr>
        <w:t xml:space="preserve">美股映射：英伟达+0.54%、博通+0.43%，科技情绪偏暖。</w:t>
      </w:r>
    </w:p>
    <w:bookmarkEnd w:id="56"/>
    <w:bookmarkStart w:id="57" w:name="技术校验"/>
    <w:p>
      <w:pPr>
        <w:pStyle w:val="Heading3"/>
      </w:pPr>
      <w:r>
        <w:rPr>
          <w:rFonts w:hint="eastAsia"/>
        </w:rPr>
        <w:t xml:space="preserve">技术校验</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pPr>
            <w:r>
              <w:rPr>
                <w:rFonts w:hint="eastAsia"/>
              </w:rPr>
              <w:t xml:space="preserve">TickFlow评级</w:t>
            </w:r>
          </w:p>
        </w:tc>
        <w:tc>
          <w:tcPr/>
          <w:p>
            <w:pPr>
              <w:pStyle w:val="Compact"/>
            </w:pPr>
            <w:r>
              <w:rPr>
                <w:rFonts w:hint="eastAsia"/>
              </w:rPr>
              <w:t xml:space="preserve">技术状态</w:t>
            </w:r>
          </w:p>
        </w:tc>
        <w:tc>
          <w:tcPr/>
          <w:p>
            <w:pPr>
              <w:pStyle w:val="Compact"/>
            </w:pPr>
            <w:r>
              <w:rPr>
                <w:rFonts w:hint="eastAsia"/>
              </w:rPr>
              <w:t xml:space="preserve">行动</w:t>
            </w:r>
          </w:p>
        </w:tc>
      </w:tr>
      <w:tr>
        <w:tc>
          <w:tcPr/>
          <w:p>
            <w:pPr>
              <w:pStyle w:val="Compact"/>
            </w:pPr>
            <w:r>
              <w:rPr>
                <w:rFonts w:hint="eastAsia"/>
              </w:rPr>
              <w:t xml:space="preserve">中际旭创</w:t>
            </w:r>
          </w:p>
        </w:tc>
        <w:tc>
          <w:tcPr/>
          <w:p>
            <w:pPr>
              <w:pStyle w:val="Compact"/>
            </w:pPr>
            <w:r>
              <w:t xml:space="preserve">D</w:t>
            </w:r>
          </w:p>
        </w:tc>
        <w:tc>
          <w:tcPr/>
          <w:p>
            <w:pPr>
              <w:pStyle w:val="Compact"/>
            </w:pPr>
            <w:r>
              <w:rPr>
                <w:rFonts w:hint="eastAsia"/>
              </w:rPr>
              <w:t xml:space="preserve">趋势破位</w:t>
            </w:r>
          </w:p>
        </w:tc>
        <w:tc>
          <w:tcPr/>
          <w:p>
            <w:pPr>
              <w:pStyle w:val="Compact"/>
            </w:pPr>
            <w:r>
              <w:rPr>
                <w:rFonts w:hint="eastAsia"/>
              </w:rPr>
              <w:t xml:space="preserve">回避，重新站回MA20/MA60再复评</w:t>
            </w:r>
          </w:p>
        </w:tc>
      </w:tr>
      <w:tr>
        <w:tc>
          <w:tcPr/>
          <w:p>
            <w:pPr>
              <w:pStyle w:val="Compact"/>
            </w:pPr>
            <w:r>
              <w:rPr>
                <w:rFonts w:hint="eastAsia"/>
              </w:rPr>
              <w:t xml:space="preserve">新易盛</w:t>
            </w:r>
          </w:p>
        </w:tc>
        <w:tc>
          <w:tcPr/>
          <w:p>
            <w:pPr>
              <w:pStyle w:val="Compact"/>
            </w:pPr>
            <w:r>
              <w:t xml:space="preserve">D</w:t>
            </w:r>
          </w:p>
        </w:tc>
        <w:tc>
          <w:tcPr/>
          <w:p>
            <w:pPr>
              <w:pStyle w:val="Compact"/>
            </w:pPr>
            <w:r>
              <w:rPr>
                <w:rFonts w:hint="eastAsia"/>
              </w:rPr>
              <w:t xml:space="preserve">趋势破位</w:t>
            </w:r>
          </w:p>
        </w:tc>
        <w:tc>
          <w:tcPr/>
          <w:p>
            <w:pPr>
              <w:pStyle w:val="Compact"/>
            </w:pPr>
            <w:r>
              <w:rPr>
                <w:rFonts w:hint="eastAsia"/>
              </w:rPr>
              <w:t xml:space="preserve">回避，重新站回MA20/MA60再复评</w:t>
            </w:r>
          </w:p>
        </w:tc>
      </w:tr>
      <w:tr>
        <w:tc>
          <w:tcPr/>
          <w:p>
            <w:pPr>
              <w:pStyle w:val="Compact"/>
            </w:pPr>
            <w:r>
              <w:rPr>
                <w:rFonts w:hint="eastAsia"/>
              </w:rPr>
              <w:t xml:space="preserve">天孚通信</w:t>
            </w:r>
          </w:p>
        </w:tc>
        <w:tc>
          <w:tcPr/>
          <w:p>
            <w:pPr>
              <w:pStyle w:val="Compact"/>
            </w:pPr>
            <w:r>
              <w:t xml:space="preserve">D</w:t>
            </w:r>
          </w:p>
        </w:tc>
        <w:tc>
          <w:tcPr/>
          <w:p>
            <w:pPr>
              <w:pStyle w:val="Compact"/>
            </w:pPr>
            <w:r>
              <w:rPr>
                <w:rFonts w:hint="eastAsia"/>
              </w:rPr>
              <w:t xml:space="preserve">趋势破位</w:t>
            </w:r>
          </w:p>
        </w:tc>
        <w:tc>
          <w:tcPr/>
          <w:p>
            <w:pPr>
              <w:pStyle w:val="Compact"/>
            </w:pPr>
            <w:r>
              <w:rPr>
                <w:rFonts w:hint="eastAsia"/>
              </w:rPr>
              <w:t xml:space="preserve">回避，重新站回MA20/MA60再复评</w:t>
            </w:r>
          </w:p>
        </w:tc>
      </w:tr>
      <w:tr>
        <w:tc>
          <w:tcPr/>
          <w:p>
            <w:pPr>
              <w:pStyle w:val="Compact"/>
            </w:pPr>
            <w:r>
              <w:rPr>
                <w:rFonts w:hint="eastAsia"/>
              </w:rPr>
              <w:t xml:space="preserve">紫光股份</w:t>
            </w:r>
          </w:p>
        </w:tc>
        <w:tc>
          <w:tcPr/>
          <w:p>
            <w:pPr>
              <w:pStyle w:val="Compact"/>
            </w:pPr>
            <w:r>
              <w:t xml:space="preserve">D</w:t>
            </w:r>
          </w:p>
        </w:tc>
        <w:tc>
          <w:tcPr/>
          <w:p>
            <w:pPr>
              <w:pStyle w:val="Compact"/>
            </w:pPr>
            <w:r>
              <w:rPr>
                <w:rFonts w:hint="eastAsia"/>
              </w:rPr>
              <w:t xml:space="preserve">趋势破位</w:t>
            </w:r>
          </w:p>
        </w:tc>
        <w:tc>
          <w:tcPr/>
          <w:p>
            <w:pPr>
              <w:pStyle w:val="Compact"/>
            </w:pPr>
            <w:r>
              <w:rPr>
                <w:rFonts w:hint="eastAsia"/>
              </w:rPr>
              <w:t xml:space="preserve">回避，重新站回MA20/MA60再复评</w:t>
            </w:r>
          </w:p>
        </w:tc>
      </w:tr>
      <w:tr>
        <w:tc>
          <w:tcPr/>
          <w:p>
            <w:pPr>
              <w:pStyle w:val="Compact"/>
            </w:pPr>
            <w:r>
              <w:rPr>
                <w:rFonts w:hint="eastAsia"/>
              </w:rPr>
              <w:t xml:space="preserve">寒武纪</w:t>
            </w:r>
          </w:p>
        </w:tc>
        <w:tc>
          <w:tcPr/>
          <w:p>
            <w:pPr>
              <w:pStyle w:val="Compact"/>
            </w:pPr>
            <w:r>
              <w:t xml:space="preserve">D</w:t>
            </w:r>
          </w:p>
        </w:tc>
        <w:tc>
          <w:tcPr/>
          <w:p>
            <w:pPr>
              <w:pStyle w:val="Compact"/>
            </w:pPr>
            <w:r>
              <w:rPr>
                <w:rFonts w:hint="eastAsia"/>
              </w:rPr>
              <w:t xml:space="preserve">趋势破位</w:t>
            </w:r>
          </w:p>
        </w:tc>
        <w:tc>
          <w:tcPr/>
          <w:p>
            <w:pPr>
              <w:pStyle w:val="Compact"/>
            </w:pPr>
            <w:r>
              <w:rPr>
                <w:rFonts w:hint="eastAsia"/>
              </w:rPr>
              <w:t xml:space="preserve">回避，重新站回MA20/MA60再复评</w:t>
            </w:r>
          </w:p>
        </w:tc>
      </w:tr>
    </w:tbl>
    <w:p>
      <w:pPr>
        <w:pStyle w:val="BodyText"/>
      </w:pPr>
      <w:r>
        <w:t xml:space="preserve">📌 </w:t>
      </w:r>
      <w:r>
        <w:rPr>
          <w:rFonts w:hint="eastAsia"/>
        </w:rPr>
        <w:t xml:space="preserve">结论：</w:t>
      </w:r>
    </w:p>
    <w:p>
      <w:pPr>
        <w:pStyle w:val="Compact"/>
        <w:numPr>
          <w:ilvl w:val="0"/>
          <w:numId w:val="1048"/>
        </w:numPr>
      </w:pPr>
      <w:r>
        <w:rPr>
          <w:rFonts w:hint="eastAsia"/>
        </w:rPr>
        <w:t xml:space="preserve">政策与资金强，但技术不支持直接追。</w:t>
      </w:r>
    </w:p>
    <w:p>
      <w:pPr>
        <w:pStyle w:val="Compact"/>
        <w:numPr>
          <w:ilvl w:val="0"/>
          <w:numId w:val="1048"/>
        </w:numPr>
      </w:pPr>
      <w:r>
        <w:rPr>
          <w:rFonts w:hint="eastAsia"/>
        </w:rPr>
        <w:t xml:space="preserve">今日只看“分歧转强”，不做开盘冲高追入。</w:t>
      </w:r>
    </w:p>
    <w:p>
      <w:pPr>
        <w:pStyle w:val="Compact"/>
        <w:numPr>
          <w:ilvl w:val="0"/>
          <w:numId w:val="1048"/>
        </w:numPr>
      </w:pPr>
      <w:r>
        <w:rPr>
          <w:rFonts w:hint="eastAsia"/>
        </w:rPr>
        <w:t xml:space="preserve">若核心股不能重新站回关键均线，资金流入也只能视为高位换手，不是买点。</w:t>
      </w:r>
    </w:p>
    <w:p>
      <w:r>
        <w:pict>
          <v:rect style="width:0;height:1.5pt" o:hralign="center" o:hrstd="t" o:hr="t"/>
        </w:pict>
      </w:r>
    </w:p>
    <w:bookmarkEnd w:id="57"/>
    <w:bookmarkEnd w:id="58"/>
    <w:bookmarkStart w:id="61" w:name="只观察方向二存储半导体自主可控"/>
    <w:p>
      <w:pPr>
        <w:pStyle w:val="Heading2"/>
      </w:pPr>
      <w:r>
        <w:t xml:space="preserve">👀 </w:t>
      </w:r>
      <w:r>
        <w:rPr>
          <w:rFonts w:hint="eastAsia"/>
        </w:rPr>
        <w:t xml:space="preserve">只观察方向二：存储/半导体自主可控</w:t>
      </w:r>
    </w:p>
    <w:bookmarkStart w:id="59" w:name="证据链-3"/>
    <w:p>
      <w:pPr>
        <w:pStyle w:val="Heading3"/>
      </w:pPr>
      <w:r>
        <w:rPr>
          <w:rFonts w:hint="eastAsia"/>
        </w:rPr>
        <w:t xml:space="preserve">证据链</w:t>
      </w:r>
    </w:p>
    <w:p>
      <w:pPr>
        <w:pStyle w:val="Compact"/>
        <w:numPr>
          <w:ilvl w:val="0"/>
          <w:numId w:val="1049"/>
        </w:numPr>
      </w:pPr>
      <w:r>
        <w:rPr>
          <w:rFonts w:hint="eastAsia"/>
        </w:rPr>
        <w:t xml:space="preserve">美光隔夜上涨+4.23%，存储映射最强。</w:t>
      </w:r>
    </w:p>
    <w:p>
      <w:pPr>
        <w:pStyle w:val="Compact"/>
        <w:numPr>
          <w:ilvl w:val="0"/>
          <w:numId w:val="1049"/>
        </w:numPr>
      </w:pPr>
      <w:r>
        <w:rPr>
          <w:rFonts w:hint="eastAsia"/>
        </w:rPr>
        <w:t xml:space="preserve">个股资金：长鑫科技+172.96亿、兆易创新+103.13亿。</w:t>
      </w:r>
    </w:p>
    <w:p>
      <w:pPr>
        <w:pStyle w:val="Compact"/>
        <w:numPr>
          <w:ilvl w:val="0"/>
          <w:numId w:val="1049"/>
        </w:numPr>
      </w:pPr>
      <w:r>
        <w:rPr>
          <w:rFonts w:hint="eastAsia"/>
        </w:rPr>
        <w:t xml:space="preserve">妙想财务增强：长鑫科技2026一季报净利润同比增长1268%，营业收入同比增长719.1%；兆易创新2026一季报净利润同比增长514.3%，营业收入同比增长119.4%。</w:t>
      </w:r>
    </w:p>
    <w:bookmarkEnd w:id="59"/>
    <w:bookmarkStart w:id="60" w:name="风险证据"/>
    <w:p>
      <w:pPr>
        <w:pStyle w:val="Heading3"/>
      </w:pPr>
      <w:r>
        <w:rPr>
          <w:rFonts w:hint="eastAsia"/>
        </w:rPr>
        <w:t xml:space="preserve">风险证据</w:t>
      </w:r>
    </w:p>
    <w:p>
      <w:pPr>
        <w:pStyle w:val="Compact"/>
        <w:numPr>
          <w:ilvl w:val="0"/>
          <w:numId w:val="1050"/>
        </w:numPr>
      </w:pPr>
      <w:r>
        <w:rPr>
          <w:rFonts w:hint="eastAsia"/>
        </w:rPr>
        <w:t xml:space="preserve">半导体板块主力净流出-98.00亿元，为板块流出TOP1。</w:t>
      </w:r>
    </w:p>
    <w:p>
      <w:pPr>
        <w:pStyle w:val="Compact"/>
        <w:numPr>
          <w:ilvl w:val="0"/>
          <w:numId w:val="1050"/>
        </w:numPr>
      </w:pPr>
      <w:r>
        <w:rPr>
          <w:rFonts w:hint="eastAsia"/>
        </w:rPr>
        <w:t xml:space="preserve">兆易创新同时出现在个股流出榜：-9.52亿。</w:t>
      </w:r>
    </w:p>
    <w:p>
      <w:pPr>
        <w:pStyle w:val="Compact"/>
        <w:numPr>
          <w:ilvl w:val="0"/>
          <w:numId w:val="1050"/>
        </w:numPr>
      </w:pPr>
      <w:r>
        <w:rPr>
          <w:rFonts w:hint="eastAsia"/>
        </w:rPr>
        <w:t xml:space="preserve">TickFlow：兆易创新评级D，趋势破位；长鑫科技技术指标数据不足，不做判断。</w:t>
      </w:r>
    </w:p>
    <w:p>
      <w:pPr>
        <w:pStyle w:val="FirstParagraph"/>
      </w:pPr>
      <w:r>
        <w:t xml:space="preserve">📌 </w:t>
      </w:r>
      <w:r>
        <w:rPr>
          <w:rFonts w:hint="eastAsia"/>
        </w:rPr>
        <w:t xml:space="preserve">结论：</w:t>
      </w:r>
    </w:p>
    <w:p>
      <w:pPr>
        <w:pStyle w:val="Compact"/>
        <w:numPr>
          <w:ilvl w:val="0"/>
          <w:numId w:val="1051"/>
        </w:numPr>
      </w:pPr>
      <w:r>
        <w:rPr>
          <w:rFonts w:hint="eastAsia"/>
        </w:rPr>
        <w:t xml:space="preserve">存储有业绩与外盘支撑，但板块资金冲突明显。</w:t>
      </w:r>
    </w:p>
    <w:p>
      <w:pPr>
        <w:pStyle w:val="Compact"/>
        <w:numPr>
          <w:ilvl w:val="0"/>
          <w:numId w:val="1051"/>
        </w:numPr>
      </w:pPr>
      <w:r>
        <w:rPr>
          <w:rFonts w:hint="eastAsia"/>
        </w:rPr>
        <w:t xml:space="preserve">长鑫科技估值较高：2026-08-13总市值3.537万亿，PE(TTM)125.4倍，PB43.28倍，换手率10.33%。</w:t>
      </w:r>
    </w:p>
    <w:p>
      <w:pPr>
        <w:pStyle w:val="Compact"/>
        <w:numPr>
          <w:ilvl w:val="0"/>
          <w:numId w:val="1051"/>
        </w:numPr>
      </w:pPr>
      <w:r>
        <w:rPr>
          <w:rFonts w:hint="eastAsia"/>
        </w:rPr>
        <w:t xml:space="preserve">只能观察高位承接，不能追涨。</w:t>
      </w:r>
    </w:p>
    <w:p>
      <w:r>
        <w:pict>
          <v:rect style="width:0;height:1.5pt" o:hralign="center" o:hrstd="t" o:hr="t"/>
        </w:pict>
      </w:r>
    </w:p>
    <w:bookmarkEnd w:id="60"/>
    <w:bookmarkEnd w:id="61"/>
    <w:bookmarkStart w:id="63" w:name="应回避方向一工业金属小金属贵金属"/>
    <w:p>
      <w:pPr>
        <w:pStyle w:val="Heading2"/>
      </w:pPr>
      <w:r>
        <w:t xml:space="preserve">⛔ </w:t>
      </w:r>
      <w:r>
        <w:rPr>
          <w:rFonts w:hint="eastAsia"/>
        </w:rPr>
        <w:t xml:space="preserve">应回避方向一：工业金属/小金属/贵金属</w:t>
      </w:r>
    </w:p>
    <w:bookmarkStart w:id="62" w:name="证据链-4"/>
    <w:p>
      <w:pPr>
        <w:pStyle w:val="Heading3"/>
      </w:pPr>
      <w:r>
        <w:rPr>
          <w:rFonts w:hint="eastAsia"/>
        </w:rPr>
        <w:t xml:space="preserve">证据链</w:t>
      </w:r>
    </w:p>
    <w:p>
      <w:pPr>
        <w:pStyle w:val="Compact"/>
        <w:numPr>
          <w:ilvl w:val="0"/>
          <w:numId w:val="1052"/>
        </w:numPr>
      </w:pPr>
      <w:r>
        <w:rPr>
          <w:rFonts w:hint="eastAsia"/>
        </w:rPr>
        <w:t xml:space="preserve">工业金属主力净流出-75.89亿元。</w:t>
      </w:r>
    </w:p>
    <w:p>
      <w:pPr>
        <w:pStyle w:val="Compact"/>
        <w:numPr>
          <w:ilvl w:val="0"/>
          <w:numId w:val="1052"/>
        </w:numPr>
      </w:pPr>
      <w:r>
        <w:rPr>
          <w:rFonts w:hint="eastAsia"/>
        </w:rPr>
        <w:t xml:space="preserve">小金属主力净流出-43.83亿元。</w:t>
      </w:r>
    </w:p>
    <w:p>
      <w:pPr>
        <w:pStyle w:val="Compact"/>
        <w:numPr>
          <w:ilvl w:val="0"/>
          <w:numId w:val="1052"/>
        </w:numPr>
      </w:pPr>
      <w:r>
        <w:rPr>
          <w:rFonts w:hint="eastAsia"/>
        </w:rPr>
        <w:t xml:space="preserve">贵金属主力净流出-34.37亿元。</w:t>
      </w:r>
    </w:p>
    <w:p>
      <w:pPr>
        <w:pStyle w:val="Compact"/>
        <w:numPr>
          <w:ilvl w:val="0"/>
          <w:numId w:val="1052"/>
        </w:numPr>
      </w:pPr>
      <w:r>
        <w:rPr>
          <w:rFonts w:hint="eastAsia"/>
        </w:rPr>
        <w:t xml:space="preserve">个股流出含紫金矿业-12.45亿、云南锗业-11.85亿、洛阳钼业-9.67亿、中钨高新-9.49亿。</w:t>
      </w:r>
    </w:p>
    <w:p>
      <w:pPr>
        <w:pStyle w:val="FirstParagraph"/>
      </w:pPr>
      <w:r>
        <w:t xml:space="preserve">📌 </w:t>
      </w:r>
      <w:r>
        <w:rPr>
          <w:rFonts w:hint="eastAsia"/>
        </w:rPr>
        <w:t xml:space="preserve">结论：</w:t>
      </w:r>
    </w:p>
    <w:p>
      <w:pPr>
        <w:pStyle w:val="Compact"/>
        <w:numPr>
          <w:ilvl w:val="0"/>
          <w:numId w:val="1053"/>
        </w:numPr>
      </w:pPr>
      <w:r>
        <w:rPr>
          <w:rFonts w:hint="eastAsia"/>
        </w:rPr>
        <w:t xml:space="preserve">周期资源方向上一交易日资金撤退集中。</w:t>
      </w:r>
    </w:p>
    <w:p>
      <w:pPr>
        <w:pStyle w:val="Compact"/>
        <w:numPr>
          <w:ilvl w:val="0"/>
          <w:numId w:val="1053"/>
        </w:numPr>
      </w:pPr>
      <w:r>
        <w:rPr>
          <w:rFonts w:hint="eastAsia"/>
        </w:rPr>
        <w:t xml:space="preserve">COMEX黄金隔夜-0.55%，伦铜-0.21%，商品端未提供反包支撑。</w:t>
      </w:r>
    </w:p>
    <w:p>
      <w:pPr>
        <w:pStyle w:val="Compact"/>
        <w:numPr>
          <w:ilvl w:val="0"/>
          <w:numId w:val="1053"/>
        </w:numPr>
      </w:pPr>
      <w:r>
        <w:rPr>
          <w:rFonts w:hint="eastAsia"/>
        </w:rPr>
        <w:t xml:space="preserve">今日如有反抽，优先视为减仓窗口。</w:t>
      </w:r>
    </w:p>
    <w:p>
      <w:r>
        <w:pict>
          <v:rect style="width:0;height:1.5pt" o:hralign="center" o:hrstd="t" o:hr="t"/>
        </w:pict>
      </w:r>
    </w:p>
    <w:bookmarkEnd w:id="62"/>
    <w:bookmarkEnd w:id="63"/>
    <w:bookmarkStart w:id="65" w:name="应回避方向二光伏设备玻璃玻纤电子化学品"/>
    <w:p>
      <w:pPr>
        <w:pStyle w:val="Heading2"/>
      </w:pPr>
      <w:r>
        <w:t xml:space="preserve">⛔ </w:t>
      </w:r>
      <w:r>
        <w:rPr>
          <w:rFonts w:hint="eastAsia"/>
        </w:rPr>
        <w:t xml:space="preserve">应回避方向二：光伏设备/玻璃玻纤/电子化学品</w:t>
      </w:r>
    </w:p>
    <w:bookmarkStart w:id="64" w:name="证据链-5"/>
    <w:p>
      <w:pPr>
        <w:pStyle w:val="Heading3"/>
      </w:pPr>
      <w:r>
        <w:rPr>
          <w:rFonts w:hint="eastAsia"/>
        </w:rPr>
        <w:t xml:space="preserve">证据链</w:t>
      </w:r>
    </w:p>
    <w:p>
      <w:pPr>
        <w:pStyle w:val="Compact"/>
        <w:numPr>
          <w:ilvl w:val="0"/>
          <w:numId w:val="1054"/>
        </w:numPr>
      </w:pPr>
      <w:r>
        <w:rPr>
          <w:rFonts w:hint="eastAsia"/>
        </w:rPr>
        <w:t xml:space="preserve">光伏设备主力净流出-16.46亿元。</w:t>
      </w:r>
    </w:p>
    <w:p>
      <w:pPr>
        <w:pStyle w:val="Compact"/>
        <w:numPr>
          <w:ilvl w:val="0"/>
          <w:numId w:val="1054"/>
        </w:numPr>
      </w:pPr>
      <w:r>
        <w:rPr>
          <w:rFonts w:hint="eastAsia"/>
        </w:rPr>
        <w:t xml:space="preserve">玻璃玻纤主力净流出-19.67亿元。</w:t>
      </w:r>
    </w:p>
    <w:p>
      <w:pPr>
        <w:pStyle w:val="Compact"/>
        <w:numPr>
          <w:ilvl w:val="0"/>
          <w:numId w:val="1054"/>
        </w:numPr>
      </w:pPr>
      <w:r>
        <w:rPr>
          <w:rFonts w:hint="eastAsia"/>
        </w:rPr>
        <w:t xml:space="preserve">电子化学品Ⅱ主力净流出-18.18亿元。</w:t>
      </w:r>
    </w:p>
    <w:p>
      <w:pPr>
        <w:pStyle w:val="Compact"/>
        <w:numPr>
          <w:ilvl w:val="0"/>
          <w:numId w:val="1054"/>
        </w:numPr>
      </w:pPr>
      <w:r>
        <w:rPr>
          <w:rFonts w:hint="eastAsia"/>
        </w:rPr>
        <w:t xml:space="preserve">国际复材净流出-9.10亿。</w:t>
      </w:r>
    </w:p>
    <w:p>
      <w:pPr>
        <w:pStyle w:val="FirstParagraph"/>
      </w:pPr>
      <w:r>
        <w:t xml:space="preserve">📌 </w:t>
      </w:r>
      <w:r>
        <w:rPr>
          <w:rFonts w:hint="eastAsia"/>
        </w:rPr>
        <w:t xml:space="preserve">结论：</w:t>
      </w:r>
    </w:p>
    <w:p>
      <w:pPr>
        <w:pStyle w:val="Compact"/>
        <w:numPr>
          <w:ilvl w:val="0"/>
          <w:numId w:val="1055"/>
        </w:numPr>
      </w:pPr>
      <w:r>
        <w:rPr>
          <w:rFonts w:hint="eastAsia"/>
        </w:rPr>
        <w:t xml:space="preserve">这些方向不在昨晚新闻联播核心强催化第一梯队。</w:t>
      </w:r>
    </w:p>
    <w:p>
      <w:pPr>
        <w:pStyle w:val="Compact"/>
        <w:numPr>
          <w:ilvl w:val="0"/>
          <w:numId w:val="1055"/>
        </w:numPr>
      </w:pPr>
      <w:r>
        <w:rPr>
          <w:rFonts w:hint="eastAsia"/>
        </w:rPr>
        <w:t xml:space="preserve">资金流向偏弱，不做逆势低吸。</w:t>
      </w:r>
    </w:p>
    <w:p>
      <w:pPr>
        <w:pStyle w:val="Compact"/>
        <w:numPr>
          <w:ilvl w:val="0"/>
          <w:numId w:val="1055"/>
        </w:numPr>
      </w:pPr>
      <w:r>
        <w:rPr>
          <w:rFonts w:hint="eastAsia"/>
        </w:rPr>
        <w:t xml:space="preserve">等资金重新进入流入榜再复评。</w:t>
      </w:r>
    </w:p>
    <w:p>
      <w:r>
        <w:pict>
          <v:rect style="width:0;height:1.5pt" o:hralign="center" o:hrstd="t" o:hr="t"/>
        </w:pict>
      </w:r>
    </w:p>
    <w:bookmarkEnd w:id="64"/>
    <w:bookmarkEnd w:id="65"/>
    <w:bookmarkStart w:id="69" w:name="仓位模型量化推导与人工确认"/>
    <w:p>
      <w:pPr>
        <w:pStyle w:val="Heading2"/>
      </w:pPr>
      <w:r>
        <w:t xml:space="preserve">🧮 </w:t>
      </w:r>
      <w:r>
        <w:rPr>
          <w:rFonts w:hint="eastAsia"/>
        </w:rPr>
        <w:t xml:space="preserve">仓位模型：量化推导与人工确认</w:t>
      </w:r>
    </w:p>
    <w:bookmarkStart w:id="66" w:name="模型输入"/>
    <w:p>
      <w:pPr>
        <w:pStyle w:val="Heading3"/>
      </w:pPr>
      <w:r>
        <w:rPr>
          <w:rFonts w:hint="eastAsia"/>
        </w:rPr>
        <w:t xml:space="preserve">模型输入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jc w:val="right"/>
            </w:pPr>
            <w:r>
              <w:rPr>
                <w:rFonts w:hint="eastAsia"/>
              </w:rPr>
              <w:t xml:space="preserve">仓位影响</w:t>
            </w:r>
          </w:p>
        </w:tc>
      </w:tr>
      <w:tr>
        <w:tc>
          <w:tcPr/>
          <w:p>
            <w:pPr>
              <w:pStyle w:val="Compact"/>
            </w:pPr>
            <w:r>
              <w:rPr>
                <w:rFonts w:hint="eastAsia"/>
              </w:rPr>
              <w:t xml:space="preserve">涨跌比</w:t>
            </w:r>
          </w:p>
        </w:tc>
        <w:tc>
          <w:tcPr/>
          <w:p>
            <w:pPr>
              <w:pStyle w:val="Compact"/>
              <w:jc w:val="right"/>
            </w:pPr>
            <w:r>
              <w:t xml:space="preserve">0.265</w:t>
            </w:r>
          </w:p>
        </w:tc>
        <w:tc>
          <w:tcPr/>
          <w:p>
            <w:pPr>
              <w:pStyle w:val="Compact"/>
              <w:jc w:val="right"/>
            </w:pPr>
            <w:r>
              <w:t xml:space="preserve">-15</w:t>
            </w:r>
          </w:p>
        </w:tc>
      </w:tr>
      <w:tr>
        <w:tc>
          <w:tcPr/>
          <w:p>
            <w:pPr>
              <w:pStyle w:val="Compact"/>
            </w:pPr>
            <w:r>
              <w:rPr>
                <w:rFonts w:hint="eastAsia"/>
              </w:rPr>
              <w:t xml:space="preserve">跌停数</w:t>
            </w:r>
          </w:p>
        </w:tc>
        <w:tc>
          <w:tcPr/>
          <w:p>
            <w:pPr>
              <w:pStyle w:val="Compact"/>
              <w:jc w:val="right"/>
            </w:pPr>
            <w:r>
              <w:t xml:space="preserve">4</w:t>
            </w:r>
          </w:p>
        </w:tc>
        <w:tc>
          <w:tcPr/>
          <w:p>
            <w:pPr>
              <w:pStyle w:val="Compact"/>
              <w:jc w:val="right"/>
            </w:pPr>
            <w:r>
              <w:t xml:space="preserve">0</w:t>
            </w:r>
          </w:p>
        </w:tc>
      </w:tr>
      <w:tr>
        <w:tc>
          <w:tcPr/>
          <w:p>
            <w:pPr>
              <w:pStyle w:val="Compact"/>
            </w:pPr>
            <w:r>
              <w:rPr>
                <w:rFonts w:hint="eastAsia"/>
              </w:rPr>
              <w:t xml:space="preserve">成交额变化</w:t>
            </w:r>
          </w:p>
        </w:tc>
        <w:tc>
          <w:tcPr/>
          <w:p>
            <w:pPr>
              <w:pStyle w:val="Compact"/>
              <w:jc w:val="right"/>
            </w:pPr>
            <w:r>
              <w:t xml:space="preserve">+18.49%</w:t>
            </w:r>
          </w:p>
        </w:tc>
        <w:tc>
          <w:tcPr/>
          <w:p>
            <w:pPr>
              <w:pStyle w:val="Compact"/>
              <w:jc w:val="right"/>
            </w:pPr>
            <w:r>
              <w:t xml:space="preserve">+8</w:t>
            </w:r>
          </w:p>
        </w:tc>
      </w:tr>
      <w:tr>
        <w:tc>
          <w:tcPr/>
          <w:p>
            <w:pPr>
              <w:pStyle w:val="Compact"/>
            </w:pPr>
            <w:r>
              <w:rPr>
                <w:rFonts w:hint="eastAsia"/>
              </w:rPr>
              <w:t xml:space="preserve">建议最大仓位</w:t>
            </w:r>
          </w:p>
        </w:tc>
        <w:tc>
          <w:tcPr/>
          <w:p>
            <w:pPr>
              <w:pStyle w:val="Compact"/>
              <w:jc w:val="right"/>
            </w:pPr>
            <w:r>
              <w:t xml:space="preserve">50%</w:t>
            </w:r>
          </w:p>
        </w:tc>
        <w:tc>
          <w:tcPr/>
          <w:p>
            <w:pPr>
              <w:pStyle w:val="Compact"/>
              <w:jc w:val="right"/>
            </w:pPr>
            <w:r>
              <w:rPr>
                <w:rFonts w:hint="eastAsia"/>
              </w:rPr>
              <w:t xml:space="preserve">上限约束</w:t>
            </w:r>
          </w:p>
        </w:tc>
      </w:tr>
    </w:tbl>
    <w:bookmarkEnd w:id="66"/>
    <w:bookmarkStart w:id="67" w:name="推导结果"/>
    <w:p>
      <w:pPr>
        <w:pStyle w:val="Heading3"/>
      </w:pPr>
      <w:r>
        <w:rPr>
          <w:rFonts w:hint="eastAsia"/>
        </w:rPr>
        <w:t xml:space="preserve">推导结果</w:t>
      </w:r>
    </w:p>
    <w:p>
      <w:pPr>
        <w:pStyle w:val="Compact"/>
        <w:numPr>
          <w:ilvl w:val="0"/>
          <w:numId w:val="1056"/>
        </w:numPr>
      </w:pPr>
      <w:r>
        <w:rPr>
          <w:rFonts w:hint="eastAsia"/>
        </w:rPr>
        <w:t xml:space="preserve">激进仓位：43%</w:t>
      </w:r>
    </w:p>
    <w:p>
      <w:pPr>
        <w:pStyle w:val="Compact"/>
        <w:numPr>
          <w:ilvl w:val="0"/>
          <w:numId w:val="1056"/>
        </w:numPr>
      </w:pPr>
      <w:r>
        <w:rPr>
          <w:rFonts w:hint="eastAsia"/>
        </w:rPr>
        <w:t xml:space="preserve">均衡仓位：33%</w:t>
      </w:r>
    </w:p>
    <w:p>
      <w:pPr>
        <w:pStyle w:val="Compact"/>
        <w:numPr>
          <w:ilvl w:val="0"/>
          <w:numId w:val="1056"/>
        </w:numPr>
      </w:pPr>
      <w:r>
        <w:rPr>
          <w:rFonts w:hint="eastAsia"/>
        </w:rPr>
        <w:t xml:space="preserve">保守仓位：18%</w:t>
      </w:r>
    </w:p>
    <w:p>
      <w:pPr>
        <w:pStyle w:val="Compact"/>
        <w:numPr>
          <w:ilvl w:val="0"/>
          <w:numId w:val="1056"/>
        </w:numPr>
      </w:pPr>
      <w:r>
        <w:rPr>
          <w:rFonts w:hint="eastAsia"/>
        </w:rPr>
        <w:t xml:space="preserve">最大仓位：50%</w:t>
      </w:r>
    </w:p>
    <w:bookmarkEnd w:id="67"/>
    <w:bookmarkStart w:id="68" w:name="人工确认"/>
    <w:p>
      <w:pPr>
        <w:pStyle w:val="Heading3"/>
      </w:pPr>
      <w:r>
        <w:rPr>
          <w:rFonts w:hint="eastAsia"/>
        </w:rPr>
        <w:t xml:space="preserve">人工确认</w:t>
      </w:r>
    </w:p>
    <w:p>
      <w:pPr>
        <w:pStyle w:val="FirstParagraph"/>
      </w:pPr>
      <w:r>
        <w:t xml:space="preserve">💡 </w:t>
      </w:r>
      <w:r>
        <w:rPr>
          <w:rFonts w:hint="eastAsia"/>
        </w:rPr>
        <w:t xml:space="preserve">我给出的执行口径：</w:t>
      </w:r>
    </w:p>
    <w:p>
      <w:pPr>
        <w:pStyle w:val="Compact"/>
        <w:numPr>
          <w:ilvl w:val="0"/>
          <w:numId w:val="1057"/>
        </w:numPr>
      </w:pPr>
      <w:r>
        <w:rPr>
          <w:rFonts w:hint="eastAsia"/>
        </w:rPr>
        <w:t xml:space="preserve">默认采用均衡33%，不主动超过43%。</w:t>
      </w:r>
    </w:p>
    <w:p>
      <w:pPr>
        <w:pStyle w:val="Compact"/>
        <w:numPr>
          <w:ilvl w:val="0"/>
          <w:numId w:val="1057"/>
        </w:numPr>
      </w:pPr>
      <w:r>
        <w:rPr>
          <w:rFonts w:hint="eastAsia"/>
        </w:rPr>
        <w:t xml:space="preserve">只有当涨跌比回到1以上、通信/医药/电力至少两条线共振，才允许向43%靠近。</w:t>
      </w:r>
    </w:p>
    <w:p>
      <w:pPr>
        <w:pStyle w:val="Compact"/>
        <w:numPr>
          <w:ilvl w:val="0"/>
          <w:numId w:val="1057"/>
        </w:numPr>
      </w:pPr>
      <w:r>
        <w:rPr>
          <w:rFonts w:hint="eastAsia"/>
        </w:rPr>
        <w:t xml:space="preserve">若上证指数跌破3900且宽基ETF继续流出，仓位降至18%。</w:t>
      </w:r>
    </w:p>
    <w:p>
      <w:pPr>
        <w:pStyle w:val="Compact"/>
        <w:numPr>
          <w:ilvl w:val="0"/>
          <w:numId w:val="1057"/>
        </w:numPr>
      </w:pPr>
      <w:r>
        <w:rPr>
          <w:rFonts w:hint="eastAsia"/>
        </w:rPr>
        <w:t xml:space="preserve">今日不建议满仓或重仓押单一科技方向。</w:t>
      </w:r>
    </w:p>
    <w:p>
      <w:r>
        <w:pict>
          <v:rect style="width:0;height:1.5pt" o:hralign="center" o:hrstd="t" o:hr="t"/>
        </w:pict>
      </w:r>
    </w:p>
    <w:bookmarkEnd w:id="68"/>
    <w:bookmarkEnd w:id="69"/>
    <w:bookmarkStart w:id="73" w:name="重点股技术与质量校验资金强不等于买点"/>
    <w:p>
      <w:pPr>
        <w:pStyle w:val="Heading2"/>
      </w:pPr>
      <w:r>
        <w:t xml:space="preserve">🧪 </w:t>
      </w:r>
      <w:r>
        <w:rPr>
          <w:rFonts w:hint="eastAsia"/>
        </w:rPr>
        <w:t xml:space="preserve">重点股技术与质量校验：资金强不等于买点</w:t>
      </w:r>
    </w:p>
    <w:bookmarkStart w:id="70" w:name="tickflow重点股样本宽度"/>
    <w:p>
      <w:pPr>
        <w:pStyle w:val="Heading3"/>
      </w:pPr>
      <w:r>
        <w:rPr>
          <w:rFonts w:hint="eastAsia"/>
        </w:rPr>
        <w:t xml:space="preserve">TickFlow重点股样本宽度</w:t>
      </w:r>
    </w:p>
    <w:p>
      <w:pPr>
        <w:pStyle w:val="Compact"/>
        <w:numPr>
          <w:ilvl w:val="0"/>
          <w:numId w:val="1058"/>
        </w:numPr>
      </w:pPr>
      <w:r>
        <w:rPr>
          <w:rFonts w:hint="eastAsia"/>
        </w:rPr>
        <w:t xml:space="preserve">范围：focus_stock_sample，仅为重点股样本，不是全A股市场宽度。</w:t>
      </w:r>
    </w:p>
    <w:p>
      <w:pPr>
        <w:pStyle w:val="Compact"/>
        <w:numPr>
          <w:ilvl w:val="0"/>
          <w:numId w:val="1058"/>
        </w:numPr>
      </w:pPr>
      <w:r>
        <w:rPr>
          <w:rFonts w:hint="eastAsia"/>
        </w:rPr>
        <w:t xml:space="preserve">样本数量：10只。</w:t>
      </w:r>
    </w:p>
    <w:p>
      <w:pPr>
        <w:pStyle w:val="Compact"/>
        <w:numPr>
          <w:ilvl w:val="0"/>
          <w:numId w:val="1058"/>
        </w:numPr>
      </w:pPr>
      <w:r>
        <w:rPr>
          <w:rFonts w:hint="eastAsia"/>
        </w:rPr>
        <w:t xml:space="preserve">站上MA20比例：40.0%。</w:t>
      </w:r>
    </w:p>
    <w:p>
      <w:pPr>
        <w:pStyle w:val="Compact"/>
        <w:numPr>
          <w:ilvl w:val="0"/>
          <w:numId w:val="1058"/>
        </w:numPr>
      </w:pPr>
      <w:r>
        <w:rPr>
          <w:rFonts w:hint="eastAsia"/>
        </w:rPr>
        <w:t xml:space="preserve">站上MA60比例：20.0%。</w:t>
      </w:r>
    </w:p>
    <w:p>
      <w:pPr>
        <w:pStyle w:val="Compact"/>
        <w:numPr>
          <w:ilvl w:val="0"/>
          <w:numId w:val="1058"/>
        </w:numPr>
      </w:pPr>
      <w:r>
        <w:rPr>
          <w:rFonts w:hint="eastAsia"/>
        </w:rPr>
        <w:t xml:space="preserve">A/B/C/D评级：A为0只，B为1只，C为0只，D为8只。</w:t>
      </w:r>
    </w:p>
    <w:p>
      <w:pPr>
        <w:pStyle w:val="Compact"/>
        <w:numPr>
          <w:ilvl w:val="0"/>
          <w:numId w:val="1058"/>
        </w:numPr>
      </w:pPr>
      <w:r>
        <w:rPr>
          <w:rFonts w:hint="eastAsia"/>
        </w:rPr>
        <w:t xml:space="preserve">覆盖率：100.0%。</w:t>
      </w:r>
    </w:p>
    <w:bookmarkEnd w:id="70"/>
    <w:bookmarkStart w:id="71" w:name="右侧趋势观察"/>
    <w:p>
      <w:pPr>
        <w:pStyle w:val="Heading3"/>
      </w:pPr>
      <w:r>
        <w:rPr>
          <w:rFonts w:hint="eastAsia"/>
        </w:rPr>
        <w:t xml:space="preserve">右侧趋势观察</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股票</w:t>
            </w:r>
          </w:p>
        </w:tc>
        <w:tc>
          <w:tcPr/>
          <w:p>
            <w:pPr>
              <w:pStyle w:val="Compact"/>
            </w:pPr>
            <w:r>
              <w:rPr>
                <w:rFonts w:hint="eastAsia"/>
              </w:rPr>
              <w:t xml:space="preserve">评级</w:t>
            </w:r>
          </w:p>
        </w:tc>
        <w:tc>
          <w:tcPr/>
          <w:p>
            <w:pPr>
              <w:pStyle w:val="Compact"/>
              <w:jc w:val="right"/>
            </w:pPr>
            <w:r>
              <w:rPr>
                <w:rFonts w:hint="eastAsia"/>
              </w:rPr>
              <w:t xml:space="preserve">MA20关系</w:t>
            </w:r>
          </w:p>
        </w:tc>
        <w:tc>
          <w:tcPr/>
          <w:p>
            <w:pPr>
              <w:pStyle w:val="Compact"/>
              <w:jc w:val="right"/>
            </w:pPr>
            <w:r>
              <w:rPr>
                <w:rFonts w:hint="eastAsia"/>
              </w:rPr>
              <w:t xml:space="preserve">MA60关系</w:t>
            </w:r>
          </w:p>
        </w:tc>
        <w:tc>
          <w:tcPr/>
          <w:p>
            <w:pPr>
              <w:pStyle w:val="Compact"/>
            </w:pPr>
            <w:r>
              <w:rPr>
                <w:rFonts w:hint="eastAsia"/>
              </w:rPr>
              <w:t xml:space="preserve">行动</w:t>
            </w:r>
          </w:p>
        </w:tc>
      </w:tr>
      <w:tr>
        <w:tc>
          <w:tcPr/>
          <w:p>
            <w:pPr>
              <w:pStyle w:val="Compact"/>
            </w:pPr>
            <w:r>
              <w:rPr>
                <w:rFonts w:hint="eastAsia"/>
              </w:rPr>
              <w:t xml:space="preserve">风华高科</w:t>
            </w:r>
          </w:p>
        </w:tc>
        <w:tc>
          <w:tcPr/>
          <w:p>
            <w:pPr>
              <w:pStyle w:val="Compact"/>
            </w:pPr>
            <w:r>
              <w:t xml:space="preserve">B</w:t>
            </w:r>
          </w:p>
        </w:tc>
        <w:tc>
          <w:tcPr/>
          <w:p>
            <w:pPr>
              <w:pStyle w:val="Compact"/>
              <w:jc w:val="right"/>
            </w:pPr>
            <w:r>
              <w:rPr>
                <w:rFonts w:hint="eastAsia"/>
              </w:rPr>
              <w:t xml:space="preserve">站上</w:t>
            </w:r>
          </w:p>
        </w:tc>
        <w:tc>
          <w:tcPr/>
          <w:p>
            <w:pPr>
              <w:pStyle w:val="Compact"/>
              <w:jc w:val="right"/>
            </w:pPr>
            <w:r>
              <w:rPr>
                <w:rFonts w:hint="eastAsia"/>
              </w:rPr>
              <w:t xml:space="preserve">站上</w:t>
            </w:r>
          </w:p>
        </w:tc>
        <w:tc>
          <w:tcPr/>
          <w:p>
            <w:pPr>
              <w:pStyle w:val="Compact"/>
            </w:pPr>
            <w:r>
              <w:rPr>
                <w:rFonts w:hint="eastAsia"/>
              </w:rPr>
              <w:t xml:space="preserve">等待放量突破前高，回踩MA20不破观察</w:t>
            </w:r>
          </w:p>
        </w:tc>
      </w:tr>
      <w:tr>
        <w:tc>
          <w:tcPr/>
          <w:p>
            <w:pPr>
              <w:pStyle w:val="Compact"/>
            </w:pPr>
            <w:r>
              <w:rPr>
                <w:rFonts w:hint="eastAsia"/>
              </w:rPr>
              <w:t xml:space="preserve">中际旭创</w:t>
            </w:r>
          </w:p>
        </w:tc>
        <w:tc>
          <w:tcPr/>
          <w:p>
            <w:pPr>
              <w:pStyle w:val="Compact"/>
            </w:pPr>
            <w:r>
              <w:t xml:space="preserve">D</w:t>
            </w:r>
          </w:p>
        </w:tc>
        <w:tc>
          <w:tcPr/>
          <w:p>
            <w:pPr>
              <w:pStyle w:val="Compact"/>
              <w:jc w:val="right"/>
            </w:pPr>
            <w:r>
              <w:rPr>
                <w:rFonts w:hint="eastAsia"/>
              </w:rPr>
              <w:t xml:space="preserve">跌破</w:t>
            </w:r>
          </w:p>
        </w:tc>
        <w:tc>
          <w:tcPr/>
          <w:p>
            <w:pPr>
              <w:pStyle w:val="Compact"/>
              <w:jc w:val="right"/>
            </w:pPr>
            <w:r>
              <w:rPr>
                <w:rFonts w:hint="eastAsia"/>
              </w:rPr>
              <w:t xml:space="preserve">跌破</w:t>
            </w:r>
          </w:p>
        </w:tc>
        <w:tc>
          <w:tcPr/>
          <w:p>
            <w:pPr>
              <w:pStyle w:val="Compact"/>
            </w:pPr>
            <w:r>
              <w:rPr>
                <w:rFonts w:hint="eastAsia"/>
              </w:rPr>
              <w:t xml:space="preserve">回避</w:t>
            </w:r>
          </w:p>
        </w:tc>
      </w:tr>
      <w:tr>
        <w:tc>
          <w:tcPr/>
          <w:p>
            <w:pPr>
              <w:pStyle w:val="Compact"/>
            </w:pPr>
            <w:r>
              <w:rPr>
                <w:rFonts w:hint="eastAsia"/>
              </w:rPr>
              <w:t xml:space="preserve">兆易创新</w:t>
            </w:r>
          </w:p>
        </w:tc>
        <w:tc>
          <w:tcPr/>
          <w:p>
            <w:pPr>
              <w:pStyle w:val="Compact"/>
            </w:pPr>
            <w:r>
              <w:t xml:space="preserve">D</w:t>
            </w:r>
          </w:p>
        </w:tc>
        <w:tc>
          <w:tcPr/>
          <w:p>
            <w:pPr>
              <w:pStyle w:val="Compact"/>
              <w:jc w:val="right"/>
            </w:pPr>
            <w:r>
              <w:rPr>
                <w:rFonts w:hint="eastAsia"/>
              </w:rPr>
              <w:t xml:space="preserve">跌破</w:t>
            </w:r>
          </w:p>
        </w:tc>
        <w:tc>
          <w:tcPr/>
          <w:p>
            <w:pPr>
              <w:pStyle w:val="Compact"/>
              <w:jc w:val="right"/>
            </w:pPr>
            <w:r>
              <w:rPr>
                <w:rFonts w:hint="eastAsia"/>
              </w:rPr>
              <w:t xml:space="preserve">跌破</w:t>
            </w:r>
          </w:p>
        </w:tc>
        <w:tc>
          <w:tcPr/>
          <w:p>
            <w:pPr>
              <w:pStyle w:val="Compact"/>
            </w:pPr>
            <w:r>
              <w:rPr>
                <w:rFonts w:hint="eastAsia"/>
              </w:rPr>
              <w:t xml:space="preserve">回避</w:t>
            </w:r>
          </w:p>
        </w:tc>
      </w:tr>
      <w:tr>
        <w:tc>
          <w:tcPr/>
          <w:p>
            <w:pPr>
              <w:pStyle w:val="Compact"/>
            </w:pPr>
            <w:r>
              <w:rPr>
                <w:rFonts w:hint="eastAsia"/>
              </w:rPr>
              <w:t xml:space="preserve">新易盛</w:t>
            </w:r>
          </w:p>
        </w:tc>
        <w:tc>
          <w:tcPr/>
          <w:p>
            <w:pPr>
              <w:pStyle w:val="Compact"/>
            </w:pPr>
            <w:r>
              <w:t xml:space="preserve">D</w:t>
            </w:r>
          </w:p>
        </w:tc>
        <w:tc>
          <w:tcPr/>
          <w:p>
            <w:pPr>
              <w:pStyle w:val="Compact"/>
              <w:jc w:val="right"/>
            </w:pPr>
            <w:r>
              <w:rPr>
                <w:rFonts w:hint="eastAsia"/>
              </w:rPr>
              <w:t xml:space="preserve">跌破</w:t>
            </w:r>
          </w:p>
        </w:tc>
        <w:tc>
          <w:tcPr/>
          <w:p>
            <w:pPr>
              <w:pStyle w:val="Compact"/>
              <w:jc w:val="right"/>
            </w:pPr>
            <w:r>
              <w:rPr>
                <w:rFonts w:hint="eastAsia"/>
              </w:rPr>
              <w:t xml:space="preserve">跌破</w:t>
            </w:r>
          </w:p>
        </w:tc>
        <w:tc>
          <w:tcPr/>
          <w:p>
            <w:pPr>
              <w:pStyle w:val="Compact"/>
            </w:pPr>
            <w:r>
              <w:rPr>
                <w:rFonts w:hint="eastAsia"/>
              </w:rPr>
              <w:t xml:space="preserve">回避</w:t>
            </w:r>
          </w:p>
        </w:tc>
      </w:tr>
      <w:tr>
        <w:tc>
          <w:tcPr/>
          <w:p>
            <w:pPr>
              <w:pStyle w:val="Compact"/>
            </w:pPr>
            <w:r>
              <w:rPr>
                <w:rFonts w:hint="eastAsia"/>
              </w:rPr>
              <w:t xml:space="preserve">寒武纪</w:t>
            </w:r>
          </w:p>
        </w:tc>
        <w:tc>
          <w:tcPr/>
          <w:p>
            <w:pPr>
              <w:pStyle w:val="Compact"/>
            </w:pPr>
            <w:r>
              <w:t xml:space="preserve">D</w:t>
            </w:r>
          </w:p>
        </w:tc>
        <w:tc>
          <w:tcPr/>
          <w:p>
            <w:pPr>
              <w:pStyle w:val="Compact"/>
              <w:jc w:val="right"/>
            </w:pPr>
            <w:r>
              <w:rPr>
                <w:rFonts w:hint="eastAsia"/>
              </w:rPr>
              <w:t xml:space="preserve">跌破</w:t>
            </w:r>
          </w:p>
        </w:tc>
        <w:tc>
          <w:tcPr/>
          <w:p>
            <w:pPr>
              <w:pStyle w:val="Compact"/>
              <w:jc w:val="right"/>
            </w:pPr>
            <w:r>
              <w:rPr>
                <w:rFonts w:hint="eastAsia"/>
              </w:rPr>
              <w:t xml:space="preserve">跌破</w:t>
            </w:r>
          </w:p>
        </w:tc>
        <w:tc>
          <w:tcPr/>
          <w:p>
            <w:pPr>
              <w:pStyle w:val="Compact"/>
            </w:pPr>
            <w:r>
              <w:rPr>
                <w:rFonts w:hint="eastAsia"/>
              </w:rPr>
              <w:t xml:space="preserve">回避</w:t>
            </w:r>
          </w:p>
        </w:tc>
      </w:tr>
    </w:tbl>
    <w:bookmarkEnd w:id="71"/>
    <w:bookmarkStart w:id="72" w:name="财务与估值支撑"/>
    <w:p>
      <w:pPr>
        <w:pStyle w:val="Heading3"/>
      </w:pPr>
      <w:r>
        <w:rPr>
          <w:rFonts w:hint="eastAsia"/>
        </w:rPr>
        <w:t xml:space="preserve">财务与估值支撑</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股票</w:t>
            </w:r>
          </w:p>
        </w:tc>
        <w:tc>
          <w:tcPr/>
          <w:p>
            <w:pPr>
              <w:pStyle w:val="Compact"/>
              <w:jc w:val="right"/>
            </w:pPr>
            <w:r>
              <w:rPr>
                <w:rFonts w:hint="eastAsia"/>
              </w:rPr>
              <w:t xml:space="preserve">2026一季报净利同比</w:t>
            </w:r>
          </w:p>
        </w:tc>
        <w:tc>
          <w:tcPr/>
          <w:p>
            <w:pPr>
              <w:pStyle w:val="Compact"/>
              <w:jc w:val="right"/>
            </w:pPr>
            <w:r>
              <w:t xml:space="preserve">PE(TTM)</w:t>
            </w:r>
          </w:p>
        </w:tc>
        <w:tc>
          <w:tcPr/>
          <w:p>
            <w:pPr>
              <w:pStyle w:val="Compact"/>
              <w:jc w:val="right"/>
            </w:pPr>
            <w:r>
              <w:t xml:space="preserve">PB</w:t>
            </w:r>
          </w:p>
        </w:tc>
        <w:tc>
          <w:tcPr/>
          <w:p>
            <w:pPr>
              <w:pStyle w:val="Compact"/>
            </w:pPr>
            <w:r>
              <w:rPr>
                <w:rFonts w:hint="eastAsia"/>
              </w:rPr>
              <w:t xml:space="preserve">风险点</w:t>
            </w:r>
          </w:p>
        </w:tc>
      </w:tr>
      <w:tr>
        <w:tc>
          <w:tcPr/>
          <w:p>
            <w:pPr>
              <w:pStyle w:val="Compact"/>
            </w:pPr>
            <w:r>
              <w:rPr>
                <w:rFonts w:hint="eastAsia"/>
              </w:rPr>
              <w:t xml:space="preserve">中际旭创</w:t>
            </w:r>
          </w:p>
        </w:tc>
        <w:tc>
          <w:tcPr/>
          <w:p>
            <w:pPr>
              <w:pStyle w:val="Compact"/>
              <w:jc w:val="right"/>
            </w:pPr>
            <w:r>
              <w:t xml:space="preserve">+273.7%</w:t>
            </w:r>
          </w:p>
        </w:tc>
        <w:tc>
          <w:tcPr/>
          <w:p>
            <w:pPr>
              <w:pStyle w:val="Compact"/>
              <w:jc w:val="right"/>
            </w:pPr>
            <w:r>
              <w:rPr>
                <w:rFonts w:hint="eastAsia"/>
              </w:rPr>
              <w:t xml:space="preserve">72.07倍</w:t>
            </w:r>
          </w:p>
        </w:tc>
        <w:tc>
          <w:tcPr/>
          <w:p>
            <w:pPr>
              <w:pStyle w:val="Compact"/>
              <w:jc w:val="right"/>
            </w:pPr>
            <w:r>
              <w:rPr>
                <w:rFonts w:hint="eastAsia"/>
              </w:rPr>
              <w:t xml:space="preserve">30.27倍</w:t>
            </w:r>
          </w:p>
        </w:tc>
        <w:tc>
          <w:tcPr/>
          <w:p>
            <w:pPr>
              <w:pStyle w:val="Compact"/>
            </w:pPr>
            <w:r>
              <w:rPr>
                <w:rFonts w:hint="eastAsia"/>
              </w:rPr>
              <w:t xml:space="preserve">技术D，跌破MA20/MA60</w:t>
            </w:r>
          </w:p>
        </w:tc>
      </w:tr>
      <w:tr>
        <w:tc>
          <w:tcPr/>
          <w:p>
            <w:pPr>
              <w:pStyle w:val="Compact"/>
            </w:pPr>
            <w:r>
              <w:rPr>
                <w:rFonts w:hint="eastAsia"/>
              </w:rPr>
              <w:t xml:space="preserve">长鑫科技</w:t>
            </w:r>
          </w:p>
        </w:tc>
        <w:tc>
          <w:tcPr/>
          <w:p>
            <w:pPr>
              <w:pStyle w:val="Compact"/>
              <w:jc w:val="right"/>
            </w:pPr>
            <w:r>
              <w:t xml:space="preserve">+1268%</w:t>
            </w:r>
          </w:p>
        </w:tc>
        <w:tc>
          <w:tcPr/>
          <w:p>
            <w:pPr>
              <w:pStyle w:val="Compact"/>
              <w:jc w:val="right"/>
            </w:pPr>
            <w:r>
              <w:rPr>
                <w:rFonts w:hint="eastAsia"/>
              </w:rPr>
              <w:t xml:space="preserve">125.4倍</w:t>
            </w:r>
          </w:p>
        </w:tc>
        <w:tc>
          <w:tcPr/>
          <w:p>
            <w:pPr>
              <w:pStyle w:val="Compact"/>
              <w:jc w:val="right"/>
            </w:pPr>
            <w:r>
              <w:rPr>
                <w:rFonts w:hint="eastAsia"/>
              </w:rPr>
              <w:t xml:space="preserve">43.28倍</w:t>
            </w:r>
          </w:p>
        </w:tc>
        <w:tc>
          <w:tcPr/>
          <w:p>
            <w:pPr>
              <w:pStyle w:val="Compact"/>
            </w:pPr>
            <w:r>
              <w:rPr>
                <w:rFonts w:hint="eastAsia"/>
              </w:rPr>
              <w:t xml:space="preserve">技术数据不足，估值高</w:t>
            </w:r>
          </w:p>
        </w:tc>
      </w:tr>
      <w:tr>
        <w:tc>
          <w:tcPr/>
          <w:p>
            <w:pPr>
              <w:pStyle w:val="Compact"/>
            </w:pPr>
            <w:r>
              <w:rPr>
                <w:rFonts w:hint="eastAsia"/>
              </w:rPr>
              <w:t xml:space="preserve">兆易创新</w:t>
            </w:r>
          </w:p>
        </w:tc>
        <w:tc>
          <w:tcPr/>
          <w:p>
            <w:pPr>
              <w:pStyle w:val="Compact"/>
              <w:jc w:val="right"/>
            </w:pPr>
            <w:r>
              <w:t xml:space="preserve">+514.3%</w:t>
            </w:r>
          </w:p>
        </w:tc>
        <w:tc>
          <w:tcPr/>
          <w:p>
            <w:pPr>
              <w:pStyle w:val="Compact"/>
              <w:jc w:val="right"/>
            </w:pPr>
            <w:r>
              <w:rPr>
                <w:rFonts w:hint="eastAsia"/>
              </w:rPr>
              <w:t xml:space="preserve">98.74倍</w:t>
            </w:r>
          </w:p>
        </w:tc>
        <w:tc>
          <w:tcPr/>
          <w:p>
            <w:pPr>
              <w:pStyle w:val="Compact"/>
              <w:jc w:val="right"/>
            </w:pPr>
            <w:r>
              <w:rPr>
                <w:rFonts w:hint="eastAsia"/>
              </w:rPr>
              <w:t xml:space="preserve">11.23倍</w:t>
            </w:r>
          </w:p>
        </w:tc>
        <w:tc>
          <w:tcPr/>
          <w:p>
            <w:pPr>
              <w:pStyle w:val="Compact"/>
            </w:pPr>
            <w:r>
              <w:rPr>
                <w:rFonts w:hint="eastAsia"/>
              </w:rPr>
              <w:t xml:space="preserve">技术D，半导体流出</w:t>
            </w:r>
          </w:p>
        </w:tc>
      </w:tr>
      <w:tr>
        <w:tc>
          <w:tcPr/>
          <w:p>
            <w:pPr>
              <w:pStyle w:val="Compact"/>
            </w:pPr>
            <w:r>
              <w:rPr>
                <w:rFonts w:hint="eastAsia"/>
              </w:rPr>
              <w:t xml:space="preserve">新易盛</w:t>
            </w:r>
          </w:p>
        </w:tc>
        <w:tc>
          <w:tcPr/>
          <w:p>
            <w:pPr>
              <w:pStyle w:val="Compact"/>
              <w:jc w:val="right"/>
            </w:pPr>
            <w:r>
              <w:t xml:space="preserve">+76.42%</w:t>
            </w:r>
          </w:p>
        </w:tc>
        <w:tc>
          <w:tcPr/>
          <w:p>
            <w:pPr>
              <w:pStyle w:val="Compact"/>
              <w:jc w:val="right"/>
            </w:pPr>
            <w:r>
              <w:rPr>
                <w:rFonts w:hint="eastAsia"/>
              </w:rPr>
              <w:t xml:space="preserve">55.81倍</w:t>
            </w:r>
          </w:p>
        </w:tc>
        <w:tc>
          <w:tcPr/>
          <w:p>
            <w:pPr>
              <w:pStyle w:val="Compact"/>
              <w:jc w:val="right"/>
            </w:pPr>
            <w:r>
              <w:rPr>
                <w:rFonts w:hint="eastAsia"/>
              </w:rPr>
              <w:t xml:space="preserve">29.41倍</w:t>
            </w:r>
          </w:p>
        </w:tc>
        <w:tc>
          <w:tcPr/>
          <w:p>
            <w:pPr>
              <w:pStyle w:val="Compact"/>
            </w:pPr>
            <w:r>
              <w:rPr>
                <w:rFonts w:hint="eastAsia"/>
              </w:rPr>
              <w:t xml:space="preserve">技术D，跌破MA20/MA60</w:t>
            </w:r>
          </w:p>
        </w:tc>
      </w:tr>
      <w:tr>
        <w:tc>
          <w:tcPr/>
          <w:p>
            <w:pPr>
              <w:pStyle w:val="Compact"/>
            </w:pPr>
            <w:r>
              <w:rPr>
                <w:rFonts w:hint="eastAsia"/>
              </w:rPr>
              <w:t xml:space="preserve">东山精密</w:t>
            </w:r>
          </w:p>
        </w:tc>
        <w:tc>
          <w:tcPr/>
          <w:p>
            <w:pPr>
              <w:pStyle w:val="Compact"/>
              <w:jc w:val="right"/>
            </w:pPr>
            <w:r>
              <w:t xml:space="preserve">+146.2%</w:t>
            </w:r>
          </w:p>
        </w:tc>
        <w:tc>
          <w:tcPr/>
          <w:p>
            <w:pPr>
              <w:pStyle w:val="Compact"/>
              <w:jc w:val="right"/>
            </w:pPr>
            <w:r>
              <w:rPr>
                <w:rFonts w:hint="eastAsia"/>
              </w:rPr>
              <w:t xml:space="preserve">181.5倍</w:t>
            </w:r>
          </w:p>
        </w:tc>
        <w:tc>
          <w:tcPr/>
          <w:p>
            <w:pPr>
              <w:pStyle w:val="Compact"/>
              <w:jc w:val="right"/>
            </w:pPr>
            <w:r>
              <w:rPr>
                <w:rFonts w:hint="eastAsia"/>
              </w:rPr>
              <w:t xml:space="preserve">16.35倍</w:t>
            </w:r>
          </w:p>
        </w:tc>
        <w:tc>
          <w:tcPr/>
          <w:p>
            <w:pPr>
              <w:pStyle w:val="Compact"/>
            </w:pPr>
            <w:r>
              <w:rPr>
                <w:rFonts w:hint="eastAsia"/>
              </w:rPr>
              <w:t xml:space="preserve">技术D，估值压力高</w:t>
            </w:r>
          </w:p>
        </w:tc>
      </w:tr>
    </w:tbl>
    <w:p>
      <w:pPr>
        <w:pStyle w:val="BodyText"/>
      </w:pPr>
      <w:r>
        <w:t xml:space="preserve">📌 </w:t>
      </w:r>
      <w:r>
        <w:rPr>
          <w:rFonts w:hint="eastAsia"/>
        </w:rPr>
        <w:t xml:space="preserve">结论：</w:t>
      </w:r>
    </w:p>
    <w:p>
      <w:pPr>
        <w:pStyle w:val="Compact"/>
        <w:numPr>
          <w:ilvl w:val="0"/>
          <w:numId w:val="1059"/>
        </w:numPr>
      </w:pPr>
      <w:r>
        <w:rPr>
          <w:rFonts w:hint="eastAsia"/>
        </w:rPr>
        <w:t xml:space="preserve">财务增速确实强，但估值与技术位置都不便宜。</w:t>
      </w:r>
    </w:p>
    <w:p>
      <w:pPr>
        <w:pStyle w:val="Compact"/>
        <w:numPr>
          <w:ilvl w:val="0"/>
          <w:numId w:val="1059"/>
        </w:numPr>
      </w:pPr>
      <w:r>
        <w:rPr>
          <w:rFonts w:hint="eastAsia"/>
        </w:rPr>
        <w:t xml:space="preserve">当前更适合等“强股二波确认”，而不是在D级趋势中左侧低吸。</w:t>
      </w:r>
    </w:p>
    <w:p>
      <w:pPr>
        <w:pStyle w:val="Compact"/>
        <w:numPr>
          <w:ilvl w:val="0"/>
          <w:numId w:val="1059"/>
        </w:numPr>
      </w:pPr>
      <w:r>
        <w:rPr>
          <w:rFonts w:hint="eastAsia"/>
        </w:rPr>
        <w:t xml:space="preserve">A/B也禁止追涨；风华高科虽为B，但资金流出TOP1，必须等资金回流确认。</w:t>
      </w:r>
    </w:p>
    <w:p>
      <w:r>
        <w:pict>
          <v:rect style="width:0;height:1.5pt" o:hralign="center" o:hrstd="t" o:hr="t"/>
        </w:pict>
      </w:r>
    </w:p>
    <w:bookmarkEnd w:id="72"/>
    <w:bookmarkEnd w:id="73"/>
    <w:bookmarkStart w:id="77" w:name="回避清单今日纪律比机会更重要"/>
    <w:p>
      <w:pPr>
        <w:pStyle w:val="Heading2"/>
      </w:pPr>
      <w:r>
        <w:t xml:space="preserve">🚫 </w:t>
      </w:r>
      <w:r>
        <w:rPr>
          <w:rFonts w:hint="eastAsia"/>
        </w:rPr>
        <w:t xml:space="preserve">回避清单：今日纪律比机会更重要</w:t>
      </w:r>
    </w:p>
    <w:bookmarkStart w:id="74" w:name="高位破位科技"/>
    <w:p>
      <w:pPr>
        <w:pStyle w:val="Heading3"/>
      </w:pPr>
      <w:r>
        <w:t xml:space="preserve">⛔ </w:t>
      </w:r>
      <w:r>
        <w:rPr>
          <w:rFonts w:hint="eastAsia"/>
        </w:rPr>
        <w:t xml:space="preserve">高位破位科技</w:t>
      </w:r>
    </w:p>
    <w:p>
      <w:pPr>
        <w:pStyle w:val="Compact"/>
        <w:numPr>
          <w:ilvl w:val="0"/>
          <w:numId w:val="1060"/>
        </w:numPr>
      </w:pPr>
      <w:r>
        <w:rPr>
          <w:rFonts w:hint="eastAsia"/>
        </w:rPr>
        <w:t xml:space="preserve">中际旭创：TickFlow</w:t>
      </w:r>
      <w:r>
        <w:t xml:space="preserve"> </w:t>
      </w:r>
      <w:r>
        <w:rPr>
          <w:rFonts w:hint="eastAsia"/>
        </w:rPr>
        <w:t xml:space="preserve">D，趋势破位；虽主力净流入+176.92亿，但技术未确认。</w:t>
      </w:r>
    </w:p>
    <w:p>
      <w:pPr>
        <w:pStyle w:val="Compact"/>
        <w:numPr>
          <w:ilvl w:val="0"/>
          <w:numId w:val="1060"/>
        </w:numPr>
      </w:pPr>
      <w:r>
        <w:rPr>
          <w:rFonts w:hint="eastAsia"/>
        </w:rPr>
        <w:t xml:space="preserve">兆易创新：TickFlow</w:t>
      </w:r>
      <w:r>
        <w:t xml:space="preserve"> </w:t>
      </w:r>
      <w:r>
        <w:rPr>
          <w:rFonts w:hint="eastAsia"/>
        </w:rPr>
        <w:t xml:space="preserve">D，趋势破位；同时个股净流出-9.52亿。</w:t>
      </w:r>
    </w:p>
    <w:p>
      <w:pPr>
        <w:pStyle w:val="Compact"/>
        <w:numPr>
          <w:ilvl w:val="0"/>
          <w:numId w:val="1060"/>
        </w:numPr>
      </w:pPr>
      <w:r>
        <w:rPr>
          <w:rFonts w:hint="eastAsia"/>
        </w:rPr>
        <w:t xml:space="preserve">新易盛：TickFlow</w:t>
      </w:r>
      <w:r>
        <w:t xml:space="preserve"> </w:t>
      </w:r>
      <w:r>
        <w:rPr>
          <w:rFonts w:hint="eastAsia"/>
        </w:rPr>
        <w:t xml:space="preserve">D，趋势破位。</w:t>
      </w:r>
    </w:p>
    <w:p>
      <w:pPr>
        <w:pStyle w:val="Compact"/>
        <w:numPr>
          <w:ilvl w:val="0"/>
          <w:numId w:val="1060"/>
        </w:numPr>
      </w:pPr>
      <w:r>
        <w:rPr>
          <w:rFonts w:hint="eastAsia"/>
        </w:rPr>
        <w:t xml:space="preserve">寒武纪：TickFlow</w:t>
      </w:r>
      <w:r>
        <w:t xml:space="preserve"> </w:t>
      </w:r>
      <w:r>
        <w:rPr>
          <w:rFonts w:hint="eastAsia"/>
        </w:rPr>
        <w:t xml:space="preserve">D，趋势破位。</w:t>
      </w:r>
    </w:p>
    <w:p>
      <w:pPr>
        <w:pStyle w:val="Compact"/>
        <w:numPr>
          <w:ilvl w:val="0"/>
          <w:numId w:val="1060"/>
        </w:numPr>
      </w:pPr>
      <w:r>
        <w:rPr>
          <w:rFonts w:hint="eastAsia"/>
        </w:rPr>
        <w:t xml:space="preserve">天孚通信：TickFlow</w:t>
      </w:r>
      <w:r>
        <w:t xml:space="preserve"> </w:t>
      </w:r>
      <w:r>
        <w:rPr>
          <w:rFonts w:hint="eastAsia"/>
        </w:rPr>
        <w:t xml:space="preserve">D，趋势破位。</w:t>
      </w:r>
    </w:p>
    <w:bookmarkEnd w:id="74"/>
    <w:bookmarkStart w:id="75" w:name="资金集中流出板块"/>
    <w:p>
      <w:pPr>
        <w:pStyle w:val="Heading3"/>
      </w:pPr>
      <w:r>
        <w:t xml:space="preserve">⛔ </w:t>
      </w:r>
      <w:r>
        <w:rPr>
          <w:rFonts w:hint="eastAsia"/>
        </w:rPr>
        <w:t xml:space="preserve">资金集中流出板块</w:t>
      </w:r>
    </w:p>
    <w:p>
      <w:pPr>
        <w:pStyle w:val="Compact"/>
        <w:numPr>
          <w:ilvl w:val="0"/>
          <w:numId w:val="1061"/>
        </w:numPr>
      </w:pPr>
      <w:r>
        <w:rPr>
          <w:rFonts w:hint="eastAsia"/>
        </w:rPr>
        <w:t xml:space="preserve">半导体：-98.00亿元。</w:t>
      </w:r>
    </w:p>
    <w:p>
      <w:pPr>
        <w:pStyle w:val="Compact"/>
        <w:numPr>
          <w:ilvl w:val="0"/>
          <w:numId w:val="1061"/>
        </w:numPr>
      </w:pPr>
      <w:r>
        <w:rPr>
          <w:rFonts w:hint="eastAsia"/>
        </w:rPr>
        <w:t xml:space="preserve">工业金属：-75.89亿元。</w:t>
      </w:r>
    </w:p>
    <w:p>
      <w:pPr>
        <w:pStyle w:val="Compact"/>
        <w:numPr>
          <w:ilvl w:val="0"/>
          <w:numId w:val="1061"/>
        </w:numPr>
      </w:pPr>
      <w:r>
        <w:rPr>
          <w:rFonts w:hint="eastAsia"/>
        </w:rPr>
        <w:t xml:space="preserve">元件：-45.85亿元。</w:t>
      </w:r>
    </w:p>
    <w:p>
      <w:pPr>
        <w:pStyle w:val="Compact"/>
        <w:numPr>
          <w:ilvl w:val="0"/>
          <w:numId w:val="1061"/>
        </w:numPr>
      </w:pPr>
      <w:r>
        <w:rPr>
          <w:rFonts w:hint="eastAsia"/>
        </w:rPr>
        <w:t xml:space="preserve">小金属：-43.83亿元。</w:t>
      </w:r>
    </w:p>
    <w:p>
      <w:pPr>
        <w:pStyle w:val="Compact"/>
        <w:numPr>
          <w:ilvl w:val="0"/>
          <w:numId w:val="1061"/>
        </w:numPr>
      </w:pPr>
      <w:r>
        <w:rPr>
          <w:rFonts w:hint="eastAsia"/>
        </w:rPr>
        <w:t xml:space="preserve">贵金属：-34.37亿元。</w:t>
      </w:r>
    </w:p>
    <w:bookmarkEnd w:id="75"/>
    <w:bookmarkStart w:id="76" w:name="不做的交易"/>
    <w:p>
      <w:pPr>
        <w:pStyle w:val="Heading3"/>
      </w:pPr>
      <w:r>
        <w:t xml:space="preserve">⛔ </w:t>
      </w:r>
      <w:r>
        <w:rPr>
          <w:rFonts w:hint="eastAsia"/>
        </w:rPr>
        <w:t xml:space="preserve">不做的交易</w:t>
      </w:r>
    </w:p>
    <w:p>
      <w:pPr>
        <w:pStyle w:val="Compact"/>
        <w:numPr>
          <w:ilvl w:val="0"/>
          <w:numId w:val="1062"/>
        </w:numPr>
      </w:pPr>
      <w:r>
        <w:rPr>
          <w:rFonts w:hint="eastAsia"/>
        </w:rPr>
        <w:t xml:space="preserve">不追美股映射高开的AI算力。</w:t>
      </w:r>
    </w:p>
    <w:p>
      <w:pPr>
        <w:pStyle w:val="Compact"/>
        <w:numPr>
          <w:ilvl w:val="0"/>
          <w:numId w:val="1062"/>
        </w:numPr>
      </w:pPr>
      <w:r>
        <w:rPr>
          <w:rFonts w:hint="eastAsia"/>
        </w:rPr>
        <w:t xml:space="preserve">不接连续流出资源股的第一根反抽。</w:t>
      </w:r>
    </w:p>
    <w:p>
      <w:pPr>
        <w:pStyle w:val="Compact"/>
        <w:numPr>
          <w:ilvl w:val="0"/>
          <w:numId w:val="1062"/>
        </w:numPr>
      </w:pPr>
      <w:r>
        <w:rPr>
          <w:rFonts w:hint="eastAsia"/>
        </w:rPr>
        <w:t xml:space="preserve">不因单条公告直接追中际旭创。</w:t>
      </w:r>
    </w:p>
    <w:p>
      <w:pPr>
        <w:pStyle w:val="Compact"/>
        <w:numPr>
          <w:ilvl w:val="0"/>
          <w:numId w:val="1062"/>
        </w:numPr>
      </w:pPr>
      <w:r>
        <w:rPr>
          <w:rFonts w:hint="eastAsia"/>
        </w:rPr>
        <w:t xml:space="preserve">不把宽基ETF未确认流入误读成指数托底完成。</w:t>
      </w:r>
    </w:p>
    <w:p>
      <w:pPr>
        <w:pStyle w:val="Compact"/>
        <w:numPr>
          <w:ilvl w:val="0"/>
          <w:numId w:val="1062"/>
        </w:numPr>
      </w:pPr>
      <w:r>
        <w:rPr>
          <w:rFonts w:hint="eastAsia"/>
        </w:rPr>
        <w:t xml:space="preserve">不把重点股样本趋势宽度写成全A股趋势宽度。</w:t>
      </w:r>
    </w:p>
    <w:p>
      <w:r>
        <w:pict>
          <v:rect style="width:0;height:1.5pt" o:hralign="center" o:hrstd="t" o:hr="t"/>
        </w:pict>
      </w:r>
    </w:p>
    <w:bookmarkEnd w:id="76"/>
    <w:bookmarkEnd w:id="77"/>
    <w:bookmarkStart w:id="80" w:name="风险日历周五重在防止高位分歧扩大"/>
    <w:p>
      <w:pPr>
        <w:pStyle w:val="Heading2"/>
      </w:pPr>
      <w:r>
        <w:t xml:space="preserve">🗓️ </w:t>
      </w:r>
      <w:r>
        <w:rPr>
          <w:rFonts w:hint="eastAsia"/>
        </w:rPr>
        <w:t xml:space="preserve">风险日历：周五重在防止高位分歧扩大</w:t>
      </w:r>
    </w:p>
    <w:bookmarkStart w:id="78" w:name="今日重点风险"/>
    <w:p>
      <w:pPr>
        <w:pStyle w:val="Heading3"/>
      </w:pPr>
      <w:r>
        <w:rPr>
          <w:rFonts w:hint="eastAsia"/>
        </w:rPr>
        <w:t xml:space="preserve">今日重点风险</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风险</w:t>
            </w:r>
          </w:p>
        </w:tc>
        <w:tc>
          <w:tcPr/>
          <w:p>
            <w:pPr>
              <w:pStyle w:val="Compact"/>
            </w:pPr>
            <w:r>
              <w:rPr>
                <w:rFonts w:hint="eastAsia"/>
              </w:rPr>
              <w:t xml:space="preserve">触发条件</w:t>
            </w:r>
          </w:p>
        </w:tc>
        <w:tc>
          <w:tcPr/>
          <w:p>
            <w:pPr>
              <w:pStyle w:val="Compact"/>
            </w:pPr>
            <w:r>
              <w:rPr>
                <w:rFonts w:hint="eastAsia"/>
              </w:rPr>
              <w:t xml:space="preserve">应对</w:t>
            </w:r>
          </w:p>
        </w:tc>
      </w:tr>
      <w:tr>
        <w:tc>
          <w:tcPr/>
          <w:p>
            <w:pPr>
              <w:pStyle w:val="Compact"/>
            </w:pPr>
            <w:r>
              <w:rPr>
                <w:rFonts w:hint="eastAsia"/>
              </w:rPr>
              <w:t xml:space="preserve">科技高位分歧</w:t>
            </w:r>
          </w:p>
        </w:tc>
        <w:tc>
          <w:tcPr/>
          <w:p>
            <w:pPr>
              <w:pStyle w:val="Compact"/>
            </w:pPr>
            <w:r>
              <w:rPr>
                <w:rFonts w:hint="eastAsia"/>
              </w:rPr>
              <w:t xml:space="preserve">半导体继续流出，核心股冲高回落</w:t>
            </w:r>
          </w:p>
        </w:tc>
        <w:tc>
          <w:tcPr/>
          <w:p>
            <w:pPr>
              <w:pStyle w:val="Compact"/>
            </w:pPr>
            <w:r>
              <w:rPr>
                <w:rFonts w:hint="eastAsia"/>
              </w:rPr>
              <w:t xml:space="preserve">降低科技仓位</w:t>
            </w:r>
          </w:p>
        </w:tc>
      </w:tr>
      <w:tr>
        <w:tc>
          <w:tcPr/>
          <w:p>
            <w:pPr>
              <w:pStyle w:val="Compact"/>
            </w:pPr>
            <w:r>
              <w:rPr>
                <w:rFonts w:hint="eastAsia"/>
              </w:rPr>
              <w:t xml:space="preserve">指数跌破3900</w:t>
            </w:r>
          </w:p>
        </w:tc>
        <w:tc>
          <w:tcPr/>
          <w:p>
            <w:pPr>
              <w:pStyle w:val="Compact"/>
            </w:pPr>
            <w:r>
              <w:rPr>
                <w:rFonts w:hint="eastAsia"/>
              </w:rPr>
              <w:t xml:space="preserve">上证指数失守3900且放量</w:t>
            </w:r>
          </w:p>
        </w:tc>
        <w:tc>
          <w:tcPr/>
          <w:p>
            <w:pPr>
              <w:pStyle w:val="Compact"/>
            </w:pPr>
            <w:r>
              <w:rPr>
                <w:rFonts w:hint="eastAsia"/>
              </w:rPr>
              <w:t xml:space="preserve">总仓降至18%</w:t>
            </w:r>
          </w:p>
        </w:tc>
      </w:tr>
      <w:tr>
        <w:tc>
          <w:tcPr/>
          <w:p>
            <w:pPr>
              <w:pStyle w:val="Compact"/>
            </w:pPr>
            <w:r>
              <w:rPr>
                <w:rFonts w:hint="eastAsia"/>
              </w:rPr>
              <w:t xml:space="preserve">宽基ETF继续流出</w:t>
            </w:r>
          </w:p>
        </w:tc>
        <w:tc>
          <w:tcPr/>
          <w:p>
            <w:pPr>
              <w:pStyle w:val="Compact"/>
            </w:pPr>
            <w:r>
              <w:rPr>
                <w:rFonts w:hint="eastAsia"/>
              </w:rPr>
              <w:t xml:space="preserve">沪深300ETF、科创50ETF份额继续减少</w:t>
            </w:r>
          </w:p>
        </w:tc>
        <w:tc>
          <w:tcPr/>
          <w:p>
            <w:pPr>
              <w:pStyle w:val="Compact"/>
            </w:pPr>
            <w:r>
              <w:rPr>
                <w:rFonts w:hint="eastAsia"/>
              </w:rPr>
              <w:t xml:space="preserve">不加指数仓</w:t>
            </w:r>
          </w:p>
        </w:tc>
      </w:tr>
      <w:tr>
        <w:tc>
          <w:tcPr/>
          <w:p>
            <w:pPr>
              <w:pStyle w:val="Compact"/>
            </w:pPr>
            <w:r>
              <w:rPr>
                <w:rFonts w:hint="eastAsia"/>
              </w:rPr>
              <w:t xml:space="preserve">周期反抽失败</w:t>
            </w:r>
          </w:p>
        </w:tc>
        <w:tc>
          <w:tcPr/>
          <w:p>
            <w:pPr>
              <w:pStyle w:val="Compact"/>
            </w:pPr>
            <w:r>
              <w:rPr>
                <w:rFonts w:hint="eastAsia"/>
              </w:rPr>
              <w:t xml:space="preserve">工业金属、小金属反弹无量</w:t>
            </w:r>
          </w:p>
        </w:tc>
        <w:tc>
          <w:tcPr/>
          <w:p>
            <w:pPr>
              <w:pStyle w:val="Compact"/>
            </w:pPr>
            <w:r>
              <w:rPr>
                <w:rFonts w:hint="eastAsia"/>
              </w:rPr>
              <w:t xml:space="preserve">反抽减仓</w:t>
            </w:r>
          </w:p>
        </w:tc>
      </w:tr>
      <w:tr>
        <w:tc>
          <w:tcPr/>
          <w:p>
            <w:pPr>
              <w:pStyle w:val="Compact"/>
            </w:pPr>
            <w:r>
              <w:rPr>
                <w:rFonts w:hint="eastAsia"/>
              </w:rPr>
              <w:t xml:space="preserve">周末不确定性</w:t>
            </w:r>
          </w:p>
        </w:tc>
        <w:tc>
          <w:tcPr/>
          <w:p>
            <w:pPr>
              <w:pStyle w:val="Compact"/>
            </w:pPr>
            <w:r>
              <w:rPr>
                <w:rFonts w:hint="eastAsia"/>
              </w:rPr>
              <w:t xml:space="preserve">午后资金避险</w:t>
            </w:r>
          </w:p>
        </w:tc>
        <w:tc>
          <w:tcPr/>
          <w:p>
            <w:pPr>
              <w:pStyle w:val="Compact"/>
            </w:pPr>
            <w:r>
              <w:rPr>
                <w:rFonts w:hint="eastAsia"/>
              </w:rPr>
              <w:t xml:space="preserve">不尾盘加重仓</w:t>
            </w:r>
          </w:p>
        </w:tc>
      </w:tr>
    </w:tbl>
    <w:bookmarkEnd w:id="78"/>
    <w:bookmarkStart w:id="79" w:name="未来观察点"/>
    <w:p>
      <w:pPr>
        <w:pStyle w:val="Heading3"/>
      </w:pPr>
      <w:r>
        <w:rPr>
          <w:rFonts w:hint="eastAsia"/>
        </w:rPr>
        <w:t xml:space="preserve">未来观察点</w:t>
      </w:r>
    </w:p>
    <w:p>
      <w:pPr>
        <w:pStyle w:val="Compact"/>
        <w:numPr>
          <w:ilvl w:val="0"/>
          <w:numId w:val="1063"/>
        </w:numPr>
      </w:pPr>
      <w:r>
        <w:t xml:space="preserve">300ETF </w:t>
      </w:r>
      <w:r>
        <w:rPr>
          <w:rFonts w:hint="eastAsia"/>
        </w:rPr>
        <w:t xml:space="preserve">QVIX是否继续下降。</w:t>
      </w:r>
    </w:p>
    <w:p>
      <w:pPr>
        <w:pStyle w:val="Compact"/>
        <w:numPr>
          <w:ilvl w:val="0"/>
          <w:numId w:val="1063"/>
        </w:numPr>
      </w:pPr>
      <w:r>
        <w:rPr>
          <w:rFonts w:hint="eastAsia"/>
        </w:rPr>
        <w:t xml:space="preserve">宽基ETF是否至少1只出现连续2个区间份额增加。</w:t>
      </w:r>
    </w:p>
    <w:p>
      <w:pPr>
        <w:pStyle w:val="Compact"/>
        <w:numPr>
          <w:ilvl w:val="0"/>
          <w:numId w:val="1063"/>
        </w:numPr>
      </w:pPr>
      <w:r>
        <w:rPr>
          <w:rFonts w:hint="eastAsia"/>
        </w:rPr>
        <w:t xml:space="preserve">上证指数能否重新站稳3926.9648上方并修复3900区域。</w:t>
      </w:r>
    </w:p>
    <w:p>
      <w:pPr>
        <w:pStyle w:val="Compact"/>
        <w:numPr>
          <w:ilvl w:val="0"/>
          <w:numId w:val="1063"/>
        </w:numPr>
      </w:pPr>
      <w:r>
        <w:rPr>
          <w:rFonts w:hint="eastAsia"/>
        </w:rPr>
        <w:t xml:space="preserve">科创50能否止跌，避免科技风险继续扩散。</w:t>
      </w:r>
    </w:p>
    <w:p>
      <w:pPr>
        <w:pStyle w:val="Compact"/>
        <w:numPr>
          <w:ilvl w:val="0"/>
          <w:numId w:val="1063"/>
        </w:numPr>
      </w:pPr>
      <w:r>
        <w:rPr>
          <w:rFonts w:hint="eastAsia"/>
        </w:rPr>
        <w:t xml:space="preserve">涨跌比能否从0.265回到1以上。</w:t>
      </w:r>
    </w:p>
    <w:p>
      <w:r>
        <w:pict>
          <v:rect style="width:0;height:1.5pt" o:hralign="center" o:hrstd="t" o:hr="t"/>
        </w:pict>
      </w:r>
    </w:p>
    <w:bookmarkEnd w:id="79"/>
    <w:bookmarkEnd w:id="80"/>
    <w:bookmarkStart w:id="82" w:name="外资与离岸风险偏好汇率稳定但港股偏弱"/>
    <w:p>
      <w:pPr>
        <w:pStyle w:val="Heading2"/>
      </w:pPr>
      <w:r>
        <w:t xml:space="preserve">🌊 </w:t>
      </w:r>
      <w:r>
        <w:rPr>
          <w:rFonts w:hint="eastAsia"/>
        </w:rPr>
        <w:t xml:space="preserve">外资与离岸风险偏好：汇率稳定，但港股偏弱</w:t>
      </w:r>
    </w:p>
    <w:bookmarkStart w:id="81" w:name="关键数据"/>
    <w:p>
      <w:pPr>
        <w:pStyle w:val="Heading3"/>
      </w:pPr>
      <w:r>
        <w:rPr>
          <w:rFonts w:hint="eastAsia"/>
        </w:rPr>
        <w:t xml:space="preserve">关键数据</w:t>
      </w:r>
    </w:p>
    <w:p>
      <w:pPr>
        <w:pStyle w:val="Compact"/>
        <w:numPr>
          <w:ilvl w:val="0"/>
          <w:numId w:val="1064"/>
        </w:numPr>
      </w:pPr>
      <w:r>
        <w:rPr>
          <w:rFonts w:hint="eastAsia"/>
        </w:rPr>
        <w:t xml:space="preserve">美元离岸人民币：6.7443，涨跌幅-0.01%。</w:t>
      </w:r>
    </w:p>
    <w:p>
      <w:pPr>
        <w:pStyle w:val="Compact"/>
        <w:numPr>
          <w:ilvl w:val="0"/>
          <w:numId w:val="1064"/>
        </w:numPr>
      </w:pPr>
      <w:r>
        <w:rPr>
          <w:rFonts w:hint="eastAsia"/>
        </w:rPr>
        <w:t xml:space="preserve">恒生指数：25440.17，涨跌幅-0.17%。</w:t>
      </w:r>
    </w:p>
    <w:p>
      <w:pPr>
        <w:pStyle w:val="Compact"/>
        <w:numPr>
          <w:ilvl w:val="0"/>
          <w:numId w:val="1064"/>
        </w:numPr>
      </w:pPr>
      <w:r>
        <w:rPr>
          <w:rFonts w:hint="eastAsia"/>
        </w:rPr>
        <w:t xml:space="preserve">富时A50期指：15004.02，涨跌幅+0.01%。</w:t>
      </w:r>
    </w:p>
    <w:p>
      <w:pPr>
        <w:pStyle w:val="Compact"/>
        <w:numPr>
          <w:ilvl w:val="0"/>
          <w:numId w:val="1064"/>
        </w:numPr>
      </w:pPr>
      <w:r>
        <w:rPr>
          <w:rFonts w:hint="eastAsia"/>
        </w:rPr>
        <w:t xml:space="preserve">COMEX黄金：4396.06，涨跌幅-0.55%。</w:t>
      </w:r>
    </w:p>
    <w:p>
      <w:pPr>
        <w:pStyle w:val="FirstParagraph"/>
      </w:pPr>
      <w:r>
        <w:t xml:space="preserve">📌 </w:t>
      </w:r>
      <w:r>
        <w:rPr>
          <w:rFonts w:hint="eastAsia"/>
        </w:rPr>
        <w:t xml:space="preserve">解读：</w:t>
      </w:r>
    </w:p>
    <w:p>
      <w:pPr>
        <w:pStyle w:val="Compact"/>
        <w:numPr>
          <w:ilvl w:val="0"/>
          <w:numId w:val="1065"/>
        </w:numPr>
      </w:pPr>
      <w:r>
        <w:rPr>
          <w:rFonts w:hint="eastAsia"/>
        </w:rPr>
        <w:t xml:space="preserve">离岸人民币稳定，外资汇率压力不大。</w:t>
      </w:r>
    </w:p>
    <w:p>
      <w:pPr>
        <w:pStyle w:val="Compact"/>
        <w:numPr>
          <w:ilvl w:val="0"/>
          <w:numId w:val="1065"/>
        </w:numPr>
      </w:pPr>
      <w:r>
        <w:rPr>
          <w:rFonts w:hint="eastAsia"/>
        </w:rPr>
        <w:t xml:space="preserve">A50基本平盘，说明盘前指数没有强方向。</w:t>
      </w:r>
    </w:p>
    <w:p>
      <w:pPr>
        <w:pStyle w:val="Compact"/>
        <w:numPr>
          <w:ilvl w:val="0"/>
          <w:numId w:val="1065"/>
        </w:numPr>
      </w:pPr>
      <w:r>
        <w:rPr>
          <w:rFonts w:hint="eastAsia"/>
        </w:rPr>
        <w:t xml:space="preserve">港股小幅走弱，对A股风险偏好有轻微压制。</w:t>
      </w:r>
    </w:p>
    <w:p>
      <w:pPr>
        <w:pStyle w:val="Compact"/>
        <w:numPr>
          <w:ilvl w:val="0"/>
          <w:numId w:val="1065"/>
        </w:numPr>
      </w:pPr>
      <w:r>
        <w:rPr>
          <w:rFonts w:hint="eastAsia"/>
        </w:rPr>
        <w:t xml:space="preserve">黄金回落说明避险需求降温，但A股内部资金分歧仍需自身修复。</w:t>
      </w:r>
    </w:p>
    <w:p>
      <w:r>
        <w:pict>
          <v:rect style="width:0;height:1.5pt" o:hralign="center" o:hrstd="t" o:hr="t"/>
        </w:pict>
      </w:r>
    </w:p>
    <w:bookmarkEnd w:id="81"/>
    <w:bookmarkEnd w:id="82"/>
    <w:bookmarkStart w:id="86" w:name="今日最终策略守纪律等确认只做右侧"/>
    <w:p>
      <w:pPr>
        <w:pStyle w:val="Heading2"/>
      </w:pPr>
      <w:r>
        <w:t xml:space="preserve">🧭 </w:t>
      </w:r>
      <w:r>
        <w:rPr>
          <w:rFonts w:hint="eastAsia"/>
        </w:rPr>
        <w:t xml:space="preserve">今日最终策略：守纪律，等确认，只做右侧</w:t>
      </w:r>
    </w:p>
    <w:bookmarkStart w:id="83" w:name="盘前结论"/>
    <w:p>
      <w:pPr>
        <w:pStyle w:val="Heading3"/>
      </w:pPr>
      <w:r>
        <w:t xml:space="preserve">💡 </w:t>
      </w:r>
      <w:r>
        <w:rPr>
          <w:rFonts w:hint="eastAsia"/>
        </w:rPr>
        <w:t xml:space="preserve">盘前结论</w:t>
      </w:r>
    </w:p>
    <w:p>
      <w:pPr>
        <w:pStyle w:val="Compact"/>
        <w:numPr>
          <w:ilvl w:val="0"/>
          <w:numId w:val="1066"/>
        </w:numPr>
      </w:pPr>
      <w:r>
        <w:rPr>
          <w:rFonts w:hint="eastAsia"/>
        </w:rPr>
        <w:t xml:space="preserve">今日不是全面进攻日，是“分歧后确认日”。</w:t>
      </w:r>
    </w:p>
    <w:p>
      <w:pPr>
        <w:pStyle w:val="Compact"/>
        <w:numPr>
          <w:ilvl w:val="0"/>
          <w:numId w:val="1066"/>
        </w:numPr>
      </w:pPr>
      <w:r>
        <w:rPr>
          <w:rFonts w:hint="eastAsia"/>
        </w:rPr>
        <w:t xml:space="preserve">外盘科技偏暖、政策面积极、流动性宽松，但A股内部结构不健康。</w:t>
      </w:r>
    </w:p>
    <w:p>
      <w:pPr>
        <w:pStyle w:val="Compact"/>
        <w:numPr>
          <w:ilvl w:val="0"/>
          <w:numId w:val="1066"/>
        </w:numPr>
      </w:pPr>
      <w:r>
        <w:rPr>
          <w:rFonts w:hint="eastAsia"/>
        </w:rPr>
        <w:t xml:space="preserve">上一交易日成交额放大18.49%，同时下跌4317家，说明资金不是无脑增量，而是高位换手与防御切换并存。</w:t>
      </w:r>
    </w:p>
    <w:p>
      <w:pPr>
        <w:pStyle w:val="Compact"/>
        <w:numPr>
          <w:ilvl w:val="0"/>
          <w:numId w:val="1066"/>
        </w:numPr>
      </w:pPr>
      <w:r>
        <w:rPr>
          <w:rFonts w:hint="eastAsia"/>
        </w:rPr>
        <w:t xml:space="preserve">宽基ETF连续流入未确认，不能把恐慌降温单项信号当作系统性买点。</w:t>
      </w:r>
    </w:p>
    <w:bookmarkEnd w:id="83"/>
    <w:bookmarkStart w:id="84" w:name="最优行动"/>
    <w:p>
      <w:pPr>
        <w:pStyle w:val="Heading3"/>
      </w:pPr>
      <w:r>
        <w:t xml:space="preserve">💡 </w:t>
      </w:r>
      <w:r>
        <w:rPr>
          <w:rFonts w:hint="eastAsia"/>
        </w:rPr>
        <w:t xml:space="preserve">最优行动</w:t>
      </w:r>
    </w:p>
    <w:p>
      <w:pPr>
        <w:pStyle w:val="Compact"/>
        <w:numPr>
          <w:ilvl w:val="0"/>
          <w:numId w:val="1067"/>
        </w:numPr>
      </w:pPr>
      <w:r>
        <w:rPr>
          <w:rFonts w:hint="eastAsia"/>
        </w:rPr>
        <w:t xml:space="preserve">先看上证3900与科创50能否止跌。</w:t>
      </w:r>
    </w:p>
    <w:p>
      <w:pPr>
        <w:pStyle w:val="Compact"/>
        <w:numPr>
          <w:ilvl w:val="0"/>
          <w:numId w:val="1067"/>
        </w:numPr>
      </w:pPr>
      <w:r>
        <w:rPr>
          <w:rFonts w:hint="eastAsia"/>
        </w:rPr>
        <w:t xml:space="preserve">再看涨跌比能否回到1以上。</w:t>
      </w:r>
    </w:p>
    <w:p>
      <w:pPr>
        <w:pStyle w:val="Compact"/>
        <w:numPr>
          <w:ilvl w:val="0"/>
          <w:numId w:val="1067"/>
        </w:numPr>
      </w:pPr>
      <w:r>
        <w:rPr>
          <w:rFonts w:hint="eastAsia"/>
        </w:rPr>
        <w:t xml:space="preserve">第三看通信设备、医药、电力谁能走出主动承接。</w:t>
      </w:r>
    </w:p>
    <w:p>
      <w:pPr>
        <w:pStyle w:val="Compact"/>
        <w:numPr>
          <w:ilvl w:val="0"/>
          <w:numId w:val="1067"/>
        </w:numPr>
      </w:pPr>
      <w:r>
        <w:rPr>
          <w:rFonts w:hint="eastAsia"/>
        </w:rPr>
        <w:t xml:space="preserve">科技只买分歧转强，不买一致高开。</w:t>
      </w:r>
    </w:p>
    <w:p>
      <w:pPr>
        <w:pStyle w:val="Compact"/>
        <w:numPr>
          <w:ilvl w:val="0"/>
          <w:numId w:val="1067"/>
        </w:numPr>
      </w:pPr>
      <w:r>
        <w:rPr>
          <w:rFonts w:hint="eastAsia"/>
        </w:rPr>
        <w:t xml:space="preserve">若午前仍是指数红、个股绿，仓位维持18%—33%。</w:t>
      </w:r>
    </w:p>
    <w:bookmarkEnd w:id="84"/>
    <w:bookmarkStart w:id="85" w:name="今日评级"/>
    <w:p>
      <w:pPr>
        <w:pStyle w:val="Heading3"/>
      </w:pPr>
      <w:r>
        <w:t xml:space="preserve">📌 </w:t>
      </w:r>
      <w:r>
        <w:rPr>
          <w:rFonts w:hint="eastAsia"/>
        </w:rPr>
        <w:t xml:space="preserve">今日评级</w:t>
      </w:r>
    </w:p>
    <w:p>
      <w:pPr>
        <w:pStyle w:val="Compact"/>
        <w:numPr>
          <w:ilvl w:val="0"/>
          <w:numId w:val="1068"/>
        </w:numPr>
      </w:pPr>
      <w:r>
        <w:rPr>
          <w:rFonts w:hint="eastAsia"/>
        </w:rPr>
        <w:t xml:space="preserve">指数环境：中性偏谨慎。</w:t>
      </w:r>
    </w:p>
    <w:p>
      <w:pPr>
        <w:pStyle w:val="Compact"/>
        <w:numPr>
          <w:ilvl w:val="0"/>
          <w:numId w:val="1068"/>
        </w:numPr>
      </w:pPr>
      <w:r>
        <w:rPr>
          <w:rFonts w:hint="eastAsia"/>
        </w:rPr>
        <w:t xml:space="preserve">资金环境：放量分歧。</w:t>
      </w:r>
    </w:p>
    <w:p>
      <w:pPr>
        <w:pStyle w:val="Compact"/>
        <w:numPr>
          <w:ilvl w:val="0"/>
          <w:numId w:val="1068"/>
        </w:numPr>
      </w:pPr>
      <w:r>
        <w:rPr>
          <w:rFonts w:hint="eastAsia"/>
        </w:rPr>
        <w:t xml:space="preserve">政策环境：偏暖。</w:t>
      </w:r>
    </w:p>
    <w:p>
      <w:pPr>
        <w:pStyle w:val="Compact"/>
        <w:numPr>
          <w:ilvl w:val="0"/>
          <w:numId w:val="1068"/>
        </w:numPr>
      </w:pPr>
      <w:r>
        <w:rPr>
          <w:rFonts w:hint="eastAsia"/>
        </w:rPr>
        <w:t xml:space="preserve">交易胜率：只适合低仓位精选。</w:t>
      </w:r>
    </w:p>
    <w:p>
      <w:pPr>
        <w:pStyle w:val="Compact"/>
        <w:numPr>
          <w:ilvl w:val="0"/>
          <w:numId w:val="1068"/>
        </w:numPr>
      </w:pPr>
      <w:r>
        <w:rPr>
          <w:rFonts w:hint="eastAsia"/>
        </w:rPr>
        <w:t xml:space="preserve">仓位建议：默认33%，强修复43%，跌破3900降至18%。</w:t>
      </w:r>
    </w:p>
    <w:p>
      <w:r>
        <w:pict>
          <v:rect style="width:0;height:1.5pt" o:hralign="center" o:hrstd="t" o:hr="t"/>
        </w:pict>
      </w:r>
    </w:p>
    <w:p>
      <w:pPr>
        <w:pStyle w:val="BlockText"/>
      </w:pPr>
      <w:r>
        <w:t xml:space="preserve">📊 </w:t>
      </w:r>
      <w:r>
        <w:rPr>
          <w:rFonts w:hint="eastAsia"/>
        </w:rPr>
        <w:t xml:space="preserve">生成时间：2026-08-14</w:t>
      </w:r>
      <w:r>
        <w:t xml:space="preserve"> 08:30</w:t>
      </w:r>
      <w:r>
        <w:br/>
      </w:r>
      <w:r>
        <w:t xml:space="preserve">🦞 </w:t>
      </w:r>
      <w:r>
        <w:rPr>
          <w:rFonts w:hint="eastAsia"/>
        </w:rPr>
        <w:t xml:space="preserve">by：奇迹早知道</w:t>
      </w:r>
      <w:r>
        <w:t xml:space="preserve"> v4.0</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TickFlow重点股日K（只读技术校验）+</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85"/>
    <w:bookmarkEnd w:id="86"/>
    <w:bookmarkEnd w:id="8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2026-08-14T00:37:39Z</dcterms:created>
  <dcterms:modified xsi:type="dcterms:W3CDTF">2026-08-14T00:37:39Z</dcterms:modified>
</cp:coreProperties>
</file>

<file path=docProps/custom.xml><?xml version="1.0" encoding="utf-8"?>
<Properties xmlns="http://schemas.openxmlformats.org/officeDocument/2006/custom-properties" xmlns:vt="http://schemas.openxmlformats.org/officeDocument/2006/docPropsVTypes"/>
</file>