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1" w:name="奇迹早知道2026-07-22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奇迹早知道｜2026-07-22</w:t>
      </w:r>
      <w:r>
        <w:t xml:space="preserve"> </w:t>
      </w:r>
      <w:r>
        <w:rPr>
          <w:rFonts w:hint="eastAsia"/>
        </w:rPr>
        <w:t xml:space="preserve">盘前简报</w:t>
      </w:r>
    </w:p>
    <w:bookmarkStart w:id="9" w:name="一盘前总判断资源防御抬头科技主线进入高位分歧验证"/>
    <w:p>
      <w:pPr>
        <w:pStyle w:val="Heading2"/>
      </w:pPr>
      <w:r>
        <w:t xml:space="preserve">🧭 </w:t>
      </w:r>
      <w:r>
        <w:rPr>
          <w:rFonts w:hint="eastAsia"/>
        </w:rPr>
        <w:t xml:space="preserve">一、盘前总判断：资源防御抬头，科技主线进入高位分歧验证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今日核心结论：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可参与：AI硬件、CPO/光模块、算力网络、先进封装、半导体设备，只做分歧后再转强。</w:t>
      </w:r>
    </w:p>
    <w:p>
      <w:pPr>
        <w:pStyle w:val="Compact"/>
        <w:numPr>
          <w:ilvl w:val="0"/>
          <w:numId w:val="1001"/>
        </w:numPr>
      </w:pPr>
      <w:r>
        <w:t xml:space="preserve">🟡 </w:t>
      </w:r>
      <w:r>
        <w:rPr>
          <w:rFonts w:hint="eastAsia"/>
        </w:rPr>
        <w:t xml:space="preserve">只观察：绿色低碳、电力、公用事业、交通基建数智化、入境游链条。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应回避：高位连续放量但跌破均线的科技人气股、传统消费流出方向、银行白酒等资金撤离方向。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仓位上限：根据自动仓位模型，最高不超过50%；实战以17%—27%为主，只有指数放量修复、涨跌比回升、核心股重新站上关键均线后才提高仓位。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盘前最关键矛盾：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美股半导体仍有支撑，英伟达📈+3.18%、AMD📈+2.02%、博通📈+2.07%，但A股科技内部已经出现高位分歧。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宽基ETF最新份额没有连续流入，沪深300ETF、科创50ETF均出现净赎回估算。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成交额较前一交易日减少3055.89亿元，缩量幅度为-10.27%，追涨胜率下降。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两融余额增加7.05亿元，但报告日当日两融尚未发布，不能解读为“今日加杠杆”。</w:t>
      </w:r>
    </w:p>
    <w:p>
      <w:r>
        <w:pict>
          <v:rect style="width:0;height:1.5pt" o:hralign="center" o:hrstd="t" o:hr="t"/>
        </w:pict>
      </w:r>
    </w:p>
    <w:bookmarkEnd w:id="9"/>
    <w:bookmarkStart w:id="13" w:name="二隔夜全球市场美股指数分化ai芯片仍强于大盘"/>
    <w:p>
      <w:pPr>
        <w:pStyle w:val="Heading2"/>
      </w:pPr>
      <w:r>
        <w:t xml:space="preserve">🌍 </w:t>
      </w:r>
      <w:r>
        <w:rPr>
          <w:rFonts w:hint="eastAsia"/>
        </w:rPr>
        <w:t xml:space="preserve">二、隔夜全球市场：美股指数分化，AI芯片仍强于大盘</w:t>
      </w:r>
    </w:p>
    <w:bookmarkStart w:id="10" w:name="美股三大指数"/>
    <w:p>
      <w:pPr>
        <w:pStyle w:val="Heading3"/>
      </w:pPr>
      <w:r>
        <w:t xml:space="preserve">📈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52413.09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7522.58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25820.45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-0.06%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道指与标普500保持小幅上涨，纳指微跌，说明美股不是全面风险偏好扩张，而是结构行情。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对A股映射最重要的是半导体链条：英伟达、AMD、博通强于指数，利好A股AI硬件和算力设备情绪。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但纳指未能同步走强，说明科技股内部同样有分化，不适合无脑追高。</w:t>
      </w:r>
    </w:p>
    <w:bookmarkEnd w:id="10"/>
    <w:bookmarkStart w:id="11" w:name="美股核心半导体5股"/>
    <w:p>
      <w:pPr>
        <w:pStyle w:val="Heading3"/>
      </w:pPr>
      <w:r>
        <w:t xml:space="preserve">🔴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213.88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555.45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422.95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974.07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英伟达、AMD、博通上涨，对应A股光模块、CPO、交换机、PCB、先进封装方向仍有情绪支撑。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台积电📉-0.39%，说明晶圆制造环节不是全面强势，A股晶圆制造与设备需看自身量价确认。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美光📈+0.33%，对存储链条是中性偏正面，但A股存储龙头已有高位分歧，不能只看美股涨幅追涨。</w:t>
      </w:r>
    </w:p>
    <w:bookmarkEnd w:id="11"/>
    <w:bookmarkStart w:id="12" w:name="其他外盘与商品"/>
    <w:p>
      <w:pPr>
        <w:pStyle w:val="Heading3"/>
      </w:pPr>
      <w:r>
        <w:t xml:space="preserve">🌐 </w:t>
      </w:r>
      <w:r>
        <w:rPr>
          <w:rFonts w:hint="eastAsia"/>
        </w:rPr>
        <w:t xml:space="preserve">其他外盘与商品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15205.70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25132.29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4156.19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+2.17%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富时A50期指📈+0.33%，对A股权重开盘情绪有托底。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恒生指数📉-0.95%，港股风险偏好偏弱，对A股高弹性科技股有压制。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黄金📈+1.96%、原油📈+2.17%，叠加中东冲突，资源品与避险资产仍有事件驱动。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离岸人民币小幅走弱，外资风险偏好不算强。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9" w:name="三新闻联播政策面绿色低碳交通强国民营再贷款是三条主线"/>
    <w:p>
      <w:pPr>
        <w:pStyle w:val="Heading2"/>
      </w:pPr>
      <w:r>
        <w:t xml:space="preserve">📺 </w:t>
      </w:r>
      <w:r>
        <w:rPr>
          <w:rFonts w:hint="eastAsia"/>
        </w:rPr>
        <w:t xml:space="preserve">三、新闻联播政策面：绿色低碳、交通强国、民营再贷款是三条主线</w:t>
      </w:r>
    </w:p>
    <w:bookmarkStart w:id="14" w:name="节能降碳绿色低碳从主题转向硬约束"/>
    <w:p>
      <w:pPr>
        <w:pStyle w:val="Heading3"/>
      </w:pPr>
      <w:r>
        <w:t xml:space="preserve">🔴 </w:t>
      </w:r>
      <w:r>
        <w:rPr>
          <w:rFonts w:hint="eastAsia"/>
        </w:rPr>
        <w:t xml:space="preserve">1）节能降碳：绿色低碳从主题转向硬约束</w:t>
      </w:r>
    </w:p>
    <w:p>
      <w:pPr>
        <w:pStyle w:val="FirstParagraph"/>
      </w:pPr>
      <w:r>
        <w:rPr>
          <w:rFonts w:hint="eastAsia"/>
        </w:rPr>
        <w:t xml:space="preserve">新闻联播重点强调：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可再生能源发电装机占全部装机比重超过六成。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新能源汽车6月份新车销量达到汽车新车总销量近六成。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党的十八大以来，万元GDP能耗累计下降27.2%。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全国相当于少用能源14亿吨标准煤，少排放二氧化碳约30亿吨。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清洁能源行业产值达到15.4万亿元。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到2030年，单位GDP二氧化碳排放再下降17%，单位GDP能耗再下降10%左右。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7"/>
        </w:numPr>
      </w:pPr>
      <w:r>
        <w:t xml:space="preserve">📈 </w:t>
      </w:r>
      <w:r>
        <w:rPr>
          <w:rFonts w:hint="eastAsia"/>
        </w:rPr>
        <w:t xml:space="preserve">利好方向：光伏设备、风电设备、储能、智能电网、节能改造、绿色建筑、低碳工业改造。</w:t>
      </w:r>
    </w:p>
    <w:p>
      <w:pPr>
        <w:pStyle w:val="Compact"/>
        <w:numPr>
          <w:ilvl w:val="0"/>
          <w:numId w:val="1007"/>
        </w:numPr>
      </w:pPr>
      <w:r>
        <w:t xml:space="preserve">📈 </w:t>
      </w:r>
      <w:r>
        <w:rPr>
          <w:rFonts w:hint="eastAsia"/>
        </w:rPr>
        <w:t xml:space="preserve">细分映射：电力设备、逆变器、储能系统、建筑节能、工业节能、绿电运营。</w:t>
      </w:r>
    </w:p>
    <w:p>
      <w:pPr>
        <w:pStyle w:val="Compact"/>
        <w:numPr>
          <w:ilvl w:val="0"/>
          <w:numId w:val="1007"/>
        </w:numPr>
      </w:pPr>
      <w:r>
        <w:t xml:space="preserve">⚠️ </w:t>
      </w:r>
      <w:r>
        <w:rPr>
          <w:rFonts w:hint="eastAsia"/>
        </w:rPr>
        <w:t xml:space="preserve">交易条件：绿色低碳不是当日最强资金主线，资金榜中电池主力净流入29.68亿元，可作为右侧确认线索；没有放量突破前，不追低位冷门扩散。</w:t>
      </w:r>
    </w:p>
    <w:bookmarkEnd w:id="14"/>
    <w:bookmarkStart w:id="15" w:name="现代化综合交通体系基建数智化是政策确定性方向"/>
    <w:p>
      <w:pPr>
        <w:pStyle w:val="Heading3"/>
      </w:pPr>
      <w:r>
        <w:t xml:space="preserve">🔴 </w:t>
      </w:r>
      <w:r>
        <w:rPr>
          <w:rFonts w:hint="eastAsia"/>
        </w:rPr>
        <w:t xml:space="preserve">2）现代化综合交通体系：基建数智化是政策确定性方向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到2030年，基本建成现代化综合交通运输体系。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国家综合立体交通网主骨架建成率由91%提升至95%。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到2030年，实施8万公里左右交通基础设施更新和数智化改造。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新改建农村公路50万公里。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加快建设20个国际性、80个全国性综合交通枢纽城市。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主要都市圈内具备1小时通勤条件人口覆盖率达到75%。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09"/>
        </w:numPr>
      </w:pPr>
      <w:r>
        <w:t xml:space="preserve">📈 </w:t>
      </w:r>
      <w:r>
        <w:rPr>
          <w:rFonts w:hint="eastAsia"/>
        </w:rPr>
        <w:t xml:space="preserve">利好方向：轨交设备、智慧交通、车路协同、交通信息化、北斗导航、工程机械。</w:t>
      </w:r>
    </w:p>
    <w:p>
      <w:pPr>
        <w:pStyle w:val="Compact"/>
        <w:numPr>
          <w:ilvl w:val="0"/>
          <w:numId w:val="1009"/>
        </w:numPr>
      </w:pPr>
      <w:r>
        <w:t xml:space="preserve">📈 </w:t>
      </w:r>
      <w:r>
        <w:rPr>
          <w:rFonts w:hint="eastAsia"/>
        </w:rPr>
        <w:t xml:space="preserve">细分映射：高铁、轨交信号系统、智能收费、交通云、城市交通大脑。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交易条件：该方向偏政策稳增长，弹性弱于AI硬件；只适合低吸右侧趋势股，不适合追涨基建老票。</w:t>
      </w:r>
    </w:p>
    <w:bookmarkEnd w:id="15"/>
    <w:bookmarkStart w:id="16" w:name="万亿元民营企业再贷款中小民营制造与科技企业信用改善"/>
    <w:p>
      <w:pPr>
        <w:pStyle w:val="Heading3"/>
      </w:pPr>
      <w:r>
        <w:t xml:space="preserve">🔴 </w:t>
      </w:r>
      <w:r>
        <w:rPr>
          <w:rFonts w:hint="eastAsia"/>
        </w:rPr>
        <w:t xml:space="preserve">3）1万亿元民营企业再贷款：中小民营制造与科技企业信用改善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中国人民银行新设立1万亿元民营企业再贷款。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政策利率低、额度大。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首次将民营中型企业明确纳入支持范围。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截至目前，民营企业再贷款余额已超7600亿元。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1"/>
        </w:numPr>
      </w:pPr>
      <w:r>
        <w:t xml:space="preserve">📈 </w:t>
      </w:r>
      <w:r>
        <w:rPr>
          <w:rFonts w:hint="eastAsia"/>
        </w:rPr>
        <w:t xml:space="preserve">利好方向：民营制造、专精特新、先进制造、民营科技成长。</w:t>
      </w:r>
    </w:p>
    <w:p>
      <w:pPr>
        <w:pStyle w:val="Compact"/>
        <w:numPr>
          <w:ilvl w:val="0"/>
          <w:numId w:val="1011"/>
        </w:numPr>
      </w:pPr>
      <w:r>
        <w:t xml:space="preserve">📈 </w:t>
      </w:r>
      <w:r>
        <w:rPr>
          <w:rFonts w:hint="eastAsia"/>
        </w:rPr>
        <w:t xml:space="preserve">传导逻辑：融资成本下降</w:t>
      </w:r>
      <w:r>
        <w:t xml:space="preserve"> → </w:t>
      </w:r>
      <w:r>
        <w:rPr>
          <w:rFonts w:hint="eastAsia"/>
        </w:rPr>
        <w:t xml:space="preserve">订单扩产能力提升</w:t>
      </w:r>
      <w:r>
        <w:t xml:space="preserve"> → </w:t>
      </w:r>
      <w:r>
        <w:rPr>
          <w:rFonts w:hint="eastAsia"/>
        </w:rPr>
        <w:t xml:space="preserve">现金流压力缓解。</w:t>
      </w:r>
    </w:p>
    <w:p>
      <w:pPr>
        <w:pStyle w:val="Compact"/>
        <w:numPr>
          <w:ilvl w:val="0"/>
          <w:numId w:val="1011"/>
        </w:numPr>
      </w:pPr>
      <w:r>
        <w:t xml:space="preserve">⚠️ </w:t>
      </w:r>
      <w:r>
        <w:rPr>
          <w:rFonts w:hint="eastAsia"/>
        </w:rPr>
        <w:t xml:space="preserve">交易条件：只看真正有业绩、有订单、有主线位置的民营科技企业，回避纯概念小票。</w:t>
      </w:r>
    </w:p>
    <w:bookmarkEnd w:id="16"/>
    <w:bookmarkStart w:id="17" w:name="家政育儿补贴入境游消费修复偏慢变量"/>
    <w:p>
      <w:pPr>
        <w:pStyle w:val="Heading3"/>
      </w:pPr>
      <w:r>
        <w:t xml:space="preserve">🟡 </w:t>
      </w:r>
      <w:r>
        <w:rPr>
          <w:rFonts w:hint="eastAsia"/>
        </w:rPr>
        <w:t xml:space="preserve">4）家政、育儿补贴、入境游：消费修复偏慢变量</w:t>
      </w:r>
    </w:p>
    <w:p>
      <w:pPr>
        <w:pStyle w:val="FirstParagraph"/>
      </w:pPr>
      <w:r>
        <w:rPr>
          <w:rFonts w:hint="eastAsia"/>
        </w:rPr>
        <w:t xml:space="preserve">政策与数据包括：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家政服务业推出19项政策措施。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2026年度育儿补贴已审核发放2516万人。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育儿补贴国家基础标准为每孩每年3600元。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暑期入境游预订订单量同比增长超两成。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上半年入境外国人2291.4万人次，同比上涨20.4%。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家政服务、养老服务、托育服务、母婴消费、旅游酒店、景区、免税、文化体验。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但资金榜显示白酒Ⅱ净流出17.23亿元，传统消费资金承接不足。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消费方向今日只看事件催化与局部强势，不作为主攻方向。</w:t>
      </w:r>
    </w:p>
    <w:bookmarkEnd w:id="17"/>
    <w:bookmarkStart w:id="18" w:name="中东冲突与关税资源品受益全球风险偏好受扰动"/>
    <w:p>
      <w:pPr>
        <w:pStyle w:val="Heading3"/>
      </w:pPr>
      <w:r>
        <w:t xml:space="preserve">⚠️ </w:t>
      </w:r>
      <w:r>
        <w:rPr>
          <w:rFonts w:hint="eastAsia"/>
        </w:rPr>
        <w:t xml:space="preserve">5）中东冲突与关税：资源品受益，全球风险偏好受扰动</w:t>
      </w:r>
    </w:p>
    <w:p>
      <w:pPr>
        <w:pStyle w:val="FirstParagraph"/>
      </w:pPr>
      <w:r>
        <w:rPr>
          <w:rFonts w:hint="eastAsia"/>
        </w:rPr>
        <w:t xml:space="preserve">新闻联播提到：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美军连续第10天对伊朗发动军事打击。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伊朗革命卫队打击巴林和科威特的美军相关系统。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美国加大中东军事部署。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也门胡塞武装宣布对沙特实施海上禁运。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美国将对加拿大数百项商品加征50%关税，8月19日生效。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A股落点：</w:t>
      </w:r>
    </w:p>
    <w:p>
      <w:pPr>
        <w:pStyle w:val="Compact"/>
        <w:numPr>
          <w:ilvl w:val="0"/>
          <w:numId w:val="1015"/>
        </w:numPr>
      </w:pPr>
      <w:r>
        <w:t xml:space="preserve">📈 </w:t>
      </w:r>
      <w:r>
        <w:rPr>
          <w:rFonts w:hint="eastAsia"/>
        </w:rPr>
        <w:t xml:space="preserve">利好：黄金、油气、航运、军工避险。</w:t>
      </w:r>
    </w:p>
    <w:p>
      <w:pPr>
        <w:pStyle w:val="Compact"/>
        <w:numPr>
          <w:ilvl w:val="0"/>
          <w:numId w:val="1015"/>
        </w:numPr>
      </w:pPr>
      <w:r>
        <w:t xml:space="preserve">📉 </w:t>
      </w:r>
      <w:r>
        <w:rPr>
          <w:rFonts w:hint="eastAsia"/>
        </w:rPr>
        <w:t xml:space="preserve">压制：全球风险资产、高估值科技股、外需链条。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今日若黄金、油气高开过多，不追第一波；只看回落承接和龙头趋势。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四今日公告风险公告与产业催化并存"/>
    <w:p>
      <w:pPr>
        <w:pStyle w:val="Heading2"/>
      </w:pPr>
      <w:r>
        <w:t xml:space="preserve">📢 </w:t>
      </w:r>
      <w:r>
        <w:rPr>
          <w:rFonts w:hint="eastAsia"/>
        </w:rPr>
        <w:t xml:space="preserve">四、今日公告：风险公告与产业催化并存</w:t>
      </w:r>
    </w:p>
    <w:bookmarkStart w:id="20" w:name="公告风险"/>
    <w:p>
      <w:pPr>
        <w:pStyle w:val="Heading3"/>
      </w:pPr>
      <w:r>
        <w:t xml:space="preserve">⚠️ </w:t>
      </w:r>
      <w:r>
        <w:rPr>
          <w:rFonts w:hint="eastAsia"/>
        </w:rPr>
        <w:t xml:space="preserve">公告风险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  <w:tc>
          <w:tcPr/>
          <w:p>
            <w:pPr>
              <w:pStyle w:val="Compact"/>
            </w:pPr>
            <w:r>
              <w:t xml:space="preserve">920305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股票进入退市整理期交易风险提示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中文在线</w:t>
            </w:r>
          </w:p>
        </w:tc>
        <w:tc>
          <w:tcPr/>
          <w:p>
            <w:pPr>
              <w:pStyle w:val="Compact"/>
            </w:pPr>
            <w:r>
              <w:t xml:space="preserve">300364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重大仲裁公告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军信股份</w:t>
            </w:r>
          </w:p>
        </w:tc>
        <w:tc>
          <w:tcPr/>
          <w:p>
            <w:pPr>
              <w:pStyle w:val="Compact"/>
            </w:pPr>
            <w:r>
              <w:t xml:space="preserve">301109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首发前股份部分解除限售并上市流通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退市整理、重大仲裁、限售解禁都不属于盘前优先方向。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当前市场缩量且涨跌比偏弱，公告风险股要主动回避。</w:t>
      </w:r>
    </w:p>
    <w:bookmarkEnd w:id="20"/>
    <w:bookmarkStart w:id="21" w:name="产业与调研线索"/>
    <w:p>
      <w:pPr>
        <w:pStyle w:val="Heading3"/>
      </w:pPr>
      <w:r>
        <w:t xml:space="preserve">🔴 </w:t>
      </w:r>
      <w:r>
        <w:rPr>
          <w:rFonts w:hint="eastAsia"/>
        </w:rPr>
        <w:t xml:space="preserve">产业与调研线索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睿创微纳</w:t>
            </w:r>
          </w:p>
        </w:tc>
        <w:tc>
          <w:tcPr/>
          <w:p>
            <w:pPr>
              <w:pStyle w:val="Compact"/>
            </w:pPr>
            <w:r>
              <w:t xml:space="preserve">688002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金富科技</w:t>
            </w:r>
          </w:p>
        </w:tc>
        <w:tc>
          <w:tcPr/>
          <w:p>
            <w:pPr>
              <w:pStyle w:val="Compact"/>
            </w:pPr>
            <w:r>
              <w:t xml:space="preserve">003018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先进数通</w:t>
            </w:r>
          </w:p>
        </w:tc>
        <w:tc>
          <w:tcPr/>
          <w:p>
            <w:pPr>
              <w:pStyle w:val="Compact"/>
            </w:pPr>
            <w:r>
              <w:t xml:space="preserve">300541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荣联科技</w:t>
            </w:r>
          </w:p>
        </w:tc>
        <w:tc>
          <w:tcPr/>
          <w:p>
            <w:pPr>
              <w:pStyle w:val="Compact"/>
            </w:pPr>
            <w:r>
              <w:t xml:space="preserve">002642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投资者关系活动记录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赛托生物</w:t>
            </w:r>
          </w:p>
        </w:tc>
        <w:tc>
          <w:tcPr/>
          <w:p>
            <w:pPr>
              <w:pStyle w:val="Compact"/>
            </w:pPr>
            <w:r>
              <w:t xml:space="preserve">300583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子公司收到化学原料药上市申请批准通知书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调研公告集中在科技与制造方向，可作为产业验证线索。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但公告本身不是买点，必须叠加资金、量价、主线位置。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医药方向仅有个股事件，不足以升级为主线。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五经济数据与今日事件重点看政策落地与外部冲突扰动"/>
    <w:p>
      <w:pPr>
        <w:pStyle w:val="Heading2"/>
      </w:pPr>
      <w:r>
        <w:t xml:space="preserve">📅 </w:t>
      </w:r>
      <w:r>
        <w:rPr>
          <w:rFonts w:hint="eastAsia"/>
        </w:rPr>
        <w:t xml:space="preserve">五、经济数据与今日事件：重点看政策落地与外部冲突扰动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今日关注：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节能降碳政策后续配套是否继续出台。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交通基础设施更新和数智化改造相关项目招标、订单、地方细则。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民营企业再贷款余额已超7600亿元，后续看银行投放节奏与制造业订单改善。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中东冲突是否扩大，影响黄金、原油、航运和全球风险偏好。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美国对加拿大关税升级是否引发贸易摩擦扩散。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风险提示：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外部冲突推高商品价格，对资源股短线有利，但对全球通胀与风险偏好不利。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若人民币继续走弱，外资偏好会压制高估值成长股。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若政策方向没有资金确认，不能把新闻利好直接等同于股价上涨。</w:t>
      </w:r>
    </w:p>
    <w:p>
      <w:r>
        <w:pict>
          <v:rect style="width:0;height:1.5pt" o:hralign="center" o:hrstd="t" o:hr="t"/>
        </w:pict>
      </w:r>
    </w:p>
    <w:bookmarkEnd w:id="23"/>
    <w:bookmarkStart w:id="29" w:name="六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六、两融·宽基ETF·成交额·恐慌联合信号</w:t>
      </w:r>
    </w:p>
    <w:bookmarkStart w:id="24" w:name="两融余额t1滞后报告日当日两融尚未发布"/>
    <w:p>
      <w:pPr>
        <w:pStyle w:val="Heading3"/>
      </w:pPr>
      <w:r>
        <w:t xml:space="preserve">💰 </w:t>
      </w:r>
      <w:r>
        <w:rPr>
          <w:rFonts w:hint="eastAsia"/>
        </w:rPr>
        <w:t xml:space="preserve">1）两融余额：T+1滞后，报告日当日两融尚未发布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2026-07-21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2026-07-20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27182.82亿元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27175.78亿元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26978.80亿元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26977.76亿元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204.03亿元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198.02亿元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自动对比：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两融余额增加7.05亿元，变化幅度+0.0259%。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融资余额增加1.04亿元。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融券余额增加6.01亿元。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本轮两融余额变化主要由融券余额增加驱动，而不是融资余额大幅扩张驱动。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T+1滞后，报告日当日两融尚未发布。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不能写成“今日两融增加”。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杠杆资金没有明显进攻性加仓，风险偏好只是小幅改善。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融券余额增加幅度高于融资余额，说明分歧和对冲需求仍在。</w:t>
      </w:r>
    </w:p>
    <w:bookmarkEnd w:id="24"/>
    <w:bookmarkStart w:id="25" w:name="宽基etf最新份额未形成连续净流入"/>
    <w:p>
      <w:pPr>
        <w:pStyle w:val="Heading3"/>
      </w:pPr>
      <w:r>
        <w:t xml:space="preserve">💰 </w:t>
      </w:r>
      <w:r>
        <w:rPr>
          <w:rFonts w:hint="eastAsia"/>
        </w:rPr>
        <w:t xml:space="preserve">2）宽基ETF：最新份额未形成连续净流入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-31230.00万份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-35360.00万份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-115200.00万份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-7500.00万份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-1.42亿元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宽基ETF连续流入数量为0。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沪深300ETF、科创50ETF均出现份额净减少。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宽基资金从前期托底流入转为边际降温，指数不能假设有持续资金托底。</w:t>
      </w:r>
    </w:p>
    <w:bookmarkEnd w:id="25"/>
    <w:bookmarkStart w:id="26" w:name="成交额明显缩量追涨胜率下降"/>
    <w:p>
      <w:pPr>
        <w:pStyle w:val="Heading3"/>
      </w:pPr>
      <w:r>
        <w:t xml:space="preserve">📉 </w:t>
      </w:r>
      <w:r>
        <w:rPr>
          <w:rFonts w:hint="eastAsia"/>
        </w:rPr>
        <w:t xml:space="preserve">3）成交额：明显缩量，追涨胜率下降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前一交易日成交额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-3055.89亿元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-10.27%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成交额明显缩量，说明市场不是全面增量行情。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缩量环境下，资金会更偏向龙头与少数高辨识度方向。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扩散到后排、低位杂毛、无业绩支撑题材的胜率下降。</w:t>
      </w:r>
    </w:p>
    <w:bookmarkEnd w:id="26"/>
    <w:bookmarkStart w:id="27" w:name="恐慌代理300etf-qvix不可用使用沪深300量价代理"/>
    <w:p>
      <w:pPr>
        <w:pStyle w:val="Heading3"/>
      </w:pPr>
      <w:r>
        <w:t xml:space="preserve">⚠️ </w:t>
      </w:r>
      <w:r>
        <w:rPr>
          <w:rFonts w:hint="eastAsia"/>
        </w:rPr>
        <w:t xml:space="preserve">4）恐慌代理：300ETF</w:t>
      </w:r>
      <w:r>
        <w:t xml:space="preserve"> </w:t>
      </w:r>
      <w:r>
        <w:rPr>
          <w:rFonts w:hint="eastAsia"/>
        </w:rPr>
        <w:t xml:space="preserve">QVIX不可用，使用沪深300量价代理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恐慌代理分数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1.9432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20日窗口峰值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8.5177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峰值日期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1.68%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最新绝对涨跌幅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0.464%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数据说明：</w:t>
      </w:r>
    </w:p>
    <w:p>
      <w:pPr>
        <w:pStyle w:val="Compact"/>
        <w:numPr>
          <w:ilvl w:val="0"/>
          <w:numId w:val="1024"/>
        </w:numPr>
      </w:pPr>
      <w:r>
        <w:t xml:space="preserve">300ETF </w:t>
      </w:r>
      <w:r>
        <w:rPr>
          <w:rFonts w:hint="eastAsia"/>
        </w:rPr>
        <w:t xml:space="preserve">QVIX主源不可用。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当前使用沪深300日K量价代理，来源为</w:t>
      </w:r>
      <w:r>
        <w:t xml:space="preserve"> eastmoney_hs300_daily_kline_derived_proxy。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cooling_two_intervals=false，from_panic_volume_to_cooling=false。</w:t>
      </w:r>
    </w:p>
    <w:bookmarkEnd w:id="27"/>
    <w:bookmarkStart w:id="28" w:name="联合信号结论未确认"/>
    <w:p>
      <w:pPr>
        <w:pStyle w:val="Heading3"/>
      </w:pPr>
      <w:r>
        <w:t xml:space="preserve">⚠️ </w:t>
      </w:r>
      <w:r>
        <w:rPr>
          <w:rFonts w:hint="eastAsia"/>
        </w:rPr>
        <w:t xml:space="preserve">5）联合信号结论：未确认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明确结论：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不能写“恐慌高位降温且宽基ETF持续流入已确认”。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当前结论是：恐慌降温与宽基ETF持续流入没有形成联合确认。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仓位不能因为ETF托底预期而主动放大，仍按缩量分歧市场处理。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七上一交易日复盘指数分化成交额核心仍集中在科技"/>
    <w:p>
      <w:pPr>
        <w:pStyle w:val="Heading2"/>
      </w:pPr>
      <w:r>
        <w:t xml:space="preserve">📊 </w:t>
      </w:r>
      <w:r>
        <w:rPr>
          <w:rFonts w:hint="eastAsia"/>
        </w:rPr>
        <w:t xml:space="preserve">七、上一交易日复盘：指数分化，成交额核心仍集中在科技</w:t>
      </w:r>
    </w:p>
    <w:bookmarkStart w:id="30" w:name="主要指数表现"/>
    <w:p>
      <w:pPr>
        <w:pStyle w:val="Heading3"/>
      </w:pPr>
      <w:r>
        <w:t xml:space="preserve">📈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3867.03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12581.48亿元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14061.44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13951.97亿元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3566.73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6397.94亿元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1860.08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1929.17亿元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4717.24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9215.19亿元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复盘判断：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上证指数微涨，但深成指、创业板指、科创50明显下跌，市场不是普涨。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资金从高弹性成长向资源、防御、权重做切换。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成交额前十仍几乎被AI硬件、半导体、通信设备占据，说明主线没有消失，但已进入高位分歧。</w:t>
      </w:r>
    </w:p>
    <w:bookmarkEnd w:id="30"/>
    <w:bookmarkStart w:id="31" w:name="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405.60亿元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368.26亿元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332.34亿元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294.11亿元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+8.30%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241.52亿元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成交额最大的中际旭创、新易盛、东山精密均大跌，说明AI硬件高位分歧不小。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紫光股份📈+8.30%、通富微电📈+8.08%、中兴通讯📈+7.51%，说明资金没有撤出科技，而是在内部切换到算力网络、封测、设备中军。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今日策略不是离开科技，而是只做科技内部最强分支的分歧确认。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八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八、上一交易日收盘资金四张榜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资金榜口径：交易日</w:t>
      </w:r>
      <w:r>
        <w:t xml:space="preserve"> </w:t>
      </w:r>
      <w:r>
        <w:rPr>
          <w:rFonts w:hint="eastAsia"/>
        </w:rPr>
        <w:t xml:space="preserve">2026-07-21，15:00，scope=previous_close，申万二级行业，来源=huatai；流入板块补充来源</w:t>
      </w:r>
      <w:r>
        <w:t xml:space="preserve"> eastmoney_push2his_fflow。</w:t>
      </w:r>
      <w:r>
        <w:br/>
      </w:r>
      <w:r>
        <w:t xml:space="preserve">📌 </w:t>
      </w:r>
      <w:r>
        <w:rPr>
          <w:rFonts w:hint="eastAsia"/>
        </w:rPr>
        <w:t xml:space="preserve">盘前资金榜只展示排名、名称、代码和上一交易日主力净流入/净流出金额，不展示最新价和最新涨跌幅。</w:t>
      </w:r>
    </w:p>
    <w:bookmarkStart w:id="3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1）流出TOP10板块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基础建设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-3.32亿元</w:t>
            </w:r>
          </w:p>
        </w:tc>
      </w:tr>
    </w:tbl>
    <w:bookmarkEnd w:id="33"/>
    <w:bookmarkStart w:id="3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2）流出TOP10个股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五粮液(000858)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信维通信(300136)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工商银行(601398)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招商银行(600036)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伊利股份(600887)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中巨芯-U(688549)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-2.82亿</w:t>
            </w:r>
          </w:p>
        </w:tc>
      </w:tr>
    </w:tbl>
    <w:bookmarkEnd w:id="34"/>
    <w:bookmarkStart w:id="3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3）流入TOP10板块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+166.18亿元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+9.52亿元</w:t>
            </w:r>
          </w:p>
        </w:tc>
      </w:tr>
    </w:tbl>
    <w:bookmarkEnd w:id="35"/>
    <w:bookmarkStart w:id="3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4）流入TOP10个股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10.55亿</w:t>
            </w:r>
          </w:p>
        </w:tc>
      </w:tr>
    </w:tbl>
    <w:bookmarkEnd w:id="36"/>
    <w:bookmarkEnd w:id="37"/>
    <w:bookmarkStart w:id="38" w:name="九市场风格预判偏权重偏价值但科技仍是主战场"/>
    <w:p>
      <w:pPr>
        <w:pStyle w:val="Heading2"/>
      </w:pPr>
      <w:r>
        <w:t xml:space="preserve">🧠 </w:t>
      </w:r>
      <w:r>
        <w:rPr>
          <w:rFonts w:hint="eastAsia"/>
        </w:rPr>
        <w:t xml:space="preserve">九、市场风格预判：偏权重、偏价值，但科技仍是主战场</w:t>
      </w:r>
    </w:p>
    <w:p>
      <w:pPr>
        <w:pStyle w:val="FirstParagraph"/>
      </w:pPr>
      <w:r>
        <w:t xml:space="preserve">derived.style_dashboard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large_vs_small：偏权重。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growth_vs_value：偏价值/权重。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theme_vs_institution：机构/成交额核心主导。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defense_vs_attack：防守/退潮。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up_down_ratio：0.395。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风格判断：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市场不是小票普涨环境，后排题材难做。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权重、资源、防御有阶段承接，但弹性主线仍在科技成交额核心。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最优打法不是低位乱切，而是等待科技主线中的中军完成分歧确认。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今日强弱观察顺序：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半导体能否继续保持资金净流入优势。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通信设备、光模块是否由中际旭创、新易盛修复带动。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紫光股份、中兴通讯、通富微电等强势中军是否继续承接。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贵金属、工业金属是否在外部冲突下延续趋势。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银行、白酒、电力流出方向是否继续拖累指数。</w:t>
      </w:r>
    </w:p>
    <w:p>
      <w:r>
        <w:pict>
          <v:rect style="width:0;height:1.5pt" o:hralign="center" o:hrstd="t" o:hr="t"/>
        </w:pict>
      </w:r>
    </w:p>
    <w:bookmarkEnd w:id="38"/>
    <w:bookmarkStart w:id="45" w:name="十投资方向分层可参与只观察应回避"/>
    <w:p>
      <w:pPr>
        <w:pStyle w:val="Heading2"/>
      </w:pPr>
      <w:r>
        <w:t xml:space="preserve">🧱 </w:t>
      </w:r>
      <w:r>
        <w:rPr>
          <w:rFonts w:hint="eastAsia"/>
        </w:rPr>
        <w:t xml:space="preserve">十、投资方向分层：可参与、只观察、应回避</w:t>
      </w:r>
    </w:p>
    <w:bookmarkStart w:id="39" w:name="a层可参与半导体存储设备先进封装"/>
    <w:p>
      <w:pPr>
        <w:pStyle w:val="Heading3"/>
      </w:pPr>
      <w:r>
        <w:t xml:space="preserve">🔴 </w:t>
      </w:r>
      <w:r>
        <w:rPr>
          <w:rFonts w:hint="eastAsia"/>
        </w:rPr>
        <w:t xml:space="preserve">A层可参与：半导体/存储/设备/先进封装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半导体主力净流入166.18亿元，申万二级行业流入第1。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长电科技主力净流入15.81亿元。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北方华创主力净流入15.00亿元。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中芯国际主力净流入13.75亿元。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中微公司主力净流入10.55亿元。</w:t>
      </w:r>
    </w:p>
    <w:p>
      <w:pPr>
        <w:pStyle w:val="FirstParagraph"/>
      </w:pPr>
      <w:r>
        <w:t xml:space="preserve">🔴 </w:t>
      </w: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长电科技：成交额224.55亿元，涨跌幅📈+1.29%。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北方华创：主力净流入15.00亿元。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中芯国际：主力净流入13.75亿元。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中微公司：主力净流入10.55亿元。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兆易创新：主力净流入25.97亿元，但高估值和高换手需谨慎。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半导体板块继续保持资金流入前列。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兆易创新不再放量下跌，能重新站稳470元附近并修复短线均线。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长电科技、通富微电等封测中军继续强于指数。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成交额不能继续大幅缩量。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半导体板块转为大额净流出。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兆易创新跌破470元后继续放量下行。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高位存储股德明利继续跌停并扩散到设备、封测。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科创50继续弱于主板且无资金回流。</w:t>
      </w:r>
    </w:p>
    <w:bookmarkEnd w:id="39"/>
    <w:bookmarkStart w:id="40" w:name="a层可参与ai硬件cpo光模块算力网络"/>
    <w:p>
      <w:pPr>
        <w:pStyle w:val="Heading3"/>
      </w:pPr>
      <w:r>
        <w:t xml:space="preserve">🔴 </w:t>
      </w:r>
      <w:r>
        <w:rPr>
          <w:rFonts w:hint="eastAsia"/>
        </w:rPr>
        <w:t xml:space="preserve">A层可参与：AI硬件/CPO/光模块/算力网络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通信设备主力净流入47.04亿元。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光学光电子主力净流入27.34亿元。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中际旭创主力净流入29.97亿元。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新易盛主力净流入14.78亿元。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紫光股份成交额241.52亿元，涨跌幅📈+8.30%。</w:t>
      </w:r>
    </w:p>
    <w:p>
      <w:pPr>
        <w:pStyle w:val="FirstParagraph"/>
      </w:pPr>
      <w:r>
        <w:t xml:space="preserve">🔴 </w:t>
      </w:r>
      <w:r>
        <w:rPr>
          <w:rFonts w:hint="eastAsia"/>
        </w:rPr>
        <w:t xml:space="preserve">核心标的与质量：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中际旭创：2026一季报净利润同比增长273.7%，ROE</w:t>
      </w:r>
      <w:r>
        <w:t xml:space="preserve"> </w:t>
      </w:r>
      <w:r>
        <w:rPr>
          <w:rFonts w:hint="eastAsia"/>
        </w:rPr>
        <w:t xml:space="preserve">17.54%；总市值1.183万亿元，PE(TTM)79.14倍，PB33.24倍，换手率3.315%。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新易盛：2026一季报净利润同比增长76.42%，ROE</w:t>
      </w:r>
      <w:r>
        <w:t xml:space="preserve"> </w:t>
      </w:r>
      <w:r>
        <w:rPr>
          <w:rFonts w:hint="eastAsia"/>
        </w:rPr>
        <w:t xml:space="preserve">14.52%；总市值7094亿元，PE(TTM)66.05倍，PB34.81倍，换手率4.997%。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紫光股份：2026一季报净利润同比增长144.5%，ROE</w:t>
      </w:r>
      <w:r>
        <w:t xml:space="preserve"> </w:t>
      </w:r>
      <w:r>
        <w:rPr>
          <w:rFonts w:hint="eastAsia"/>
        </w:rPr>
        <w:t xml:space="preserve">5.21%；总市值1284亿元，PE(TTM)60.44倍，PB8.27倍，换手率18.8%。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中际旭创重新站回60日MA</w:t>
      </w:r>
      <w:r>
        <w:t xml:space="preserve"> </w:t>
      </w:r>
      <w:r>
        <w:rPr>
          <w:rFonts w:hint="eastAsia"/>
        </w:rPr>
        <w:t xml:space="preserve">1112或20日MA</w:t>
      </w:r>
      <w:r>
        <w:t xml:space="preserve"> </w:t>
      </w:r>
      <w:r>
        <w:rPr>
          <w:rFonts w:hint="eastAsia"/>
        </w:rPr>
        <w:t xml:space="preserve">1147，才算趋势修复。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新易盛重新站稳20日MA</w:t>
      </w:r>
      <w:r>
        <w:t xml:space="preserve"> </w:t>
      </w:r>
      <w:r>
        <w:rPr>
          <w:rFonts w:hint="eastAsia"/>
        </w:rPr>
        <w:t xml:space="preserve">539，才算强修复；站稳60日MA</w:t>
      </w:r>
      <w:r>
        <w:t xml:space="preserve"> </w:t>
      </w:r>
      <w:r>
        <w:rPr>
          <w:rFonts w:hint="eastAsia"/>
        </w:rPr>
        <w:t xml:space="preserve">497只是弱修复。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紫光股份继续放量承接且不出现高位放量长阴。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通信设备板块维持资金流入。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中际旭创继续低于60日MA</w:t>
      </w:r>
      <w:r>
        <w:t xml:space="preserve"> </w:t>
      </w:r>
      <w:r>
        <w:rPr>
          <w:rFonts w:hint="eastAsia"/>
        </w:rPr>
        <w:t xml:space="preserve">1112且放量下跌。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新易盛跌破60日MA</w:t>
      </w:r>
      <w:r>
        <w:t xml:space="preserve"> </w:t>
      </w:r>
      <w:r>
        <w:rPr>
          <w:rFonts w:hint="eastAsia"/>
        </w:rPr>
        <w:t xml:space="preserve">497后不能收回。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紫光股份高位换手18.8%后出现放量滞涨。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亨通光电、信维通信等流出股继续拖累通信硬件。</w:t>
      </w:r>
    </w:p>
    <w:bookmarkEnd w:id="40"/>
    <w:bookmarkStart w:id="41" w:name="b层只观察工业金属贵金属油气资源"/>
    <w:p>
      <w:pPr>
        <w:pStyle w:val="Heading3"/>
      </w:pPr>
      <w:r>
        <w:t xml:space="preserve">🟡 </w:t>
      </w:r>
      <w:r>
        <w:rPr>
          <w:rFonts w:hint="eastAsia"/>
        </w:rPr>
        <w:t xml:space="preserve">B层只观察：工业金属/贵金属/油气资源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工业金属主力净流入26.66亿元。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贵金属主力净流入13.74亿元。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COMEX黄金📈+1.96%。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WTI原油📈+2.17%。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新闻联播显示中东冲突仍在升级。</w:t>
      </w:r>
    </w:p>
    <w:p>
      <w:pPr>
        <w:pStyle w:val="FirstParagraph"/>
      </w:pPr>
      <w:r>
        <w:t xml:space="preserve">🔴 </w:t>
      </w: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采集JSON未给出完整资源股资金TOP10，具体个股不强行补数。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可观察黄金、有色、油气板块中的趋势龙头，缺失项写未核验。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黄金、原油继续上涨。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贵金属、工业金属板块资金继续流入。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资源股高开后不回落，回踩均线有承接。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中东冲突出现停火降温。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黄金、原油冲高回落。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资源股高开低走并放量套人。</w:t>
      </w:r>
    </w:p>
    <w:bookmarkEnd w:id="41"/>
    <w:bookmarkStart w:id="42" w:name="b层只观察绿色低碳电力设备储能"/>
    <w:p>
      <w:pPr>
        <w:pStyle w:val="Heading3"/>
      </w:pPr>
      <w:r>
        <w:t xml:space="preserve">🟡 </w:t>
      </w:r>
      <w:r>
        <w:rPr>
          <w:rFonts w:hint="eastAsia"/>
        </w:rPr>
        <w:t xml:space="preserve">B层只观察：绿色低碳/电力设备/储能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新闻联播对节能降碳着墨最多。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电池主力净流入29.68亿元。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新能源汽车6月份新车销量达到汽车新车总销量近六成。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清洁能源行业产值达到15.4万亿元。</w:t>
      </w:r>
    </w:p>
    <w:p>
      <w:pPr>
        <w:pStyle w:val="FirstParagraph"/>
      </w:pPr>
      <w:r>
        <w:t xml:space="preserve">🔴 </w:t>
      </w: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采集JSON未提供完整绿色低碳核心股估值与资金明细，个股层面未核验。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方向重点看电池、储能、绿电、节能改造、绿色建筑。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电池板块延续资金流入。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储能、智能电网出现成交额中军带动。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绿色低碳方向不只是政策利好，而是有资金放量确认。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电池板块流入转流出。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政策利好兑现后板块冲高回落。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光伏、储能后排无量脉冲。</w:t>
      </w:r>
    </w:p>
    <w:bookmarkEnd w:id="42"/>
    <w:bookmarkStart w:id="43" w:name="b层只观察交通强国基建数智化"/>
    <w:p>
      <w:pPr>
        <w:pStyle w:val="Heading3"/>
      </w:pPr>
      <w:r>
        <w:t xml:space="preserve">🟡 </w:t>
      </w:r>
      <w:r>
        <w:rPr>
          <w:rFonts w:hint="eastAsia"/>
        </w:rPr>
        <w:t xml:space="preserve">B层只观察：交通强国/基建数智化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到2030年基本建成现代化综合交通运输体系。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交通基础设施更新和数智化改造规模约8万公里。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新改建农村公路50万公里。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但基础建设主力净流出3.32亿元。</w:t>
      </w:r>
    </w:p>
    <w:p>
      <w:pPr>
        <w:pStyle w:val="FirstParagraph"/>
      </w:pPr>
      <w:r>
        <w:t xml:space="preserve">🔴 </w:t>
      </w:r>
      <w:r>
        <w:rPr>
          <w:rFonts w:hint="eastAsia"/>
        </w:rPr>
        <w:t xml:space="preserve">核心方向：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智慧交通、轨交设备、北斗导航、车路协同、交通信息化。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具体核心股缺少采集JSON核验，不给买入结论。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基建数智化方向出现放量中军。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基础建设资金从净流出转为净流入。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政策细则或订单公告落地。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基建方向继续资金流出。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只有新闻利好，没有盘口承接。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低位基建股冲高回落。</w:t>
      </w:r>
    </w:p>
    <w:bookmarkEnd w:id="43"/>
    <w:bookmarkStart w:id="44" w:name="c层应回避传统消费与流出金融"/>
    <w:p>
      <w:pPr>
        <w:pStyle w:val="Heading3"/>
      </w:pPr>
      <w:r>
        <w:t xml:space="preserve">🟢 </w:t>
      </w:r>
      <w:r>
        <w:rPr>
          <w:rFonts w:hint="eastAsia"/>
        </w:rPr>
        <w:t xml:space="preserve">C层应回避：传统消费与流出金融</w:t>
      </w:r>
    </w:p>
    <w:p>
      <w:pPr>
        <w:pStyle w:val="FirstParagraph"/>
      </w:pPr>
      <w:r>
        <w:t xml:space="preserve">💰 </w:t>
      </w: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白酒Ⅱ主力净流出17.23亿元。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银行Ⅱ主力净流出28.70亿元。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五粮液主力净流出4.51亿元。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贵州茅台主力净流出4.13亿元。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伊利股份主力净流出2.92亿元。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回避理由：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传统消费没有资金优势。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银行作为权重防御方向被资金净流出。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缩量市场中，资金更偏向高辨识度科技与资源，不利于消费防御扩散。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0" w:name="十一今日操作策略只做右侧确认不接高位自由落体"/>
    <w:p>
      <w:pPr>
        <w:pStyle w:val="Heading2"/>
      </w:pPr>
      <w:r>
        <w:t xml:space="preserve">💡 </w:t>
      </w:r>
      <w:r>
        <w:rPr>
          <w:rFonts w:hint="eastAsia"/>
        </w:rPr>
        <w:t xml:space="preserve">十一、今日操作策略：只做右侧确认，不接高位自由落体</w:t>
      </w:r>
    </w:p>
    <w:bookmarkStart w:id="46" w:name="总体策略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不打板。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不追涨杀跌。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不做后排杂毛。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不在高位放量大阴线中抄底。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只做右侧上升趋势，优先做新高后缩量回踩不破趋势线/颈线，再放量突破前高的二波强股。</w:t>
      </w:r>
    </w:p>
    <w:bookmarkEnd w:id="46"/>
    <w:bookmarkStart w:id="47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0%—2%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指数低开低走，科技核心继续放量下跌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半导体/通信设备有修复，但成交额仍缩量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核心中军放量转强，涨跌比明显改善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最高仓位：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自动仓位模型给出</w:t>
      </w:r>
      <w:r>
        <w:t xml:space="preserve"> max_position_pct=50。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但当前成交额缩量-10.27%，宽基ETF未确认连续流入，联合信号not_confirmed。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因此实战不建议直接打满50%，除非盘中出现放量修复和主线一致转强。</w:t>
      </w:r>
    </w:p>
    <w:bookmarkEnd w:id="47"/>
    <w:bookmarkStart w:id="48" w:name="今日优先看"/>
    <w:p>
      <w:pPr>
        <w:pStyle w:val="Heading3"/>
      </w:pPr>
      <w:r>
        <w:t xml:space="preserve">🔴 </w:t>
      </w:r>
      <w:r>
        <w:rPr>
          <w:rFonts w:hint="eastAsia"/>
        </w:rPr>
        <w:t xml:space="preserve">今日优先看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半导体设备、封测、先进封装。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算力网络、交换机、CPO、光模块。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贵金属、工业金属、油气资源的趋势股。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政策催化但需资金确认的绿色低碳、交通数智化。</w:t>
      </w:r>
    </w:p>
    <w:bookmarkEnd w:id="48"/>
    <w:bookmarkStart w:id="49" w:name="今日坚决不做"/>
    <w:p>
      <w:pPr>
        <w:pStyle w:val="Heading3"/>
      </w:pPr>
      <w:r>
        <w:t xml:space="preserve">⚠️ </w:t>
      </w:r>
      <w:r>
        <w:rPr>
          <w:rFonts w:hint="eastAsia"/>
        </w:rPr>
        <w:t xml:space="preserve">今日坚决不做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德明利这类高位筹码松动且大额流出的个股。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白酒、银行、传统消费等资金流出方向。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只因新闻联播政策利好但没有资金确认的低位后排。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跌破20日线和60日线后无承接的科技高位股。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十二仓位模型缩量扣分宽基未确认仓位必须收着打"/>
    <w:p>
      <w:pPr>
        <w:pStyle w:val="Heading2"/>
      </w:pPr>
      <w:r>
        <w:t xml:space="preserve">📐 </w:t>
      </w:r>
      <w:r>
        <w:rPr>
          <w:rFonts w:hint="eastAsia"/>
        </w:rPr>
        <w:t xml:space="preserve">十二、仓位模型：缩量扣分，宽基未确认，仓位必须收着打</w:t>
      </w:r>
    </w:p>
    <w:p>
      <w:pPr>
        <w:pStyle w:val="FirstParagraph"/>
      </w:pPr>
      <w:r>
        <w:t xml:space="preserve">derived.position_model </w:t>
      </w:r>
      <w:r>
        <w:rPr>
          <w:rFonts w:hint="eastAsia"/>
        </w:rPr>
        <w:t xml:space="preserve">数据：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max_position_pct：50。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aggressive_pct：27。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balanced_pct：17。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conservative_pct：2。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全市场成交额：26686.12亿元。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前一交易日成交额：29742.01亿元。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成交额变化：-3055.89亿元。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成交额变化幅度：-10.27%。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模型扣分项：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涨跌比0.395，扣15分。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成交额变化-10.27%，扣8分。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跌停数未作为盘前情绪展开，不纳入盘前交易结论。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量化推导：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成交额显著缩量，说明增量资金不足。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涨跌比偏弱，说明赚钱效应集中在少数核心。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宽基ETF连续流入数量为0，不能假设指数有持续托底。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两融余额小增主要由融券余额变化驱动，不是强进攻信号。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最终仓位结论：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默认仓位：17%。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若半导体与通信设备中军转强：提高到27%。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若指数放量修复且核心股站回关键均线：最高看到50%。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若科技核心继续放量杀跌：降至0%—2%。</w:t>
      </w:r>
    </w:p>
    <w:p>
      <w:r>
        <w:pict>
          <v:rect style="width:0;height:1.5pt" o:hralign="center" o:hrstd="t" o:hr="t"/>
        </w:pict>
      </w:r>
    </w:p>
    <w:bookmarkEnd w:id="51"/>
    <w:bookmarkStart w:id="56" w:name="十三核心股质量与右侧确认条件"/>
    <w:p>
      <w:pPr>
        <w:pStyle w:val="Heading2"/>
      </w:pPr>
      <w:r>
        <w:t xml:space="preserve">🧪 </w:t>
      </w:r>
      <w:r>
        <w:rPr>
          <w:rFonts w:hint="eastAsia"/>
        </w:rPr>
        <w:t xml:space="preserve">十三、核心股质量与右侧确认条件</w:t>
      </w:r>
    </w:p>
    <w:bookmarkStart w:id="52" w:name="中际旭创"/>
    <w:p>
      <w:pPr>
        <w:pStyle w:val="Heading3"/>
      </w:pPr>
      <w:r>
        <w:t xml:space="preserve">🔴 </w:t>
      </w:r>
      <w:r>
        <w:rPr>
          <w:rFonts w:hint="eastAsia"/>
        </w:rPr>
        <w:t xml:space="preserve">中际旭创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273.7%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2026一季报ROE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17.54%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PE(TTM)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79.14倍</w:t>
            </w:r>
          </w:p>
        </w:tc>
      </w:tr>
      <w:tr>
        <w:tc>
          <w:tcPr/>
          <w:p>
            <w:pPr>
              <w:pStyle w:val="Compac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33.24倍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3.315%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基本面增速强，但估值和市值都处在高位。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收盘价1060.8元，低于60日MA</w:t>
      </w:r>
      <w:r>
        <w:t xml:space="preserve"> </w:t>
      </w:r>
      <w:r>
        <w:rPr>
          <w:rFonts w:hint="eastAsia"/>
        </w:rPr>
        <w:t xml:space="preserve">1112和20日MA</w:t>
      </w:r>
      <w:r>
        <w:t xml:space="preserve"> 1147。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今日只有重新站回60日MA</w:t>
      </w:r>
      <w:r>
        <w:t xml:space="preserve"> </w:t>
      </w:r>
      <w:r>
        <w:rPr>
          <w:rFonts w:hint="eastAsia"/>
        </w:rPr>
        <w:t xml:space="preserve">1112，才从弱修复变成可观察；站回20日MA</w:t>
      </w:r>
      <w:r>
        <w:t xml:space="preserve"> </w:t>
      </w:r>
      <w:r>
        <w:rPr>
          <w:rFonts w:hint="eastAsia"/>
        </w:rPr>
        <w:t xml:space="preserve">1147，才算趋势修复。</w:t>
      </w:r>
    </w:p>
    <w:bookmarkEnd w:id="52"/>
    <w:bookmarkStart w:id="53" w:name="兆易创新"/>
    <w:p>
      <w:pPr>
        <w:pStyle w:val="Heading3"/>
      </w:pPr>
      <w:r>
        <w:t xml:space="preserve">🔴 </w:t>
      </w:r>
      <w:r>
        <w:rPr>
          <w:rFonts w:hint="eastAsia"/>
        </w:rPr>
        <w:t xml:space="preserve">兆易创新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514.3%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2026一季报ROE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PE(TTM)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114.7倍</w:t>
            </w:r>
          </w:p>
        </w:tc>
      </w:tr>
      <w:tr>
        <w:tc>
          <w:tcPr/>
          <w:p>
            <w:pPr>
              <w:pStyle w:val="Compac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13.05倍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11.35%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业绩弹性强，但PE(TTM)114.7倍、换手率11.35%，高位分歧明显。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收盘价470元，低于60日MA</w:t>
      </w:r>
      <w:r>
        <w:t xml:space="preserve"> </w:t>
      </w:r>
      <w:r>
        <w:rPr>
          <w:rFonts w:hint="eastAsia"/>
        </w:rPr>
        <w:t xml:space="preserve">512.5和20日MA</w:t>
      </w:r>
      <w:r>
        <w:t xml:space="preserve"> 628。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今日不适合左侧抄底，必须等重新站上60日MA</w:t>
      </w:r>
      <w:r>
        <w:t xml:space="preserve"> </w:t>
      </w:r>
      <w:r>
        <w:rPr>
          <w:rFonts w:hint="eastAsia"/>
        </w:rPr>
        <w:t xml:space="preserve">512.5或放量反包确认。</w:t>
      </w:r>
    </w:p>
    <w:bookmarkEnd w:id="53"/>
    <w:bookmarkStart w:id="54" w:name="新易盛"/>
    <w:p>
      <w:pPr>
        <w:pStyle w:val="Heading3"/>
      </w:pPr>
      <w:r>
        <w:t xml:space="preserve">🔴 </w:t>
      </w:r>
      <w:r>
        <w:rPr>
          <w:rFonts w:hint="eastAsia"/>
        </w:rPr>
        <w:t xml:space="preserve">新易盛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2026一季报ROE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14.52%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PE(TTM)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66.05倍</w:t>
            </w:r>
          </w:p>
        </w:tc>
      </w:tr>
      <w:tr>
        <w:tc>
          <w:tcPr/>
          <w:p>
            <w:pPr>
              <w:pStyle w:val="Compac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34.81倍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4.997%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仍有业绩支撑，但PB34.81倍，估值拥挤。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收盘价508.8元，高于60日MA</w:t>
      </w:r>
      <w:r>
        <w:t xml:space="preserve"> </w:t>
      </w:r>
      <w:r>
        <w:rPr>
          <w:rFonts w:hint="eastAsia"/>
        </w:rPr>
        <w:t xml:space="preserve">497，但低于20日MA</w:t>
      </w:r>
      <w:r>
        <w:t xml:space="preserve"> 539。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只要不破60日MA</w:t>
      </w:r>
      <w:r>
        <w:t xml:space="preserve"> </w:t>
      </w:r>
      <w:r>
        <w:rPr>
          <w:rFonts w:hint="eastAsia"/>
        </w:rPr>
        <w:t xml:space="preserve">497，可观察弱修复；若重新站上20日MA</w:t>
      </w:r>
      <w:r>
        <w:t xml:space="preserve"> </w:t>
      </w:r>
      <w:r>
        <w:rPr>
          <w:rFonts w:hint="eastAsia"/>
        </w:rPr>
        <w:t xml:space="preserve">539，右侧确认增强。</w:t>
      </w:r>
    </w:p>
    <w:bookmarkEnd w:id="54"/>
    <w:bookmarkStart w:id="55" w:name="紫光股份"/>
    <w:p>
      <w:pPr>
        <w:pStyle w:val="Heading3"/>
      </w:pPr>
      <w:r>
        <w:t xml:space="preserve">🔴 </w:t>
      </w:r>
      <w:r>
        <w:rPr>
          <w:rFonts w:hint="eastAsia"/>
        </w:rPr>
        <w:t xml:space="preserve">紫光股份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2026一季报ROE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PE(TTM)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60.44倍</w:t>
            </w:r>
          </w:p>
        </w:tc>
      </w:tr>
      <w:tr>
        <w:tc>
          <w:tcPr/>
          <w:p>
            <w:pPr>
              <w:pStyle w:val="Compac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8.27倍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算力网络中军强势，收盘价44.9元，高于20日MA</w:t>
      </w:r>
      <w:r>
        <w:t xml:space="preserve"> </w:t>
      </w:r>
      <w:r>
        <w:rPr>
          <w:rFonts w:hint="eastAsia"/>
        </w:rPr>
        <w:t xml:space="preserve">33.98和60日MA</w:t>
      </w:r>
      <w:r>
        <w:t xml:space="preserve"> 30.9。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量比1.23，换手率18.8%，说明资金关注度高，也说明短线拥挤。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今日若继续强于指数并承接高位换手，是AI硬件内部最重要风向标之一。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7" w:name="十四行为金融信号没有fomo阈值但高位分歧不能忽视"/>
    <w:p>
      <w:pPr>
        <w:pStyle w:val="Heading2"/>
      </w:pPr>
      <w:r>
        <w:t xml:space="preserve">🧠 </w:t>
      </w:r>
      <w:r>
        <w:rPr>
          <w:rFonts w:hint="eastAsia"/>
        </w:rPr>
        <w:t xml:space="preserve">十四、行为金融信号：没有FOMO阈值，但高位分歧不能忽视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风险分数：1。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信号：行为金融信号中性。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结论：未触发FOMO、拥挤或亏损厌恶阈值。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成交额变化：-10.27%。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模型没有给出极端FOMO信号，但个股层面的高换手和高估值已经存在。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紫光股份换手率18.8%，兆易创新换手率11.35%，东山精密换手率9.196%，都不是低拥挤状态。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当前最容易亏钱的地方，是在缩量市场里追高已经放量分歧的科技人气股。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行动：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不因龙头热度高而扩大仓位。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不因昨日资金流入就忽视今日均线破位。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只在缩量回踩不破、再放量突破时参与。</w:t>
      </w:r>
    </w:p>
    <w:p>
      <w:r>
        <w:pict>
          <v:rect style="width:0;height:1.5pt" o:hralign="center" o:hrstd="t" o:hr="t"/>
        </w:pict>
      </w:r>
    </w:p>
    <w:bookmarkEnd w:id="57"/>
    <w:bookmarkStart w:id="62" w:name="十五回避清单四类票不碰"/>
    <w:p>
      <w:pPr>
        <w:pStyle w:val="Heading2"/>
      </w:pPr>
      <w:r>
        <w:t xml:space="preserve">🚫 </w:t>
      </w:r>
      <w:r>
        <w:rPr>
          <w:rFonts w:hint="eastAsia"/>
        </w:rPr>
        <w:t xml:space="preserve">十五、回避清单：四类票不碰</w:t>
      </w:r>
    </w:p>
    <w:bookmarkStart w:id="58" w:name="高位大额流出股"/>
    <w:p>
      <w:pPr>
        <w:pStyle w:val="Heading3"/>
      </w:pPr>
      <w:r>
        <w:t xml:space="preserve">⚠️ </w:t>
      </w:r>
      <w:r>
        <w:rPr>
          <w:rFonts w:hint="eastAsia"/>
        </w:rPr>
        <w:t xml:space="preserve">1）高位大额流出股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德明利：主力净流出15.75亿元。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信维通信：主力净流出3.85亿元。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亨通光电：主力净流出3.01亿元。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中巨芯-U：主力净流出2.82亿元。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原因：科技主线内部已经分化，流出股不做弱修复。</w:t>
      </w:r>
    </w:p>
    <w:bookmarkEnd w:id="58"/>
    <w:bookmarkStart w:id="59" w:name="传统消费资金撤离股"/>
    <w:p>
      <w:pPr>
        <w:pStyle w:val="Heading3"/>
      </w:pPr>
      <w:r>
        <w:t xml:space="preserve">⚠️ </w:t>
      </w:r>
      <w:r>
        <w:rPr>
          <w:rFonts w:hint="eastAsia"/>
        </w:rPr>
        <w:t xml:space="preserve">2）传统消费资金撤离股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五粮液：主力净流出4.51亿元。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贵州茅台：主力净流出4.13亿元。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伊利股份：主力净流出2.92亿元。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原因：消费没有资金合力，政策消费线也不是今日主线。</w:t>
      </w:r>
    </w:p>
    <w:bookmarkEnd w:id="59"/>
    <w:bookmarkStart w:id="60" w:name="金融流出权重"/>
    <w:p>
      <w:pPr>
        <w:pStyle w:val="Heading3"/>
      </w:pPr>
      <w:r>
        <w:t xml:space="preserve">⚠️ </w:t>
      </w:r>
      <w:r>
        <w:rPr>
          <w:rFonts w:hint="eastAsia"/>
        </w:rPr>
        <w:t xml:space="preserve">3）金融流出权重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工商银行：主力净流出3.33亿元。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招商银行：主力净流出3.09亿元。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东方财富：主力净流出2.98亿元。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原因：金融对指数有影响，但缺乏进攻性。</w:t>
      </w:r>
    </w:p>
    <w:bookmarkEnd w:id="60"/>
    <w:bookmarkStart w:id="61" w:name="公告风险股"/>
    <w:p>
      <w:pPr>
        <w:pStyle w:val="Heading3"/>
      </w:pPr>
      <w:r>
        <w:t xml:space="preserve">⚠️ </w:t>
      </w:r>
      <w:r>
        <w:rPr>
          <w:rFonts w:hint="eastAsia"/>
        </w:rPr>
        <w:t xml:space="preserve">4）公告风险股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云创退：退市整理期风险提示。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中文在线：重大仲裁公告。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军信股份：首发前股份解除限售并上市流通。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原因：缩量分歧市中，公告风险会被放大。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3" w:name="十六风险日历外部冲突关税解禁与政策兑现"/>
    <w:p>
      <w:pPr>
        <w:pStyle w:val="Heading2"/>
      </w:pPr>
      <w:r>
        <w:t xml:space="preserve">📆 </w:t>
      </w:r>
      <w:r>
        <w:rPr>
          <w:rFonts w:hint="eastAsia"/>
        </w:rPr>
        <w:t xml:space="preserve">十六、风险日历：外部冲突、关税、解禁与政策兑现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今日重点风险：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中东冲突继续升级，可能推高黄金、原油，也可能压制全球风险资产。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美国对加拿大数百项商品加征50%关税，将于8月19日生效，需观察贸易摩擦是否扩散。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胡塞武装宣布对沙特实施海上禁运，航运与能源价格波动可能加大。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军信股份存在首发前股份解除限售事项。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云创退处于退市整理期风险提示阶段。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中文在线存在重大仲裁公告。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外部冲突利好资源，但不追高开过大的黄金、油气。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政策利好方向必须看资金确认。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公告风险个股直接剔除，不做侥幸交易。</w:t>
      </w:r>
    </w:p>
    <w:p>
      <w:r>
        <w:pict>
          <v:rect style="width:0;height:1.5pt" o:hralign="center" o:hrstd="t" o:hr="t"/>
        </w:pict>
      </w:r>
    </w:p>
    <w:bookmarkEnd w:id="63"/>
    <w:bookmarkStart w:id="64" w:name="十七外资与离岸风险偏好人民币小幅走弱港股偏弱"/>
    <w:p>
      <w:pPr>
        <w:pStyle w:val="Heading2"/>
      </w:pPr>
      <w:r>
        <w:t xml:space="preserve">🌊 </w:t>
      </w:r>
      <w:r>
        <w:rPr>
          <w:rFonts w:hint="eastAsia"/>
        </w:rPr>
        <w:t xml:space="preserve">十七、外资与离岸风险偏好：人民币小幅走弱，港股偏弱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6.7747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25132.29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15205.70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离岸人民币小幅走弱，对外资偏好不是加分项。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恒生指数📉-0.95%，说明港股风险偏好偏弱。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富时A50期指📈+0.33%，对A股权重有托底，但不足以支撑全面进攻。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外资与离岸风险偏好偏中性略谨慎。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今日A股若要转强，必须依靠内资核心主线放量修复。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半导体、通信设备、资源品是观察重点；传统消费和金融暂不优先。</w:t>
      </w:r>
    </w:p>
    <w:p>
      <w:r>
        <w:pict>
          <v:rect style="width:0;height:1.5pt" o:hralign="center" o:hrstd="t" o:hr="t"/>
        </w:pict>
      </w:r>
    </w:p>
    <w:bookmarkEnd w:id="64"/>
    <w:bookmarkStart w:id="68" w:name="十八今日盘前作战图"/>
    <w:p>
      <w:pPr>
        <w:pStyle w:val="Heading2"/>
      </w:pPr>
      <w:r>
        <w:t xml:space="preserve">🧩 </w:t>
      </w:r>
      <w:r>
        <w:rPr>
          <w:rFonts w:hint="eastAsia"/>
        </w:rPr>
        <w:t xml:space="preserve">十八、今日盘前作战图</w:t>
      </w:r>
    </w:p>
    <w:bookmarkStart w:id="65" w:name="主攻条件"/>
    <w:p>
      <w:pPr>
        <w:pStyle w:val="Heading3"/>
      </w:pPr>
      <w:r>
        <w:t xml:space="preserve">🔴 </w:t>
      </w:r>
      <w:r>
        <w:rPr>
          <w:rFonts w:hint="eastAsia"/>
        </w:rPr>
        <w:t xml:space="preserve">主攻条件</w:t>
      </w:r>
    </w:p>
    <w:p>
      <w:pPr>
        <w:pStyle w:val="FirstParagraph"/>
      </w:pPr>
      <w:r>
        <w:rPr>
          <w:rFonts w:hint="eastAsia"/>
        </w:rPr>
        <w:t xml:space="preserve">满足以下条件，才允许从17%提高到27%：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半导体继续保持资金强度。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通信设备、光模块中军止跌修复。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紫光股份、中兴通讯、通富微电等强势核心不放量杀跌。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成交额不继续明显缩量。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宽基ETF不继续大幅净赎回。</w:t>
      </w:r>
    </w:p>
    <w:bookmarkEnd w:id="65"/>
    <w:bookmarkStart w:id="66" w:name="观察条件"/>
    <w:p>
      <w:pPr>
        <w:pStyle w:val="Heading3"/>
      </w:pPr>
      <w:r>
        <w:t xml:space="preserve">🟡 </w:t>
      </w:r>
      <w:r>
        <w:rPr>
          <w:rFonts w:hint="eastAsia"/>
        </w:rPr>
        <w:t xml:space="preserve">观察条件</w:t>
      </w:r>
    </w:p>
    <w:p>
      <w:pPr>
        <w:pStyle w:val="FirstParagraph"/>
      </w:pPr>
      <w:r>
        <w:rPr>
          <w:rFonts w:hint="eastAsia"/>
        </w:rPr>
        <w:t xml:space="preserve">只观察不重仓：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黄金、油气高开后是否仍有承接。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电池、储能、绿色低碳是否有资金确认。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交通数智化是否出现中军放量。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入境游、育儿、家政等消费线是否局部异动。</w:t>
      </w:r>
    </w:p>
    <w:bookmarkEnd w:id="66"/>
    <w:bookmarkStart w:id="67" w:name="防守条件"/>
    <w:p>
      <w:pPr>
        <w:pStyle w:val="Heading3"/>
      </w:pPr>
      <w:r>
        <w:t xml:space="preserve">🟢 </w:t>
      </w:r>
      <w:r>
        <w:rPr>
          <w:rFonts w:hint="eastAsia"/>
        </w:rPr>
        <w:t xml:space="preserve">防守条件</w:t>
      </w:r>
    </w:p>
    <w:p>
      <w:pPr>
        <w:pStyle w:val="FirstParagraph"/>
      </w:pPr>
      <w:r>
        <w:rPr>
          <w:rFonts w:hint="eastAsia"/>
        </w:rPr>
        <w:t xml:space="preserve">出现以下情况，降至0%—2%：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中际旭创、新易盛继续放量跌破关键均线。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半导体资金流入转为流出。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科创50继续弱于主板。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成交额继续缩量且个股跌多涨少。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宽基ETF继续净赎回。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69" w:name="十九最终结论方向仍在科技节奏必须等确认"/>
    <w:p>
      <w:pPr>
        <w:pStyle w:val="Heading2"/>
      </w:pPr>
      <w:r>
        <w:t xml:space="preserve">📌 </w:t>
      </w:r>
      <w:r>
        <w:rPr>
          <w:rFonts w:hint="eastAsia"/>
        </w:rPr>
        <w:t xml:space="preserve">十九、最终结论：方向仍在科技，节奏必须等确认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今日最明确的判断：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资金主线没有离开科技，半导体净流入166.18亿元是最硬证据。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但科技高位分歧已经出现，中际旭创、新易盛、东山精密等高成交核心大跌，不能追涨。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资源品受黄金、原油和中东冲突催化，有阶段性防御进攻价值。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绿色低碳、交通强国、民营再贷款是新闻联播政策主线，但必须等盘口资金确认。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宽基ETF连续流入未确认，成交额缩量-10.27%，仓位不能激进。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今日行动一句话：</w:t>
      </w:r>
    </w:p>
    <w:p>
      <w:pPr>
        <w:pStyle w:val="BlockText"/>
      </w:pPr>
      <w:r>
        <w:rPr>
          <w:rFonts w:hint="eastAsia"/>
        </w:rPr>
        <w:t xml:space="preserve">只做半导体、AI硬件、算力网络中军的分歧转强；不接高位破位，不追政策后排，默认17%仓位，确认后再到27%，极强共振才看50%。</w:t>
      </w:r>
    </w:p>
    <w:p>
      <w:r>
        <w:pict>
          <v:rect style="width:0;height:1.5pt" o:hralign="center" o:hrstd="t" o:hr="t"/>
        </w:pict>
      </w:r>
    </w:p>
    <w:bookmarkEnd w:id="69"/>
    <w:bookmarkStart w:id="70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：两融截至2026-07-21已结算27182.82亿元（较前一结算日增加7.05亿元），T+1滞后，2026-07-22当日两融尚未发布｜宽基ETF持续净申购：未确认｜成交26686.1亿元｜量价恐慌代理1.9432、未连续下降｜联合信号未确认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盘前两融明细（T+1已结算）</w:t>
      </w:r>
      <w:r>
        <w:rPr>
          <w:rFonts w:hint="eastAsia"/>
        </w:rPr>
        <w:t xml:space="preserve">：</w:t>
      </w:r>
    </w:p>
    <w:p>
      <w:pPr>
        <w:pStyle w:val="Compact"/>
        <w:numPr>
          <w:ilvl w:val="1"/>
          <w:numId w:val="1081"/>
        </w:numPr>
      </w:pPr>
      <w:r>
        <w:rPr>
          <w:rFonts w:hint="eastAsia"/>
        </w:rPr>
        <w:t xml:space="preserve">数据日期：2026-07-21；报告日：2026-07-22。</w:t>
      </w:r>
    </w:p>
    <w:p>
      <w:pPr>
        <w:pStyle w:val="Compact"/>
        <w:numPr>
          <w:ilvl w:val="1"/>
          <w:numId w:val="1081"/>
        </w:numPr>
      </w:pPr>
      <w:r>
        <w:rPr>
          <w:rFonts w:hint="eastAsia"/>
        </w:rPr>
        <w:t xml:space="preserve">两融余额：27182.82亿元。</w:t>
      </w:r>
    </w:p>
    <w:p>
      <w:pPr>
        <w:pStyle w:val="Compact"/>
        <w:numPr>
          <w:ilvl w:val="1"/>
          <w:numId w:val="1081"/>
        </w:numPr>
      </w:pPr>
      <w:r>
        <w:rPr>
          <w:rFonts w:hint="eastAsia"/>
        </w:rPr>
        <w:t xml:space="preserve">融资余额：26978.80亿元。</w:t>
      </w:r>
    </w:p>
    <w:p>
      <w:pPr>
        <w:pStyle w:val="Compact"/>
        <w:numPr>
          <w:ilvl w:val="1"/>
          <w:numId w:val="1081"/>
        </w:numPr>
      </w:pPr>
      <w:r>
        <w:rPr>
          <w:rFonts w:hint="eastAsia"/>
        </w:rPr>
        <w:t xml:space="preserve">融券余额：204.03亿元。</w:t>
      </w:r>
    </w:p>
    <w:p>
      <w:pPr>
        <w:pStyle w:val="Compact"/>
        <w:numPr>
          <w:ilvl w:val="1"/>
          <w:numId w:val="1081"/>
        </w:numPr>
      </w:pPr>
      <w:r>
        <w:rPr>
          <w:rFonts w:hint="eastAsia"/>
        </w:rPr>
        <w:t xml:space="preserve">T+1提示：T+1滞后，2026-07-22当日两融尚未发布。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较前一结算日（2026-07-20→2026-07-21）</w:t>
      </w:r>
      <w:r>
        <w:rPr>
          <w:rFonts w:hint="eastAsia"/>
        </w:rPr>
        <w:t xml:space="preserve">：两融余额增加7.05亿元；融资余额增加1.04亿元；融券余额增加6.01亿元。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自动解读</w:t>
      </w:r>
      <w:r>
        <w:rPr>
          <w:rFonts w:hint="eastAsia"/>
        </w:rPr>
        <w:t xml:space="preserve">：本轮两融回升主要由融券余额增加驱动；杠杆风险偏好边际改善，但单日变化不能单独作为加仓依据。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两融口径</w:t>
      </w:r>
      <w:r>
        <w:rPr>
          <w:rFonts w:hint="eastAsia"/>
        </w:rPr>
        <w:t xml:space="preserve">：截至2026-07-21已结算；T+1滞后，2026-07-22当日两融尚未发布，来源东财全市场融资融券日频；只作杠杆资金背景，不作为报告日盘中实时确认，不把盘中估算冒充结算值。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：沪深300日K代理=(日内振幅+绝对涨跌幅)×成交额/前日成交额；不是iVIX或隐含波动率。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生成时间：2026-07-23</w:t>
      </w:r>
      <w:r>
        <w:t xml:space="preserve"> 00:26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2026-07-22T16:33:37Z</dcterms:created>
  <dcterms:modified xsi:type="dcterms:W3CDTF">2026-07-22T16:33:37Z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