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1" w:name="奇迹早知道2026-11-05-午盘总结"/>
    <w:p>
      <w:pPr>
        <w:pStyle w:val="Heading1"/>
      </w:pPr>
      <w:r>
        <w:t xml:space="preserve">🕛 </w:t>
      </w:r>
      <w:r>
        <w:rPr>
          <w:rFonts w:hint="eastAsia"/>
        </w:rPr>
        <w:t xml:space="preserve">奇迹早知道｜2026-11-05</w:t>
      </w:r>
      <w:r>
        <w:t xml:space="preserve"> </w:t>
      </w:r>
      <w:r>
        <w:rPr>
          <w:rFonts w:hint="eastAsia"/>
        </w:rPr>
        <w:t xml:space="preserve">午盘总结</w:t>
      </w:r>
    </w:p>
    <w:bookmarkStart w:id="10" w:name="上午行情概览"/>
    <w:p>
      <w:pPr>
        <w:pStyle w:val="Heading2"/>
      </w:pPr>
      <w:r>
        <w:t xml:space="preserve">📈🔴 </w:t>
      </w:r>
      <w:r>
        <w:rPr>
          <w:rFonts w:hint="eastAsia"/>
        </w:rPr>
        <w:t xml:space="preserve">上午行情概览</w:t>
      </w:r>
    </w:p>
    <w:p>
      <w:pPr>
        <w:pStyle w:val="FirstParagraph"/>
      </w:pPr>
      <w:r>
        <w:rPr>
          <w:rFonts w:hint="eastAsia"/>
        </w:rPr>
        <w:t xml:space="preserve">三大指数集体低开后回升，深市与双创修复力度显著强于沪指。</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指数</w:t>
            </w:r>
          </w:p>
        </w:tc>
        <w:tc>
          <w:tcPr/>
          <w:p>
            <w:pPr>
              <w:pStyle w:val="Compact"/>
              <w:jc w:val="right"/>
            </w:pPr>
            <w:r>
              <w:rPr>
                <w:rFonts w:hint="eastAsia"/>
              </w:rPr>
              <w:t xml:space="preserve">午间点位</w:t>
            </w:r>
          </w:p>
        </w:tc>
        <w:tc>
          <w:tcPr/>
          <w:p>
            <w:pPr>
              <w:pStyle w:val="Compact"/>
              <w:jc w:val="right"/>
            </w:pPr>
            <w:r>
              <w:rPr>
                <w:rFonts w:hint="eastAsia"/>
              </w:rPr>
              <w:t xml:space="preserve">涨跌额</w:t>
            </w:r>
          </w:p>
        </w:tc>
        <w:tc>
          <w:tcPr/>
          <w:p>
            <w:pPr>
              <w:pStyle w:val="Compact"/>
              <w:jc w:val="right"/>
            </w:pPr>
            <w:r>
              <w:rPr>
                <w:rFonts w:hint="eastAsia"/>
              </w:rPr>
              <w:t xml:space="preserve">涨跌幅</w:t>
            </w:r>
          </w:p>
        </w:tc>
      </w:tr>
      <w:tr>
        <w:tc>
          <w:tcPr/>
          <w:p>
            <w:pPr>
              <w:pStyle w:val="Compact"/>
            </w:pPr>
            <w:r>
              <w:rPr>
                <w:rFonts w:hint="eastAsia"/>
              </w:rPr>
              <w:t xml:space="preserve">上证指数</w:t>
            </w:r>
          </w:p>
        </w:tc>
        <w:tc>
          <w:tcPr/>
          <w:p>
            <w:pPr>
              <w:pStyle w:val="Compact"/>
              <w:jc w:val="right"/>
            </w:pPr>
            <w:r>
              <w:t xml:space="preserve">3689.7893</w:t>
            </w:r>
          </w:p>
        </w:tc>
        <w:tc>
          <w:tcPr/>
          <w:p>
            <w:pPr>
              <w:pStyle w:val="Compact"/>
              <w:jc w:val="right"/>
            </w:pPr>
            <w:r>
              <w:t xml:space="preserve">+3.6168</w:t>
            </w:r>
          </w:p>
        </w:tc>
        <w:tc>
          <w:tcPr/>
          <w:p>
            <w:pPr>
              <w:pStyle w:val="Compact"/>
              <w:jc w:val="right"/>
            </w:pPr>
            <w:r>
              <w:t xml:space="preserve">📈🔴 +0.0981%</w:t>
            </w:r>
          </w:p>
        </w:tc>
      </w:tr>
      <w:tr>
        <w:tc>
          <w:tcPr/>
          <w:p>
            <w:pPr>
              <w:pStyle w:val="Compact"/>
            </w:pPr>
            <w:r>
              <w:rPr>
                <w:rFonts w:hint="eastAsia"/>
              </w:rPr>
              <w:t xml:space="preserve">深证成指</w:t>
            </w:r>
          </w:p>
        </w:tc>
        <w:tc>
          <w:tcPr/>
          <w:p>
            <w:pPr>
              <w:pStyle w:val="Compact"/>
              <w:jc w:val="right"/>
            </w:pPr>
            <w:r>
              <w:t xml:space="preserve">11498.7690</w:t>
            </w:r>
          </w:p>
        </w:tc>
        <w:tc>
          <w:tcPr/>
          <w:p>
            <w:pPr>
              <w:pStyle w:val="Compact"/>
              <w:jc w:val="right"/>
            </w:pPr>
            <w:r>
              <w:t xml:space="preserve">+163.0820</w:t>
            </w:r>
          </w:p>
        </w:tc>
        <w:tc>
          <w:tcPr/>
          <w:p>
            <w:pPr>
              <w:pStyle w:val="Compact"/>
              <w:jc w:val="right"/>
            </w:pPr>
            <w:r>
              <w:t xml:space="preserve">📈🔴 +1.4387%</w:t>
            </w:r>
          </w:p>
        </w:tc>
      </w:tr>
      <w:tr>
        <w:tc>
          <w:tcPr/>
          <w:p>
            <w:pPr>
              <w:pStyle w:val="Compact"/>
            </w:pPr>
            <w:r>
              <w:rPr>
                <w:rFonts w:hint="eastAsia"/>
              </w:rPr>
              <w:t xml:space="preserve">创业板指</w:t>
            </w:r>
          </w:p>
        </w:tc>
        <w:tc>
          <w:tcPr/>
          <w:p>
            <w:pPr>
              <w:pStyle w:val="Compact"/>
              <w:jc w:val="right"/>
            </w:pPr>
            <w:r>
              <w:t xml:space="preserve">2576.2790</w:t>
            </w:r>
          </w:p>
        </w:tc>
        <w:tc>
          <w:tcPr/>
          <w:p>
            <w:pPr>
              <w:pStyle w:val="Compact"/>
              <w:jc w:val="right"/>
            </w:pPr>
            <w:r>
              <w:t xml:space="preserve">+31.5490</w:t>
            </w:r>
          </w:p>
        </w:tc>
        <w:tc>
          <w:tcPr/>
          <w:p>
            <w:pPr>
              <w:pStyle w:val="Compact"/>
              <w:jc w:val="right"/>
            </w:pPr>
            <w:r>
              <w:t xml:space="preserve">📈🔴 +1.2398%</w:t>
            </w:r>
          </w:p>
        </w:tc>
      </w:tr>
    </w:tbl>
    <w:p>
      <w:pPr>
        <w:pStyle w:val="Compact"/>
        <w:numPr>
          <w:ilvl w:val="0"/>
          <w:numId w:val="1001"/>
        </w:numPr>
      </w:pPr>
      <w:r>
        <w:t xml:space="preserve">📈🔴 </w:t>
      </w:r>
      <w:r>
        <w:rPr>
          <w:rFonts w:hint="eastAsia"/>
        </w:rPr>
        <w:t xml:space="preserve">科创50报1292.1208点，上涨2.1059%；沪深300报4115.9252点，上涨0.3557%。</w:t>
      </w:r>
    </w:p>
    <w:p>
      <w:pPr>
        <w:pStyle w:val="Compact"/>
        <w:numPr>
          <w:ilvl w:val="0"/>
          <w:numId w:val="1001"/>
        </w:numPr>
      </w:pPr>
      <w:r>
        <w:t xml:space="preserve">💰 </w:t>
      </w:r>
      <w:r>
        <w:rPr>
          <w:rFonts w:hint="eastAsia"/>
        </w:rPr>
        <w:t xml:space="preserve">全市场半日成交额14765.60亿元；上游统一口径相对上一交易日20518.87亿元标记为下降28.04%，状态为</w:t>
      </w:r>
      <w:r>
        <w:rPr>
          <w:rFonts w:hint="eastAsia"/>
          <w:b/>
          <w:bCs/>
        </w:rPr>
        <w:t xml:space="preserve">明显缩量</w:t>
      </w:r>
      <w:r>
        <w:t xml:space="preserve">。</w:t>
      </w:r>
    </w:p>
    <w:p>
      <w:pPr>
        <w:pStyle w:val="Compact"/>
        <w:numPr>
          <w:ilvl w:val="0"/>
          <w:numId w:val="1001"/>
        </w:numPr>
      </w:pPr>
      <w:r>
        <w:t xml:space="preserve">📊 </w:t>
      </w:r>
      <w:r>
        <w:rPr>
          <w:rFonts w:hint="eastAsia"/>
        </w:rPr>
        <w:t xml:space="preserve">上涨4792只、下跌676只、平盘103只，涨跌比7.089；上涨家数占绝对优势。</w:t>
      </w:r>
    </w:p>
    <w:p>
      <w:pPr>
        <w:pStyle w:val="Compact"/>
        <w:numPr>
          <w:ilvl w:val="0"/>
          <w:numId w:val="1001"/>
        </w:numPr>
      </w:pPr>
      <w:r>
        <w:t xml:space="preserve">🔥 </w:t>
      </w:r>
      <w:r>
        <w:rPr>
          <w:rFonts w:hint="eastAsia"/>
        </w:rPr>
        <w:t xml:space="preserve">同花顺全市场口径涨停62只，东方财富严格涨停池61只；炸板40只，炸板率39.6%，封板率60.4%，跌停0只。</w:t>
      </w:r>
    </w:p>
    <w:p>
      <w:pPr>
        <w:pStyle w:val="Compact"/>
        <w:numPr>
          <w:ilvl w:val="0"/>
          <w:numId w:val="1001"/>
        </w:numPr>
      </w:pPr>
      <w:r>
        <w:t xml:space="preserve">🪜 </w:t>
      </w:r>
      <w:r>
        <w:rPr>
          <w:rFonts w:hint="eastAsia"/>
        </w:rPr>
        <w:t xml:space="preserve">连板高度4板：首板42只、2板15只、3板2只、4板2只。</w:t>
      </w:r>
    </w:p>
    <w:bookmarkStart w:id="9" w:name="情绪周期判定正常强修复伴随高分歧"/>
    <w:p>
      <w:pPr>
        <w:pStyle w:val="Heading3"/>
      </w:pPr>
      <w:r>
        <w:t xml:space="preserve">🎭 </w:t>
      </w:r>
      <w:r>
        <w:rPr>
          <w:rFonts w:hint="eastAsia"/>
        </w:rPr>
        <w:t xml:space="preserve">情绪周期判定：正常，强修复伴随高分歧</w:t>
      </w:r>
    </w:p>
    <w:p>
      <w:pPr>
        <w:pStyle w:val="Compact"/>
        <w:numPr>
          <w:ilvl w:val="0"/>
          <w:numId w:val="1002"/>
        </w:numPr>
      </w:pPr>
      <w:r>
        <w:rPr>
          <w:rFonts w:hint="eastAsia"/>
        </w:rPr>
        <w:t xml:space="preserve">上涨4792只、涨跌比7.089、跌停0只，表明低开后的修复具有广度。</w:t>
      </w:r>
    </w:p>
    <w:p>
      <w:pPr>
        <w:pStyle w:val="Compact"/>
        <w:numPr>
          <w:ilvl w:val="0"/>
          <w:numId w:val="1002"/>
        </w:numPr>
      </w:pPr>
      <w:r>
        <w:rPr>
          <w:rFonts w:hint="eastAsia"/>
        </w:rPr>
        <w:t xml:space="preserve">涨停62只、最高4板，情绪并非冰点或单纯回暖。</w:t>
      </w:r>
    </w:p>
    <w:p>
      <w:pPr>
        <w:pStyle w:val="Compact"/>
        <w:numPr>
          <w:ilvl w:val="0"/>
          <w:numId w:val="1002"/>
        </w:numPr>
      </w:pPr>
      <w:r>
        <w:rPr>
          <w:rFonts w:hint="eastAsia"/>
        </w:rPr>
        <w:t xml:space="preserve">炸板率39.6%超过高位分歧信号35%的触发线，接力稳定性不足，不能判定为过热。</w:t>
      </w:r>
    </w:p>
    <w:p>
      <w:pPr>
        <w:pStyle w:val="Compact"/>
        <w:numPr>
          <w:ilvl w:val="0"/>
          <w:numId w:val="1002"/>
        </w:numPr>
      </w:pPr>
      <w:r>
        <w:rPr>
          <w:rFonts w:hint="eastAsia"/>
        </w:rPr>
        <w:t xml:space="preserve">综合结论为</w:t>
      </w:r>
      <w:r>
        <w:rPr>
          <w:rFonts w:hint="eastAsia"/>
          <w:b/>
          <w:bCs/>
        </w:rPr>
        <w:t xml:space="preserve">正常阶段中的强修复、高分歧结构</w:t>
      </w:r>
      <w:r>
        <w:rPr>
          <w:rFonts w:hint="eastAsia"/>
        </w:rPr>
        <w:t xml:space="preserve">，普涨不等于高位股风险消失。</w:t>
      </w:r>
    </w:p>
    <w:bookmarkEnd w:id="9"/>
    <w:bookmarkEnd w:id="10"/>
    <w:bookmarkStart w:id="13" w:name="领涨板块top10与龙头线索"/>
    <w:p>
      <w:pPr>
        <w:pStyle w:val="Heading2"/>
      </w:pPr>
      <w:r>
        <w:t xml:space="preserve">📈🔴 </w:t>
      </w:r>
      <w:r>
        <w:rPr>
          <w:rFonts w:hint="eastAsia"/>
        </w:rPr>
        <w:t xml:space="preserve">领涨板块TOP10与龙头线索</w:t>
      </w:r>
    </w:p>
    <w:p>
      <w:pPr>
        <w:pStyle w:val="FirstParagraph"/>
      </w:pPr>
      <w:r>
        <w:rPr>
          <w:rFonts w:hint="eastAsia"/>
        </w:rPr>
        <w:t xml:space="preserve">以下沿用KPL精选概念原始排名，分类不是申万二级行业；排名顺序不按涨幅重新排序。</w:t>
      </w:r>
    </w:p>
    <w:bookmarkStart w:id="11" w:name="第15名"/>
    <w:p>
      <w:pPr>
        <w:pStyle w:val="Heading3"/>
      </w:pPr>
      <w:r>
        <w:t xml:space="preserve">📈🔴 </w:t>
      </w:r>
      <w:r>
        <w:rPr>
          <w:rFonts w:hint="eastAsia"/>
        </w:rPr>
        <w:t xml:space="preserve">第1—5名</w:t>
      </w:r>
    </w:p>
    <w:tbl>
      <w:tblPr>
        <w:tblStyle w:val="Table"/>
        <w:tblW w:type="pct" w:w="5000"/>
        <w:tblLayout w:type="fixed"/>
        <w:tblLook w:firstRow="1" w:lastRow="0" w:firstColumn="0" w:lastColumn="0" w:noHBand="0" w:noVBand="0" w:val="0020"/>
      </w:tblPr>
      <w:tblGrid>
        <w:gridCol w:w="2262"/>
        <w:gridCol w:w="1697"/>
        <w:gridCol w:w="2262"/>
        <w:gridCol w:w="1697"/>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涨跌幅</w:t>
            </w:r>
          </w:p>
        </w:tc>
        <w:tc>
          <w:tcPr/>
          <w:p>
            <w:pPr>
              <w:pStyle w:val="Compact"/>
            </w:pPr>
            <w:r>
              <w:rPr>
                <w:rFonts w:hint="eastAsia"/>
              </w:rPr>
              <w:t xml:space="preserve">龙头或代表证据</w:t>
            </w:r>
          </w:p>
        </w:tc>
      </w:tr>
      <w:tr>
        <w:tc>
          <w:tcPr/>
          <w:p>
            <w:pPr>
              <w:pStyle w:val="Compact"/>
              <w:jc w:val="right"/>
            </w:pPr>
            <w:r>
              <w:t xml:space="preserve">1</w:t>
            </w:r>
          </w:p>
        </w:tc>
        <w:tc>
          <w:tcPr/>
          <w:p>
            <w:pPr>
              <w:pStyle w:val="Compact"/>
            </w:pPr>
            <w:r>
              <w:rPr>
                <w:rFonts w:hint="eastAsia"/>
              </w:rPr>
              <w:t xml:space="preserve">光伏</w:t>
            </w:r>
          </w:p>
        </w:tc>
        <w:tc>
          <w:tcPr/>
          <w:p>
            <w:pPr>
              <w:pStyle w:val="Compact"/>
              <w:jc w:val="right"/>
            </w:pPr>
            <w:r>
              <w:t xml:space="preserve">📈🔴 +3.199%</w:t>
            </w:r>
          </w:p>
        </w:tc>
        <w:tc>
          <w:tcPr/>
          <w:p>
            <w:pPr>
              <w:pStyle w:val="Compact"/>
            </w:pPr>
            <w:r>
              <w:rPr>
                <w:rFonts w:hint="eastAsia"/>
              </w:rPr>
              <w:t xml:space="preserve">永臻股份3板、贝特利2板</w:t>
            </w:r>
          </w:p>
        </w:tc>
      </w:tr>
      <w:tr>
        <w:tc>
          <w:tcPr/>
          <w:p>
            <w:pPr>
              <w:pStyle w:val="Compact"/>
              <w:jc w:val="right"/>
            </w:pPr>
            <w:r>
              <w:t xml:space="preserve">2</w:t>
            </w:r>
          </w:p>
        </w:tc>
        <w:tc>
          <w:tcPr/>
          <w:p>
            <w:pPr>
              <w:pStyle w:val="Compact"/>
            </w:pPr>
            <w:r>
              <w:rPr>
                <w:rFonts w:hint="eastAsia"/>
              </w:rPr>
              <w:t xml:space="preserve">芯片</w:t>
            </w:r>
          </w:p>
        </w:tc>
        <w:tc>
          <w:tcPr/>
          <w:p>
            <w:pPr>
              <w:pStyle w:val="Compact"/>
              <w:jc w:val="right"/>
            </w:pPr>
            <w:r>
              <w:t xml:space="preserve">📈🔴 +2.571%</w:t>
            </w:r>
          </w:p>
        </w:tc>
        <w:tc>
          <w:tcPr/>
          <w:p>
            <w:pPr>
              <w:pStyle w:val="Compact"/>
            </w:pPr>
            <w:r>
              <w:rPr>
                <w:rFonts w:hint="eastAsia"/>
              </w:rPr>
              <w:t xml:space="preserve">先导基电、有研新材均为2板</w:t>
            </w:r>
          </w:p>
        </w:tc>
      </w:tr>
      <w:tr>
        <w:tc>
          <w:tcPr/>
          <w:p>
            <w:pPr>
              <w:pStyle w:val="Compact"/>
              <w:jc w:val="right"/>
            </w:pPr>
            <w:r>
              <w:t xml:space="preserve">3</w:t>
            </w:r>
          </w:p>
        </w:tc>
        <w:tc>
          <w:tcPr/>
          <w:p>
            <w:pPr>
              <w:pStyle w:val="Compact"/>
            </w:pPr>
            <w:r>
              <w:rPr>
                <w:rFonts w:hint="eastAsia"/>
              </w:rPr>
              <w:t xml:space="preserve">AI应用</w:t>
            </w:r>
          </w:p>
        </w:tc>
        <w:tc>
          <w:tcPr/>
          <w:p>
            <w:pPr>
              <w:pStyle w:val="Compact"/>
              <w:jc w:val="right"/>
            </w:pPr>
            <w:r>
              <w:t xml:space="preserve">📈🔴 +2.701%</w:t>
            </w:r>
          </w:p>
        </w:tc>
        <w:tc>
          <w:tcPr/>
          <w:p>
            <w:pPr>
              <w:pStyle w:val="Compact"/>
            </w:pPr>
            <w:r>
              <w:rPr>
                <w:rFonts w:hint="eastAsia"/>
              </w:rPr>
              <w:t xml:space="preserve">引力传媒2板，广告营销形成4股涨停集群</w:t>
            </w:r>
          </w:p>
        </w:tc>
      </w:tr>
      <w:tr>
        <w:tc>
          <w:tcPr/>
          <w:p>
            <w:pPr>
              <w:pStyle w:val="Compact"/>
              <w:jc w:val="right"/>
            </w:pPr>
            <w:r>
              <w:t xml:space="preserve">4</w:t>
            </w:r>
          </w:p>
        </w:tc>
        <w:tc>
          <w:tcPr/>
          <w:p>
            <w:pPr>
              <w:pStyle w:val="Compact"/>
            </w:pPr>
            <w:r>
              <w:rPr>
                <w:rFonts w:hint="eastAsia"/>
              </w:rPr>
              <w:t xml:space="preserve">算力</w:t>
            </w:r>
          </w:p>
        </w:tc>
        <w:tc>
          <w:tcPr/>
          <w:p>
            <w:pPr>
              <w:pStyle w:val="Compact"/>
              <w:jc w:val="right"/>
            </w:pPr>
            <w:r>
              <w:t xml:space="preserve">📈🔴 +2.563%</w:t>
            </w:r>
          </w:p>
        </w:tc>
        <w:tc>
          <w:tcPr/>
          <w:p>
            <w:pPr>
              <w:pStyle w:val="Compact"/>
            </w:pPr>
            <w:r>
              <w:rPr>
                <w:rFonts w:hint="eastAsia"/>
              </w:rPr>
              <w:t xml:space="preserve">中际旭创、新易盛为成交额代表，但分别下跌6.91%、5.49%</w:t>
            </w:r>
          </w:p>
        </w:tc>
      </w:tr>
      <w:tr>
        <w:tc>
          <w:tcPr/>
          <w:p>
            <w:pPr>
              <w:pStyle w:val="Compact"/>
              <w:jc w:val="right"/>
            </w:pPr>
            <w:r>
              <w:t xml:space="preserve">5</w:t>
            </w:r>
          </w:p>
        </w:tc>
        <w:tc>
          <w:tcPr/>
          <w:p>
            <w:pPr>
              <w:pStyle w:val="Compact"/>
            </w:pPr>
            <w:r>
              <w:rPr>
                <w:rFonts w:hint="eastAsia"/>
              </w:rPr>
              <w:t xml:space="preserve">机器人概念</w:t>
            </w:r>
          </w:p>
        </w:tc>
        <w:tc>
          <w:tcPr/>
          <w:p>
            <w:pPr>
              <w:pStyle w:val="Compact"/>
              <w:jc w:val="right"/>
            </w:pPr>
            <w:r>
              <w:t xml:space="preserve">📈🔴 +2.192%</w:t>
            </w:r>
          </w:p>
        </w:tc>
        <w:tc>
          <w:tcPr/>
          <w:p>
            <w:pPr>
              <w:pStyle w:val="Compact"/>
            </w:pPr>
            <w:r>
              <w:rPr>
                <w:rFonts w:hint="eastAsia"/>
              </w:rPr>
              <w:t xml:space="preserve">妙想候选池提供兆威机电等线索，但缺少完整右侧门禁，不指定盘中龙头</w:t>
            </w:r>
          </w:p>
        </w:tc>
      </w:tr>
    </w:tbl>
    <w:bookmarkEnd w:id="11"/>
    <w:bookmarkStart w:id="12" w:name="第610名"/>
    <w:p>
      <w:pPr>
        <w:pStyle w:val="Heading3"/>
      </w:pPr>
      <w:r>
        <w:t xml:space="preserve">📈🔴 </w:t>
      </w:r>
      <w:r>
        <w:rPr>
          <w:rFonts w:hint="eastAsia"/>
        </w:rPr>
        <w:t xml:space="preserve">第6—10名</w:t>
      </w:r>
    </w:p>
    <w:tbl>
      <w:tblPr>
        <w:tblStyle w:val="Table"/>
        <w:tblW w:type="pct" w:w="5000"/>
        <w:tblLayout w:type="fixed"/>
        <w:tblLook w:firstRow="1" w:lastRow="0" w:firstColumn="0" w:lastColumn="0" w:noHBand="0" w:noVBand="0" w:val="0020"/>
      </w:tblPr>
      <w:tblGrid>
        <w:gridCol w:w="2262"/>
        <w:gridCol w:w="1697"/>
        <w:gridCol w:w="2262"/>
        <w:gridCol w:w="1697"/>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涨跌幅</w:t>
            </w:r>
          </w:p>
        </w:tc>
        <w:tc>
          <w:tcPr/>
          <w:p>
            <w:pPr>
              <w:pStyle w:val="Compact"/>
            </w:pPr>
            <w:r>
              <w:rPr>
                <w:rFonts w:hint="eastAsia"/>
              </w:rPr>
              <w:t xml:space="preserve">龙头或代表证据</w:t>
            </w:r>
          </w:p>
        </w:tc>
      </w:tr>
      <w:tr>
        <w:tc>
          <w:tcPr/>
          <w:p>
            <w:pPr>
              <w:pStyle w:val="Compact"/>
              <w:jc w:val="right"/>
            </w:pPr>
            <w:r>
              <w:t xml:space="preserve">6</w:t>
            </w:r>
          </w:p>
        </w:tc>
        <w:tc>
          <w:tcPr/>
          <w:p>
            <w:pPr>
              <w:pStyle w:val="Compact"/>
            </w:pPr>
            <w:r>
              <w:rPr>
                <w:rFonts w:hint="eastAsia"/>
              </w:rPr>
              <w:t xml:space="preserve">储能</w:t>
            </w:r>
          </w:p>
        </w:tc>
        <w:tc>
          <w:tcPr/>
          <w:p>
            <w:pPr>
              <w:pStyle w:val="Compact"/>
              <w:jc w:val="right"/>
            </w:pPr>
            <w:r>
              <w:t xml:space="preserve">📈🔴 +2.651%</w:t>
            </w:r>
          </w:p>
        </w:tc>
        <w:tc>
          <w:tcPr/>
          <w:p>
            <w:pPr>
              <w:pStyle w:val="Compact"/>
            </w:pPr>
            <w:r>
              <w:rPr>
                <w:rFonts w:hint="eastAsia"/>
              </w:rPr>
              <w:t xml:space="preserve">阳光电源上涨7.45%，主力净流入7.40亿</w:t>
            </w:r>
          </w:p>
        </w:tc>
      </w:tr>
      <w:tr>
        <w:tc>
          <w:tcPr/>
          <w:p>
            <w:pPr>
              <w:pStyle w:val="Compact"/>
              <w:jc w:val="right"/>
            </w:pPr>
            <w:r>
              <w:t xml:space="preserve">7</w:t>
            </w:r>
          </w:p>
        </w:tc>
        <w:tc>
          <w:tcPr/>
          <w:p>
            <w:pPr>
              <w:pStyle w:val="Compact"/>
            </w:pPr>
            <w:r>
              <w:rPr>
                <w:rFonts w:hint="eastAsia"/>
              </w:rPr>
              <w:t xml:space="preserve">端侧AI</w:t>
            </w:r>
          </w:p>
        </w:tc>
        <w:tc>
          <w:tcPr/>
          <w:p>
            <w:pPr>
              <w:pStyle w:val="Compact"/>
              <w:jc w:val="right"/>
            </w:pPr>
            <w:r>
              <w:t xml:space="preserve">📈🔴 +2.864%</w:t>
            </w:r>
          </w:p>
        </w:tc>
        <w:tc>
          <w:tcPr/>
          <w:p>
            <w:pPr>
              <w:pStyle w:val="Compact"/>
            </w:pPr>
            <w:r>
              <w:rPr>
                <w:rFonts w:hint="eastAsia"/>
              </w:rPr>
              <w:t xml:space="preserve">瑞芯微上涨9.62%、净流入4.95亿，但盘中炸板6次</w:t>
            </w:r>
          </w:p>
        </w:tc>
      </w:tr>
      <w:tr>
        <w:tc>
          <w:tcPr/>
          <w:p>
            <w:pPr>
              <w:pStyle w:val="Compact"/>
              <w:jc w:val="right"/>
            </w:pPr>
            <w:r>
              <w:t xml:space="preserve">8</w:t>
            </w:r>
          </w:p>
        </w:tc>
        <w:tc>
          <w:tcPr/>
          <w:p>
            <w:pPr>
              <w:pStyle w:val="Compact"/>
            </w:pPr>
            <w:r>
              <w:rPr>
                <w:rFonts w:hint="eastAsia"/>
              </w:rPr>
              <w:t xml:space="preserve">锂电池</w:t>
            </w:r>
          </w:p>
        </w:tc>
        <w:tc>
          <w:tcPr/>
          <w:p>
            <w:pPr>
              <w:pStyle w:val="Compact"/>
              <w:jc w:val="right"/>
            </w:pPr>
            <w:r>
              <w:t xml:space="preserve">📈🔴 +2.821%</w:t>
            </w:r>
          </w:p>
        </w:tc>
        <w:tc>
          <w:tcPr/>
          <w:p>
            <w:pPr>
              <w:pStyle w:val="Compact"/>
            </w:pPr>
            <w:r>
              <w:rPr>
                <w:rFonts w:hint="eastAsia"/>
              </w:rPr>
              <w:t xml:space="preserve">宁德时代上涨5.16%，主力净流入8.09亿</w:t>
            </w:r>
          </w:p>
        </w:tc>
      </w:tr>
      <w:tr>
        <w:tc>
          <w:tcPr/>
          <w:p>
            <w:pPr>
              <w:pStyle w:val="Compact"/>
              <w:jc w:val="right"/>
            </w:pPr>
            <w:r>
              <w:t xml:space="preserve">9</w:t>
            </w:r>
          </w:p>
        </w:tc>
        <w:tc>
          <w:tcPr/>
          <w:p>
            <w:pPr>
              <w:pStyle w:val="Compact"/>
            </w:pPr>
            <w:r>
              <w:rPr>
                <w:rFonts w:hint="eastAsia"/>
              </w:rPr>
              <w:t xml:space="preserve">黄金</w:t>
            </w:r>
          </w:p>
        </w:tc>
        <w:tc>
          <w:tcPr/>
          <w:p>
            <w:pPr>
              <w:pStyle w:val="Compact"/>
              <w:jc w:val="right"/>
            </w:pPr>
            <w:r>
              <w:t xml:space="preserve">📈🔴 +2.887%</w:t>
            </w:r>
          </w:p>
        </w:tc>
        <w:tc>
          <w:tcPr/>
          <w:p>
            <w:pPr>
              <w:pStyle w:val="Compact"/>
            </w:pPr>
            <w:r>
              <w:rPr>
                <w:rFonts w:hint="eastAsia"/>
              </w:rPr>
              <w:t xml:space="preserve">盛达资源2板，盘中封板前开板1次</w:t>
            </w:r>
          </w:p>
        </w:tc>
      </w:tr>
      <w:tr>
        <w:tc>
          <w:tcPr/>
          <w:p>
            <w:pPr>
              <w:pStyle w:val="Compact"/>
              <w:jc w:val="right"/>
            </w:pPr>
            <w:r>
              <w:t xml:space="preserve">10</w:t>
            </w:r>
          </w:p>
        </w:tc>
        <w:tc>
          <w:tcPr/>
          <w:p>
            <w:pPr>
              <w:pStyle w:val="Compact"/>
            </w:pPr>
            <w:r>
              <w:rPr>
                <w:rFonts w:hint="eastAsia"/>
              </w:rPr>
              <w:t xml:space="preserve">并购重组</w:t>
            </w:r>
          </w:p>
        </w:tc>
        <w:tc>
          <w:tcPr/>
          <w:p>
            <w:pPr>
              <w:pStyle w:val="Compact"/>
              <w:jc w:val="right"/>
            </w:pPr>
            <w:r>
              <w:t xml:space="preserve">📈🔴 +2.068%</w:t>
            </w:r>
          </w:p>
        </w:tc>
        <w:tc>
          <w:tcPr/>
          <w:p>
            <w:pPr>
              <w:pStyle w:val="Compact"/>
            </w:pPr>
            <w:r>
              <w:rPr>
                <w:rFonts w:hint="eastAsia"/>
              </w:rPr>
              <w:t xml:space="preserve">KPL未附同分类个股领涨排序，不根据题材标签猜测龙头</w:t>
            </w:r>
          </w:p>
        </w:tc>
      </w:tr>
    </w:tbl>
    <w:p>
      <w:pPr>
        <w:pStyle w:val="BodyText"/>
      </w:pPr>
      <w:r>
        <w:rPr>
          <w:rFonts w:hint="eastAsia"/>
        </w:rPr>
        <w:t xml:space="preserve">光伏、芯片、储能和锂电池同时获得板块涨幅与主力流入支持；算力指数虽上涨，CPO高成交个股却显著回落，科技内部并非同涨结构。</w:t>
      </w:r>
    </w:p>
    <w:bookmarkEnd w:id="12"/>
    <w:bookmarkEnd w:id="13"/>
    <w:bookmarkStart w:id="22" w:name="资金流向四张榜"/>
    <w:p>
      <w:pPr>
        <w:pStyle w:val="Heading2"/>
      </w:pPr>
      <w:r>
        <w:t xml:space="preserve">💰 </w:t>
      </w:r>
      <w:r>
        <w:rPr>
          <w:rFonts w:hint="eastAsia"/>
        </w:rPr>
        <w:t xml:space="preserve">资金流向四张榜</w:t>
      </w:r>
    </w:p>
    <w:p>
      <w:pPr>
        <w:pStyle w:val="FirstParagraph"/>
      </w:pPr>
      <w:r>
        <w:rPr>
          <w:rFonts w:hint="eastAsia"/>
        </w:rPr>
        <w:t xml:space="preserve">资金数据截至2026-11-05</w:t>
      </w:r>
      <w:r>
        <w:t xml:space="preserve"> </w:t>
      </w:r>
      <w:r>
        <w:rPr>
          <w:rFonts w:hint="eastAsia"/>
        </w:rPr>
        <w:t xml:space="preserve">11:46，板块采用申万二级行业口径。四榜排名、名称、方向和金额沿用采集结果；流出板块榜由东方财富延迟行情完成验证。</w:t>
      </w:r>
    </w:p>
    <w:bookmarkStart w:id="14" w:name="流出top10板块第15名"/>
    <w:p>
      <w:pPr>
        <w:pStyle w:val="Heading3"/>
      </w:pPr>
      <w:r>
        <w:t xml:space="preserve">💰 </w:t>
      </w:r>
      <w:r>
        <w:rPr>
          <w:rFonts w:hint="eastAsia"/>
        </w:rPr>
        <w:t xml:space="preserve">流出TOP10板块｜第1—5名</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pPr>
            <w:r>
              <w:rPr>
                <w:rFonts w:hint="eastAsia"/>
              </w:rPr>
              <w:t xml:space="preserve">方向</w:t>
            </w:r>
          </w:p>
        </w:tc>
        <w:tc>
          <w:tcPr/>
          <w:p>
            <w:pPr>
              <w:pStyle w:val="Compact"/>
              <w:jc w:val="right"/>
            </w:pPr>
            <w:r>
              <w:rPr>
                <w:rFonts w:hint="eastAsia"/>
              </w:rPr>
              <w:t xml:space="preserve">主力净流出金额</w:t>
            </w:r>
          </w:p>
        </w:tc>
      </w:tr>
      <w:tr>
        <w:tc>
          <w:tcPr/>
          <w:p>
            <w:pPr>
              <w:pStyle w:val="Compact"/>
              <w:jc w:val="right"/>
            </w:pPr>
            <w:r>
              <w:t xml:space="preserve">1</w:t>
            </w:r>
          </w:p>
        </w:tc>
        <w:tc>
          <w:tcPr/>
          <w:p>
            <w:pPr>
              <w:pStyle w:val="Compact"/>
            </w:pPr>
            <w:r>
              <w:rPr>
                <w:rFonts w:hint="eastAsia"/>
              </w:rPr>
              <w:t xml:space="preserve">元件</w:t>
            </w:r>
          </w:p>
        </w:tc>
        <w:tc>
          <w:tcPr/>
          <w:p>
            <w:pPr>
              <w:pStyle w:val="Compact"/>
            </w:pPr>
            <w:r>
              <w:rPr>
                <w:rFonts w:hint="eastAsia"/>
              </w:rPr>
              <w:t xml:space="preserve">流出</w:t>
            </w:r>
          </w:p>
        </w:tc>
        <w:tc>
          <w:tcPr/>
          <w:p>
            <w:pPr>
              <w:pStyle w:val="Compact"/>
              <w:jc w:val="right"/>
            </w:pPr>
            <w:r>
              <w:rPr>
                <w:rFonts w:hint="eastAsia"/>
              </w:rPr>
              <w:t xml:space="preserve">-47.98亿元</w:t>
            </w:r>
          </w:p>
        </w:tc>
      </w:tr>
      <w:tr>
        <w:tc>
          <w:tcPr/>
          <w:p>
            <w:pPr>
              <w:pStyle w:val="Compact"/>
              <w:jc w:val="right"/>
            </w:pPr>
            <w:r>
              <w:t xml:space="preserve">2</w:t>
            </w:r>
          </w:p>
        </w:tc>
        <w:tc>
          <w:tcPr/>
          <w:p>
            <w:pPr>
              <w:pStyle w:val="Compact"/>
            </w:pPr>
            <w:r>
              <w:rPr>
                <w:rFonts w:hint="eastAsia"/>
              </w:rPr>
              <w:t xml:space="preserve">通信设备</w:t>
            </w:r>
          </w:p>
        </w:tc>
        <w:tc>
          <w:tcPr/>
          <w:p>
            <w:pPr>
              <w:pStyle w:val="Compact"/>
            </w:pPr>
            <w:r>
              <w:rPr>
                <w:rFonts w:hint="eastAsia"/>
              </w:rPr>
              <w:t xml:space="preserve">流出</w:t>
            </w:r>
          </w:p>
        </w:tc>
        <w:tc>
          <w:tcPr/>
          <w:p>
            <w:pPr>
              <w:pStyle w:val="Compact"/>
              <w:jc w:val="right"/>
            </w:pPr>
            <w:r>
              <w:rPr>
                <w:rFonts w:hint="eastAsia"/>
              </w:rPr>
              <w:t xml:space="preserve">-36.59亿元</w:t>
            </w:r>
          </w:p>
        </w:tc>
      </w:tr>
      <w:tr>
        <w:tc>
          <w:tcPr/>
          <w:p>
            <w:pPr>
              <w:pStyle w:val="Compact"/>
              <w:jc w:val="right"/>
            </w:pPr>
            <w:r>
              <w:t xml:space="preserve">3</w:t>
            </w:r>
          </w:p>
        </w:tc>
        <w:tc>
          <w:tcPr/>
          <w:p>
            <w:pPr>
              <w:pStyle w:val="Compact"/>
            </w:pPr>
            <w:r>
              <w:rPr>
                <w:rFonts w:hint="eastAsia"/>
              </w:rPr>
              <w:t xml:space="preserve">证券Ⅱ</w:t>
            </w:r>
          </w:p>
        </w:tc>
        <w:tc>
          <w:tcPr/>
          <w:p>
            <w:pPr>
              <w:pStyle w:val="Compact"/>
            </w:pPr>
            <w:r>
              <w:rPr>
                <w:rFonts w:hint="eastAsia"/>
              </w:rPr>
              <w:t xml:space="preserve">流出</w:t>
            </w:r>
          </w:p>
        </w:tc>
        <w:tc>
          <w:tcPr/>
          <w:p>
            <w:pPr>
              <w:pStyle w:val="Compact"/>
              <w:jc w:val="right"/>
            </w:pPr>
            <w:r>
              <w:rPr>
                <w:rFonts w:hint="eastAsia"/>
              </w:rPr>
              <w:t xml:space="preserve">-10.17亿元</w:t>
            </w:r>
          </w:p>
        </w:tc>
      </w:tr>
      <w:tr>
        <w:tc>
          <w:tcPr/>
          <w:p>
            <w:pPr>
              <w:pStyle w:val="Compact"/>
              <w:jc w:val="right"/>
            </w:pPr>
            <w:r>
              <w:t xml:space="preserve">4</w:t>
            </w:r>
          </w:p>
        </w:tc>
        <w:tc>
          <w:tcPr/>
          <w:p>
            <w:pPr>
              <w:pStyle w:val="Compact"/>
            </w:pPr>
            <w:r>
              <w:rPr>
                <w:rFonts w:hint="eastAsia"/>
              </w:rPr>
              <w:t xml:space="preserve">煤炭开采</w:t>
            </w:r>
          </w:p>
        </w:tc>
        <w:tc>
          <w:tcPr/>
          <w:p>
            <w:pPr>
              <w:pStyle w:val="Compact"/>
            </w:pPr>
            <w:r>
              <w:rPr>
                <w:rFonts w:hint="eastAsia"/>
              </w:rPr>
              <w:t xml:space="preserve">流出</w:t>
            </w:r>
          </w:p>
        </w:tc>
        <w:tc>
          <w:tcPr/>
          <w:p>
            <w:pPr>
              <w:pStyle w:val="Compact"/>
              <w:jc w:val="right"/>
            </w:pPr>
            <w:r>
              <w:rPr>
                <w:rFonts w:hint="eastAsia"/>
              </w:rPr>
              <w:t xml:space="preserve">-9.21亿元</w:t>
            </w:r>
          </w:p>
        </w:tc>
      </w:tr>
      <w:tr>
        <w:tc>
          <w:tcPr/>
          <w:p>
            <w:pPr>
              <w:pStyle w:val="Compact"/>
              <w:jc w:val="right"/>
            </w:pPr>
            <w:r>
              <w:t xml:space="preserve">5</w:t>
            </w:r>
          </w:p>
        </w:tc>
        <w:tc>
          <w:tcPr/>
          <w:p>
            <w:pPr>
              <w:pStyle w:val="Compact"/>
            </w:pPr>
            <w:r>
              <w:rPr>
                <w:rFonts w:hint="eastAsia"/>
              </w:rPr>
              <w:t xml:space="preserve">航运港口</w:t>
            </w:r>
          </w:p>
        </w:tc>
        <w:tc>
          <w:tcPr/>
          <w:p>
            <w:pPr>
              <w:pStyle w:val="Compact"/>
            </w:pPr>
            <w:r>
              <w:rPr>
                <w:rFonts w:hint="eastAsia"/>
              </w:rPr>
              <w:t xml:space="preserve">流出</w:t>
            </w:r>
          </w:p>
        </w:tc>
        <w:tc>
          <w:tcPr/>
          <w:p>
            <w:pPr>
              <w:pStyle w:val="Compact"/>
              <w:jc w:val="right"/>
            </w:pPr>
            <w:r>
              <w:rPr>
                <w:rFonts w:hint="eastAsia"/>
              </w:rPr>
              <w:t xml:space="preserve">-5.62亿元</w:t>
            </w:r>
          </w:p>
        </w:tc>
      </w:tr>
    </w:tbl>
    <w:bookmarkEnd w:id="14"/>
    <w:bookmarkStart w:id="15" w:name="流出top10板块第610名"/>
    <w:p>
      <w:pPr>
        <w:pStyle w:val="Heading3"/>
      </w:pPr>
      <w:r>
        <w:t xml:space="preserve">💰 </w:t>
      </w:r>
      <w:r>
        <w:rPr>
          <w:rFonts w:hint="eastAsia"/>
        </w:rPr>
        <w:t xml:space="preserve">流出TOP10板块｜第6—10名</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pPr>
            <w:r>
              <w:rPr>
                <w:rFonts w:hint="eastAsia"/>
              </w:rPr>
              <w:t xml:space="preserve">方向</w:t>
            </w:r>
          </w:p>
        </w:tc>
        <w:tc>
          <w:tcPr/>
          <w:p>
            <w:pPr>
              <w:pStyle w:val="Compact"/>
              <w:jc w:val="right"/>
            </w:pPr>
            <w:r>
              <w:rPr>
                <w:rFonts w:hint="eastAsia"/>
              </w:rPr>
              <w:t xml:space="preserve">主力净流出金额</w:t>
            </w:r>
          </w:p>
        </w:tc>
      </w:tr>
      <w:tr>
        <w:tc>
          <w:tcPr/>
          <w:p>
            <w:pPr>
              <w:pStyle w:val="Compact"/>
              <w:jc w:val="right"/>
            </w:pPr>
            <w:r>
              <w:t xml:space="preserve">6</w:t>
            </w:r>
          </w:p>
        </w:tc>
        <w:tc>
          <w:tcPr/>
          <w:p>
            <w:pPr>
              <w:pStyle w:val="Compact"/>
            </w:pPr>
            <w:r>
              <w:rPr>
                <w:rFonts w:hint="eastAsia"/>
              </w:rPr>
              <w:t xml:space="preserve">电力</w:t>
            </w:r>
          </w:p>
        </w:tc>
        <w:tc>
          <w:tcPr/>
          <w:p>
            <w:pPr>
              <w:pStyle w:val="Compact"/>
            </w:pPr>
            <w:r>
              <w:rPr>
                <w:rFonts w:hint="eastAsia"/>
              </w:rPr>
              <w:t xml:space="preserve">流出</w:t>
            </w:r>
          </w:p>
        </w:tc>
        <w:tc>
          <w:tcPr/>
          <w:p>
            <w:pPr>
              <w:pStyle w:val="Compact"/>
              <w:jc w:val="right"/>
            </w:pPr>
            <w:r>
              <w:rPr>
                <w:rFonts w:hint="eastAsia"/>
              </w:rPr>
              <w:t xml:space="preserve">-5.47亿元</w:t>
            </w:r>
          </w:p>
        </w:tc>
      </w:tr>
      <w:tr>
        <w:tc>
          <w:tcPr/>
          <w:p>
            <w:pPr>
              <w:pStyle w:val="Compact"/>
              <w:jc w:val="right"/>
            </w:pPr>
            <w:r>
              <w:t xml:space="preserve">7</w:t>
            </w:r>
          </w:p>
        </w:tc>
        <w:tc>
          <w:tcPr/>
          <w:p>
            <w:pPr>
              <w:pStyle w:val="Compact"/>
            </w:pPr>
            <w:r>
              <w:rPr>
                <w:rFonts w:hint="eastAsia"/>
              </w:rPr>
              <w:t xml:space="preserve">银行Ⅱ</w:t>
            </w:r>
          </w:p>
        </w:tc>
        <w:tc>
          <w:tcPr/>
          <w:p>
            <w:pPr>
              <w:pStyle w:val="Compact"/>
            </w:pPr>
            <w:r>
              <w:rPr>
                <w:rFonts w:hint="eastAsia"/>
              </w:rPr>
              <w:t xml:space="preserve">流出</w:t>
            </w:r>
          </w:p>
        </w:tc>
        <w:tc>
          <w:tcPr/>
          <w:p>
            <w:pPr>
              <w:pStyle w:val="Compact"/>
              <w:jc w:val="right"/>
            </w:pPr>
            <w:r>
              <w:rPr>
                <w:rFonts w:hint="eastAsia"/>
              </w:rPr>
              <w:t xml:space="preserve">-4.78亿元</w:t>
            </w:r>
          </w:p>
        </w:tc>
      </w:tr>
      <w:tr>
        <w:tc>
          <w:tcPr/>
          <w:p>
            <w:pPr>
              <w:pStyle w:val="Compact"/>
              <w:jc w:val="right"/>
            </w:pPr>
            <w:r>
              <w:t xml:space="preserve">8</w:t>
            </w:r>
          </w:p>
        </w:tc>
        <w:tc>
          <w:tcPr/>
          <w:p>
            <w:pPr>
              <w:pStyle w:val="Compact"/>
            </w:pPr>
            <w:r>
              <w:rPr>
                <w:rFonts w:hint="eastAsia"/>
              </w:rPr>
              <w:t xml:space="preserve">白酒Ⅱ</w:t>
            </w:r>
          </w:p>
        </w:tc>
        <w:tc>
          <w:tcPr/>
          <w:p>
            <w:pPr>
              <w:pStyle w:val="Compact"/>
            </w:pPr>
            <w:r>
              <w:rPr>
                <w:rFonts w:hint="eastAsia"/>
              </w:rPr>
              <w:t xml:space="preserve">流出</w:t>
            </w:r>
          </w:p>
        </w:tc>
        <w:tc>
          <w:tcPr/>
          <w:p>
            <w:pPr>
              <w:pStyle w:val="Compact"/>
              <w:jc w:val="right"/>
            </w:pPr>
            <w:r>
              <w:rPr>
                <w:rFonts w:hint="eastAsia"/>
              </w:rPr>
              <w:t xml:space="preserve">-3.43亿元</w:t>
            </w:r>
          </w:p>
        </w:tc>
      </w:tr>
      <w:tr>
        <w:tc>
          <w:tcPr/>
          <w:p>
            <w:pPr>
              <w:pStyle w:val="Compact"/>
              <w:jc w:val="right"/>
            </w:pPr>
            <w:r>
              <w:t xml:space="preserve">9</w:t>
            </w:r>
          </w:p>
        </w:tc>
        <w:tc>
          <w:tcPr/>
          <w:p>
            <w:pPr>
              <w:pStyle w:val="Compact"/>
            </w:pPr>
            <w:r>
              <w:rPr>
                <w:rFonts w:hint="eastAsia"/>
              </w:rPr>
              <w:t xml:space="preserve">炼化及贸易</w:t>
            </w:r>
          </w:p>
        </w:tc>
        <w:tc>
          <w:tcPr/>
          <w:p>
            <w:pPr>
              <w:pStyle w:val="Compact"/>
            </w:pPr>
            <w:r>
              <w:rPr>
                <w:rFonts w:hint="eastAsia"/>
              </w:rPr>
              <w:t xml:space="preserve">流出</w:t>
            </w:r>
          </w:p>
        </w:tc>
        <w:tc>
          <w:tcPr/>
          <w:p>
            <w:pPr>
              <w:pStyle w:val="Compact"/>
              <w:jc w:val="right"/>
            </w:pPr>
            <w:r>
              <w:rPr>
                <w:rFonts w:hint="eastAsia"/>
              </w:rPr>
              <w:t xml:space="preserve">-3.25亿元</w:t>
            </w:r>
          </w:p>
        </w:tc>
      </w:tr>
      <w:tr>
        <w:tc>
          <w:tcPr/>
          <w:p>
            <w:pPr>
              <w:pStyle w:val="Compact"/>
              <w:jc w:val="right"/>
            </w:pPr>
            <w:r>
              <w:t xml:space="preserve">10</w:t>
            </w:r>
          </w:p>
        </w:tc>
        <w:tc>
          <w:tcPr/>
          <w:p>
            <w:pPr>
              <w:pStyle w:val="Compact"/>
            </w:pPr>
            <w:r>
              <w:rPr>
                <w:rFonts w:hint="eastAsia"/>
              </w:rPr>
              <w:t xml:space="preserve">玻璃玻纤</w:t>
            </w:r>
          </w:p>
        </w:tc>
        <w:tc>
          <w:tcPr/>
          <w:p>
            <w:pPr>
              <w:pStyle w:val="Compact"/>
            </w:pPr>
            <w:r>
              <w:rPr>
                <w:rFonts w:hint="eastAsia"/>
              </w:rPr>
              <w:t xml:space="preserve">流出</w:t>
            </w:r>
          </w:p>
        </w:tc>
        <w:tc>
          <w:tcPr/>
          <w:p>
            <w:pPr>
              <w:pStyle w:val="Compact"/>
              <w:jc w:val="right"/>
            </w:pPr>
            <w:r>
              <w:rPr>
                <w:rFonts w:hint="eastAsia"/>
              </w:rPr>
              <w:t xml:space="preserve">-3.24亿元</w:t>
            </w:r>
          </w:p>
        </w:tc>
      </w:tr>
    </w:tbl>
    <w:bookmarkEnd w:id="15"/>
    <w:bookmarkStart w:id="16" w:name="流出top10个股第15名"/>
    <w:p>
      <w:pPr>
        <w:pStyle w:val="Heading3"/>
      </w:pPr>
      <w:r>
        <w:t xml:space="preserve">💰 </w:t>
      </w:r>
      <w:r>
        <w:rPr>
          <w:rFonts w:hint="eastAsia"/>
        </w:rPr>
        <w:t xml:space="preserve">流出TOP10个股｜第1—5名</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方向</w:t>
            </w:r>
          </w:p>
        </w:tc>
        <w:tc>
          <w:tcPr/>
          <w:p>
            <w:pPr>
              <w:pStyle w:val="Compact"/>
              <w:jc w:val="right"/>
            </w:pPr>
            <w:r>
              <w:rPr>
                <w:rFonts w:hint="eastAsia"/>
              </w:rPr>
              <w:t xml:space="preserve">主力净流出金额</w:t>
            </w:r>
          </w:p>
        </w:tc>
      </w:tr>
      <w:tr>
        <w:tc>
          <w:tcPr/>
          <w:p>
            <w:pPr>
              <w:pStyle w:val="Compact"/>
              <w:jc w:val="right"/>
            </w:pPr>
            <w:r>
              <w:t xml:space="preserve">1</w:t>
            </w:r>
          </w:p>
        </w:tc>
        <w:tc>
          <w:tcPr/>
          <w:p>
            <w:pPr>
              <w:pStyle w:val="Compact"/>
            </w:pPr>
            <w:r>
              <w:rPr>
                <w:rFonts w:hint="eastAsia"/>
              </w:rPr>
              <w:t xml:space="preserve">中际旭创(300308)</w:t>
            </w:r>
          </w:p>
        </w:tc>
        <w:tc>
          <w:tcPr/>
          <w:p>
            <w:pPr>
              <w:pStyle w:val="Compact"/>
            </w:pPr>
            <w:r>
              <w:rPr>
                <w:rFonts w:hint="eastAsia"/>
              </w:rPr>
              <w:t xml:space="preserve">流出</w:t>
            </w:r>
          </w:p>
        </w:tc>
        <w:tc>
          <w:tcPr/>
          <w:p>
            <w:pPr>
              <w:pStyle w:val="Compact"/>
              <w:jc w:val="right"/>
            </w:pPr>
            <w:r>
              <w:rPr>
                <w:rFonts w:hint="eastAsia"/>
              </w:rPr>
              <w:t xml:space="preserve">-16.47亿</w:t>
            </w:r>
          </w:p>
        </w:tc>
      </w:tr>
      <w:tr>
        <w:tc>
          <w:tcPr/>
          <w:p>
            <w:pPr>
              <w:pStyle w:val="Compact"/>
              <w:jc w:val="right"/>
            </w:pPr>
            <w:r>
              <w:t xml:space="preserve">2</w:t>
            </w:r>
          </w:p>
        </w:tc>
        <w:tc>
          <w:tcPr/>
          <w:p>
            <w:pPr>
              <w:pStyle w:val="Compact"/>
            </w:pPr>
            <w:r>
              <w:rPr>
                <w:rFonts w:hint="eastAsia"/>
              </w:rPr>
              <w:t xml:space="preserve">长鑫科技(688825)</w:t>
            </w:r>
          </w:p>
        </w:tc>
        <w:tc>
          <w:tcPr/>
          <w:p>
            <w:pPr>
              <w:pStyle w:val="Compact"/>
            </w:pPr>
            <w:r>
              <w:rPr>
                <w:rFonts w:hint="eastAsia"/>
              </w:rPr>
              <w:t xml:space="preserve">流出</w:t>
            </w:r>
          </w:p>
        </w:tc>
        <w:tc>
          <w:tcPr/>
          <w:p>
            <w:pPr>
              <w:pStyle w:val="Compact"/>
              <w:jc w:val="right"/>
            </w:pPr>
            <w:r>
              <w:rPr>
                <w:rFonts w:hint="eastAsia"/>
              </w:rPr>
              <w:t xml:space="preserve">-14.74亿</w:t>
            </w:r>
          </w:p>
        </w:tc>
      </w:tr>
      <w:tr>
        <w:tc>
          <w:tcPr/>
          <w:p>
            <w:pPr>
              <w:pStyle w:val="Compact"/>
              <w:jc w:val="right"/>
            </w:pPr>
            <w:r>
              <w:t xml:space="preserve">3</w:t>
            </w:r>
          </w:p>
        </w:tc>
        <w:tc>
          <w:tcPr/>
          <w:p>
            <w:pPr>
              <w:pStyle w:val="Compact"/>
            </w:pPr>
            <w:r>
              <w:rPr>
                <w:rFonts w:hint="eastAsia"/>
              </w:rPr>
              <w:t xml:space="preserve">新易盛(300502)</w:t>
            </w:r>
          </w:p>
        </w:tc>
        <w:tc>
          <w:tcPr/>
          <w:p>
            <w:pPr>
              <w:pStyle w:val="Compact"/>
            </w:pPr>
            <w:r>
              <w:rPr>
                <w:rFonts w:hint="eastAsia"/>
              </w:rPr>
              <w:t xml:space="preserve">流出</w:t>
            </w:r>
          </w:p>
        </w:tc>
        <w:tc>
          <w:tcPr/>
          <w:p>
            <w:pPr>
              <w:pStyle w:val="Compact"/>
              <w:jc w:val="right"/>
            </w:pPr>
            <w:r>
              <w:rPr>
                <w:rFonts w:hint="eastAsia"/>
              </w:rPr>
              <w:t xml:space="preserve">-13.39亿</w:t>
            </w:r>
          </w:p>
        </w:tc>
      </w:tr>
      <w:tr>
        <w:tc>
          <w:tcPr/>
          <w:p>
            <w:pPr>
              <w:pStyle w:val="Compact"/>
              <w:jc w:val="right"/>
            </w:pPr>
            <w:r>
              <w:t xml:space="preserve">4</w:t>
            </w:r>
          </w:p>
        </w:tc>
        <w:tc>
          <w:tcPr/>
          <w:p>
            <w:pPr>
              <w:pStyle w:val="Compact"/>
            </w:pPr>
            <w:r>
              <w:rPr>
                <w:rFonts w:hint="eastAsia"/>
              </w:rPr>
              <w:t xml:space="preserve">东山精密(002384)</w:t>
            </w:r>
          </w:p>
        </w:tc>
        <w:tc>
          <w:tcPr/>
          <w:p>
            <w:pPr>
              <w:pStyle w:val="Compact"/>
            </w:pPr>
            <w:r>
              <w:rPr>
                <w:rFonts w:hint="eastAsia"/>
              </w:rPr>
              <w:t xml:space="preserve">流出</w:t>
            </w:r>
          </w:p>
        </w:tc>
        <w:tc>
          <w:tcPr/>
          <w:p>
            <w:pPr>
              <w:pStyle w:val="Compact"/>
              <w:jc w:val="right"/>
            </w:pPr>
            <w:r>
              <w:rPr>
                <w:rFonts w:hint="eastAsia"/>
              </w:rPr>
              <w:t xml:space="preserve">-12.54亿</w:t>
            </w:r>
          </w:p>
        </w:tc>
      </w:tr>
      <w:tr>
        <w:tc>
          <w:tcPr/>
          <w:p>
            <w:pPr>
              <w:pStyle w:val="Compact"/>
              <w:jc w:val="right"/>
            </w:pPr>
            <w:r>
              <w:t xml:space="preserve">5</w:t>
            </w:r>
          </w:p>
        </w:tc>
        <w:tc>
          <w:tcPr/>
          <w:p>
            <w:pPr>
              <w:pStyle w:val="Compact"/>
            </w:pPr>
            <w:r>
              <w:rPr>
                <w:rFonts w:hint="eastAsia"/>
              </w:rPr>
              <w:t xml:space="preserve">云南锗业(002428)</w:t>
            </w:r>
          </w:p>
        </w:tc>
        <w:tc>
          <w:tcPr/>
          <w:p>
            <w:pPr>
              <w:pStyle w:val="Compact"/>
            </w:pPr>
            <w:r>
              <w:rPr>
                <w:rFonts w:hint="eastAsia"/>
              </w:rPr>
              <w:t xml:space="preserve">流出</w:t>
            </w:r>
          </w:p>
        </w:tc>
        <w:tc>
          <w:tcPr/>
          <w:p>
            <w:pPr>
              <w:pStyle w:val="Compact"/>
              <w:jc w:val="right"/>
            </w:pPr>
            <w:r>
              <w:rPr>
                <w:rFonts w:hint="eastAsia"/>
              </w:rPr>
              <w:t xml:space="preserve">-8.25亿</w:t>
            </w:r>
          </w:p>
        </w:tc>
      </w:tr>
    </w:tbl>
    <w:bookmarkEnd w:id="16"/>
    <w:bookmarkStart w:id="17" w:name="流出top10个股第610名"/>
    <w:p>
      <w:pPr>
        <w:pStyle w:val="Heading3"/>
      </w:pPr>
      <w:r>
        <w:t xml:space="preserve">💰 </w:t>
      </w:r>
      <w:r>
        <w:rPr>
          <w:rFonts w:hint="eastAsia"/>
        </w:rPr>
        <w:t xml:space="preserve">流出TOP10个股｜第6—10名</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方向</w:t>
            </w:r>
          </w:p>
        </w:tc>
        <w:tc>
          <w:tcPr/>
          <w:p>
            <w:pPr>
              <w:pStyle w:val="Compact"/>
              <w:jc w:val="right"/>
            </w:pPr>
            <w:r>
              <w:rPr>
                <w:rFonts w:hint="eastAsia"/>
              </w:rPr>
              <w:t xml:space="preserve">主力净流出金额</w:t>
            </w:r>
          </w:p>
        </w:tc>
      </w:tr>
      <w:tr>
        <w:tc>
          <w:tcPr/>
          <w:p>
            <w:pPr>
              <w:pStyle w:val="Compact"/>
              <w:jc w:val="right"/>
            </w:pPr>
            <w:r>
              <w:t xml:space="preserve">6</w:t>
            </w:r>
          </w:p>
        </w:tc>
        <w:tc>
          <w:tcPr/>
          <w:p>
            <w:pPr>
              <w:pStyle w:val="Compact"/>
            </w:pPr>
            <w:r>
              <w:rPr>
                <w:rFonts w:hint="eastAsia"/>
              </w:rPr>
              <w:t xml:space="preserve">兆易创新(603986)</w:t>
            </w:r>
          </w:p>
        </w:tc>
        <w:tc>
          <w:tcPr/>
          <w:p>
            <w:pPr>
              <w:pStyle w:val="Compact"/>
            </w:pPr>
            <w:r>
              <w:rPr>
                <w:rFonts w:hint="eastAsia"/>
              </w:rPr>
              <w:t xml:space="preserve">流出</w:t>
            </w:r>
          </w:p>
        </w:tc>
        <w:tc>
          <w:tcPr/>
          <w:p>
            <w:pPr>
              <w:pStyle w:val="Compact"/>
              <w:jc w:val="right"/>
            </w:pPr>
            <w:r>
              <w:rPr>
                <w:rFonts w:hint="eastAsia"/>
              </w:rPr>
              <w:t xml:space="preserve">-8.00亿</w:t>
            </w:r>
          </w:p>
        </w:tc>
      </w:tr>
      <w:tr>
        <w:tc>
          <w:tcPr/>
          <w:p>
            <w:pPr>
              <w:pStyle w:val="Compact"/>
              <w:jc w:val="right"/>
            </w:pPr>
            <w:r>
              <w:t xml:space="preserve">7</w:t>
            </w:r>
          </w:p>
        </w:tc>
        <w:tc>
          <w:tcPr/>
          <w:p>
            <w:pPr>
              <w:pStyle w:val="Compact"/>
            </w:pPr>
            <w:r>
              <w:rPr>
                <w:rFonts w:hint="eastAsia"/>
              </w:rPr>
              <w:t xml:space="preserve">沪电股份(002463)</w:t>
            </w:r>
          </w:p>
        </w:tc>
        <w:tc>
          <w:tcPr/>
          <w:p>
            <w:pPr>
              <w:pStyle w:val="Compact"/>
            </w:pPr>
            <w:r>
              <w:rPr>
                <w:rFonts w:hint="eastAsia"/>
              </w:rPr>
              <w:t xml:space="preserve">流出</w:t>
            </w:r>
          </w:p>
        </w:tc>
        <w:tc>
          <w:tcPr/>
          <w:p>
            <w:pPr>
              <w:pStyle w:val="Compact"/>
              <w:jc w:val="right"/>
            </w:pPr>
            <w:r>
              <w:rPr>
                <w:rFonts w:hint="eastAsia"/>
              </w:rPr>
              <w:t xml:space="preserve">-7.23亿</w:t>
            </w:r>
          </w:p>
        </w:tc>
      </w:tr>
      <w:tr>
        <w:tc>
          <w:tcPr/>
          <w:p>
            <w:pPr>
              <w:pStyle w:val="Compact"/>
              <w:jc w:val="right"/>
            </w:pPr>
            <w:r>
              <w:t xml:space="preserve">8</w:t>
            </w:r>
          </w:p>
        </w:tc>
        <w:tc>
          <w:tcPr/>
          <w:p>
            <w:pPr>
              <w:pStyle w:val="Compact"/>
            </w:pPr>
            <w:r>
              <w:rPr>
                <w:rFonts w:hint="eastAsia"/>
              </w:rPr>
              <w:t xml:space="preserve">东方财富(300059)</w:t>
            </w:r>
          </w:p>
        </w:tc>
        <w:tc>
          <w:tcPr/>
          <w:p>
            <w:pPr>
              <w:pStyle w:val="Compact"/>
            </w:pPr>
            <w:r>
              <w:rPr>
                <w:rFonts w:hint="eastAsia"/>
              </w:rPr>
              <w:t xml:space="preserve">流出</w:t>
            </w:r>
          </w:p>
        </w:tc>
        <w:tc>
          <w:tcPr/>
          <w:p>
            <w:pPr>
              <w:pStyle w:val="Compact"/>
              <w:jc w:val="right"/>
            </w:pPr>
            <w:r>
              <w:rPr>
                <w:rFonts w:hint="eastAsia"/>
              </w:rPr>
              <w:t xml:space="preserve">-6.35亿</w:t>
            </w:r>
          </w:p>
        </w:tc>
      </w:tr>
      <w:tr>
        <w:tc>
          <w:tcPr/>
          <w:p>
            <w:pPr>
              <w:pStyle w:val="Compact"/>
              <w:jc w:val="right"/>
            </w:pPr>
            <w:r>
              <w:t xml:space="preserve">9</w:t>
            </w:r>
          </w:p>
        </w:tc>
        <w:tc>
          <w:tcPr/>
          <w:p>
            <w:pPr>
              <w:pStyle w:val="Compact"/>
            </w:pPr>
            <w:r>
              <w:rPr>
                <w:rFonts w:hint="eastAsia"/>
              </w:rPr>
              <w:t xml:space="preserve">生益科技(600183)</w:t>
            </w:r>
          </w:p>
        </w:tc>
        <w:tc>
          <w:tcPr/>
          <w:p>
            <w:pPr>
              <w:pStyle w:val="Compact"/>
            </w:pPr>
            <w:r>
              <w:rPr>
                <w:rFonts w:hint="eastAsia"/>
              </w:rPr>
              <w:t xml:space="preserve">流出</w:t>
            </w:r>
          </w:p>
        </w:tc>
        <w:tc>
          <w:tcPr/>
          <w:p>
            <w:pPr>
              <w:pStyle w:val="Compact"/>
              <w:jc w:val="right"/>
            </w:pPr>
            <w:r>
              <w:rPr>
                <w:rFonts w:hint="eastAsia"/>
              </w:rPr>
              <w:t xml:space="preserve">-5.34亿</w:t>
            </w:r>
          </w:p>
        </w:tc>
      </w:tr>
      <w:tr>
        <w:tc>
          <w:tcPr/>
          <w:p>
            <w:pPr>
              <w:pStyle w:val="Compact"/>
              <w:jc w:val="right"/>
            </w:pPr>
            <w:r>
              <w:t xml:space="preserve">10</w:t>
            </w:r>
          </w:p>
        </w:tc>
        <w:tc>
          <w:tcPr/>
          <w:p>
            <w:pPr>
              <w:pStyle w:val="Compact"/>
            </w:pPr>
            <w:r>
              <w:rPr>
                <w:rFonts w:hint="eastAsia"/>
              </w:rPr>
              <w:t xml:space="preserve">工业富联(601138)</w:t>
            </w:r>
          </w:p>
        </w:tc>
        <w:tc>
          <w:tcPr/>
          <w:p>
            <w:pPr>
              <w:pStyle w:val="Compact"/>
            </w:pPr>
            <w:r>
              <w:rPr>
                <w:rFonts w:hint="eastAsia"/>
              </w:rPr>
              <w:t xml:space="preserve">流出</w:t>
            </w:r>
          </w:p>
        </w:tc>
        <w:tc>
          <w:tcPr/>
          <w:p>
            <w:pPr>
              <w:pStyle w:val="Compact"/>
              <w:jc w:val="right"/>
            </w:pPr>
            <w:r>
              <w:rPr>
                <w:rFonts w:hint="eastAsia"/>
              </w:rPr>
              <w:t xml:space="preserve">-5.14亿</w:t>
            </w:r>
          </w:p>
        </w:tc>
      </w:tr>
    </w:tbl>
    <w:bookmarkEnd w:id="17"/>
    <w:bookmarkStart w:id="18" w:name="流入top10板块第15名"/>
    <w:p>
      <w:pPr>
        <w:pStyle w:val="Heading3"/>
      </w:pPr>
      <w:r>
        <w:t xml:space="preserve">💰 </w:t>
      </w:r>
      <w:r>
        <w:rPr>
          <w:rFonts w:hint="eastAsia"/>
        </w:rPr>
        <w:t xml:space="preserve">流入TOP10板块｜第1—5名</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pPr>
            <w:r>
              <w:rPr>
                <w:rFonts w:hint="eastAsia"/>
              </w:rPr>
              <w:t xml:space="preserve">方向</w:t>
            </w:r>
          </w:p>
        </w:tc>
        <w:tc>
          <w:tcPr/>
          <w:p>
            <w:pPr>
              <w:pStyle w:val="Compact"/>
              <w:jc w:val="right"/>
            </w:pPr>
            <w:r>
              <w:rPr>
                <w:rFonts w:hint="eastAsia"/>
              </w:rPr>
              <w:t xml:space="preserve">主力净流入金额</w:t>
            </w:r>
          </w:p>
        </w:tc>
      </w:tr>
      <w:tr>
        <w:tc>
          <w:tcPr/>
          <w:p>
            <w:pPr>
              <w:pStyle w:val="Compact"/>
              <w:jc w:val="right"/>
            </w:pPr>
            <w:r>
              <w:t xml:space="preserve">1</w:t>
            </w:r>
          </w:p>
        </w:tc>
        <w:tc>
          <w:tcPr/>
          <w:p>
            <w:pPr>
              <w:pStyle w:val="Compact"/>
            </w:pPr>
            <w:r>
              <w:rPr>
                <w:rFonts w:hint="eastAsia"/>
              </w:rPr>
              <w:t xml:space="preserve">电力设备</w:t>
            </w:r>
          </w:p>
        </w:tc>
        <w:tc>
          <w:tcPr/>
          <w:p>
            <w:pPr>
              <w:pStyle w:val="Compact"/>
            </w:pPr>
            <w:r>
              <w:rPr>
                <w:rFonts w:hint="eastAsia"/>
              </w:rPr>
              <w:t xml:space="preserve">流入</w:t>
            </w:r>
          </w:p>
        </w:tc>
        <w:tc>
          <w:tcPr/>
          <w:p>
            <w:pPr>
              <w:pStyle w:val="Compact"/>
              <w:jc w:val="right"/>
            </w:pPr>
            <w:r>
              <w:rPr>
                <w:rFonts w:hint="eastAsia"/>
              </w:rPr>
              <w:t xml:space="preserve">+81.03亿元</w:t>
            </w:r>
          </w:p>
        </w:tc>
      </w:tr>
      <w:tr>
        <w:tc>
          <w:tcPr/>
          <w:p>
            <w:pPr>
              <w:pStyle w:val="Compact"/>
              <w:jc w:val="right"/>
            </w:pPr>
            <w:r>
              <w:t xml:space="preserve">2</w:t>
            </w:r>
          </w:p>
        </w:tc>
        <w:tc>
          <w:tcPr/>
          <w:p>
            <w:pPr>
              <w:pStyle w:val="Compact"/>
            </w:pPr>
            <w:r>
              <w:rPr>
                <w:rFonts w:hint="eastAsia"/>
              </w:rPr>
              <w:t xml:space="preserve">半导体</w:t>
            </w:r>
          </w:p>
        </w:tc>
        <w:tc>
          <w:tcPr/>
          <w:p>
            <w:pPr>
              <w:pStyle w:val="Compact"/>
            </w:pPr>
            <w:r>
              <w:rPr>
                <w:rFonts w:hint="eastAsia"/>
              </w:rPr>
              <w:t xml:space="preserve">流入</w:t>
            </w:r>
          </w:p>
        </w:tc>
        <w:tc>
          <w:tcPr/>
          <w:p>
            <w:pPr>
              <w:pStyle w:val="Compact"/>
              <w:jc w:val="right"/>
            </w:pPr>
            <w:r>
              <w:rPr>
                <w:rFonts w:hint="eastAsia"/>
              </w:rPr>
              <w:t xml:space="preserve">+72.84亿元</w:t>
            </w:r>
          </w:p>
        </w:tc>
      </w:tr>
      <w:tr>
        <w:tc>
          <w:tcPr/>
          <w:p>
            <w:pPr>
              <w:pStyle w:val="Compact"/>
              <w:jc w:val="right"/>
            </w:pPr>
            <w:r>
              <w:t xml:space="preserve">3</w:t>
            </w:r>
          </w:p>
        </w:tc>
        <w:tc>
          <w:tcPr/>
          <w:p>
            <w:pPr>
              <w:pStyle w:val="Compact"/>
            </w:pPr>
            <w:r>
              <w:rPr>
                <w:rFonts w:hint="eastAsia"/>
              </w:rPr>
              <w:t xml:space="preserve">电子</w:t>
            </w:r>
          </w:p>
        </w:tc>
        <w:tc>
          <w:tcPr/>
          <w:p>
            <w:pPr>
              <w:pStyle w:val="Compact"/>
            </w:pPr>
            <w:r>
              <w:rPr>
                <w:rFonts w:hint="eastAsia"/>
              </w:rPr>
              <w:t xml:space="preserve">流入</w:t>
            </w:r>
          </w:p>
        </w:tc>
        <w:tc>
          <w:tcPr/>
          <w:p>
            <w:pPr>
              <w:pStyle w:val="Compact"/>
              <w:jc w:val="right"/>
            </w:pPr>
            <w:r>
              <w:rPr>
                <w:rFonts w:hint="eastAsia"/>
              </w:rPr>
              <w:t xml:space="preserve">+59.74亿元</w:t>
            </w:r>
          </w:p>
        </w:tc>
      </w:tr>
      <w:tr>
        <w:tc>
          <w:tcPr/>
          <w:p>
            <w:pPr>
              <w:pStyle w:val="Compact"/>
              <w:jc w:val="right"/>
            </w:pPr>
            <w:r>
              <w:t xml:space="preserve">4</w:t>
            </w:r>
          </w:p>
        </w:tc>
        <w:tc>
          <w:tcPr/>
          <w:p>
            <w:pPr>
              <w:pStyle w:val="Compact"/>
            </w:pPr>
            <w:r>
              <w:rPr>
                <w:rFonts w:hint="eastAsia"/>
              </w:rPr>
              <w:t xml:space="preserve">半导体设备</w:t>
            </w:r>
          </w:p>
        </w:tc>
        <w:tc>
          <w:tcPr/>
          <w:p>
            <w:pPr>
              <w:pStyle w:val="Compact"/>
            </w:pPr>
            <w:r>
              <w:rPr>
                <w:rFonts w:hint="eastAsia"/>
              </w:rPr>
              <w:t xml:space="preserve">流入</w:t>
            </w:r>
          </w:p>
        </w:tc>
        <w:tc>
          <w:tcPr/>
          <w:p>
            <w:pPr>
              <w:pStyle w:val="Compact"/>
              <w:jc w:val="right"/>
            </w:pPr>
            <w:r>
              <w:rPr>
                <w:rFonts w:hint="eastAsia"/>
              </w:rPr>
              <w:t xml:space="preserve">+43.62亿元</w:t>
            </w:r>
          </w:p>
        </w:tc>
      </w:tr>
      <w:tr>
        <w:tc>
          <w:tcPr/>
          <w:p>
            <w:pPr>
              <w:pStyle w:val="Compact"/>
              <w:jc w:val="right"/>
            </w:pPr>
            <w:r>
              <w:t xml:space="preserve">5</w:t>
            </w:r>
          </w:p>
        </w:tc>
        <w:tc>
          <w:tcPr/>
          <w:p>
            <w:pPr>
              <w:pStyle w:val="Compact"/>
            </w:pPr>
            <w:r>
              <w:rPr>
                <w:rFonts w:hint="eastAsia"/>
              </w:rPr>
              <w:t xml:space="preserve">光伏设备</w:t>
            </w:r>
          </w:p>
        </w:tc>
        <w:tc>
          <w:tcPr/>
          <w:p>
            <w:pPr>
              <w:pStyle w:val="Compact"/>
            </w:pPr>
            <w:r>
              <w:rPr>
                <w:rFonts w:hint="eastAsia"/>
              </w:rPr>
              <w:t xml:space="preserve">流入</w:t>
            </w:r>
          </w:p>
        </w:tc>
        <w:tc>
          <w:tcPr/>
          <w:p>
            <w:pPr>
              <w:pStyle w:val="Compact"/>
              <w:jc w:val="right"/>
            </w:pPr>
            <w:r>
              <w:rPr>
                <w:rFonts w:hint="eastAsia"/>
              </w:rPr>
              <w:t xml:space="preserve">+35.43亿元</w:t>
            </w:r>
          </w:p>
        </w:tc>
      </w:tr>
    </w:tbl>
    <w:bookmarkEnd w:id="18"/>
    <w:bookmarkStart w:id="19" w:name="流入top10板块第610名"/>
    <w:p>
      <w:pPr>
        <w:pStyle w:val="Heading3"/>
      </w:pPr>
      <w:r>
        <w:t xml:space="preserve">💰 </w:t>
      </w:r>
      <w:r>
        <w:rPr>
          <w:rFonts w:hint="eastAsia"/>
        </w:rPr>
        <w:t xml:space="preserve">流入TOP10板块｜第6—10名</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pPr>
            <w:r>
              <w:rPr>
                <w:rFonts w:hint="eastAsia"/>
              </w:rPr>
              <w:t xml:space="preserve">方向</w:t>
            </w:r>
          </w:p>
        </w:tc>
        <w:tc>
          <w:tcPr/>
          <w:p>
            <w:pPr>
              <w:pStyle w:val="Compact"/>
              <w:jc w:val="right"/>
            </w:pPr>
            <w:r>
              <w:rPr>
                <w:rFonts w:hint="eastAsia"/>
              </w:rPr>
              <w:t xml:space="preserve">主力净流入金额</w:t>
            </w:r>
          </w:p>
        </w:tc>
      </w:tr>
      <w:tr>
        <w:tc>
          <w:tcPr/>
          <w:p>
            <w:pPr>
              <w:pStyle w:val="Compact"/>
              <w:jc w:val="right"/>
            </w:pPr>
            <w:r>
              <w:t xml:space="preserve">6</w:t>
            </w:r>
          </w:p>
        </w:tc>
        <w:tc>
          <w:tcPr/>
          <w:p>
            <w:pPr>
              <w:pStyle w:val="Compact"/>
            </w:pPr>
            <w:r>
              <w:rPr>
                <w:rFonts w:hint="eastAsia"/>
              </w:rPr>
              <w:t xml:space="preserve">电池</w:t>
            </w:r>
          </w:p>
        </w:tc>
        <w:tc>
          <w:tcPr/>
          <w:p>
            <w:pPr>
              <w:pStyle w:val="Compact"/>
            </w:pPr>
            <w:r>
              <w:rPr>
                <w:rFonts w:hint="eastAsia"/>
              </w:rPr>
              <w:t xml:space="preserve">流入</w:t>
            </w:r>
          </w:p>
        </w:tc>
        <w:tc>
          <w:tcPr/>
          <w:p>
            <w:pPr>
              <w:pStyle w:val="Compact"/>
              <w:jc w:val="right"/>
            </w:pPr>
            <w:r>
              <w:rPr>
                <w:rFonts w:hint="eastAsia"/>
              </w:rPr>
              <w:t xml:space="preserve">+32.64亿元</w:t>
            </w:r>
          </w:p>
        </w:tc>
      </w:tr>
      <w:tr>
        <w:tc>
          <w:tcPr/>
          <w:p>
            <w:pPr>
              <w:pStyle w:val="Compact"/>
              <w:jc w:val="right"/>
            </w:pPr>
            <w:r>
              <w:t xml:space="preserve">7</w:t>
            </w:r>
          </w:p>
        </w:tc>
        <w:tc>
          <w:tcPr/>
          <w:p>
            <w:pPr>
              <w:pStyle w:val="Compact"/>
            </w:pPr>
            <w:r>
              <w:rPr>
                <w:rFonts w:hint="eastAsia"/>
              </w:rPr>
              <w:t xml:space="preserve">机械设备</w:t>
            </w:r>
          </w:p>
        </w:tc>
        <w:tc>
          <w:tcPr/>
          <w:p>
            <w:pPr>
              <w:pStyle w:val="Compact"/>
            </w:pPr>
            <w:r>
              <w:rPr>
                <w:rFonts w:hint="eastAsia"/>
              </w:rPr>
              <w:t xml:space="preserve">流入</w:t>
            </w:r>
          </w:p>
        </w:tc>
        <w:tc>
          <w:tcPr/>
          <w:p>
            <w:pPr>
              <w:pStyle w:val="Compact"/>
              <w:jc w:val="right"/>
            </w:pPr>
            <w:r>
              <w:rPr>
                <w:rFonts w:hint="eastAsia"/>
              </w:rPr>
              <w:t xml:space="preserve">+22.87亿元</w:t>
            </w:r>
          </w:p>
        </w:tc>
      </w:tr>
      <w:tr>
        <w:tc>
          <w:tcPr/>
          <w:p>
            <w:pPr>
              <w:pStyle w:val="Compact"/>
              <w:jc w:val="right"/>
            </w:pPr>
            <w:r>
              <w:t xml:space="preserve">8</w:t>
            </w:r>
          </w:p>
        </w:tc>
        <w:tc>
          <w:tcPr/>
          <w:p>
            <w:pPr>
              <w:pStyle w:val="Compact"/>
            </w:pPr>
            <w:r>
              <w:rPr>
                <w:rFonts w:hint="eastAsia"/>
              </w:rPr>
              <w:t xml:space="preserve">有色金属</w:t>
            </w:r>
          </w:p>
        </w:tc>
        <w:tc>
          <w:tcPr/>
          <w:p>
            <w:pPr>
              <w:pStyle w:val="Compact"/>
            </w:pPr>
            <w:r>
              <w:rPr>
                <w:rFonts w:hint="eastAsia"/>
              </w:rPr>
              <w:t xml:space="preserve">流入</w:t>
            </w:r>
          </w:p>
        </w:tc>
        <w:tc>
          <w:tcPr/>
          <w:p>
            <w:pPr>
              <w:pStyle w:val="Compact"/>
              <w:jc w:val="right"/>
            </w:pPr>
            <w:r>
              <w:rPr>
                <w:rFonts w:hint="eastAsia"/>
              </w:rPr>
              <w:t xml:space="preserve">+20.36亿元</w:t>
            </w:r>
          </w:p>
        </w:tc>
      </w:tr>
      <w:tr>
        <w:tc>
          <w:tcPr/>
          <w:p>
            <w:pPr>
              <w:pStyle w:val="Compact"/>
              <w:jc w:val="right"/>
            </w:pPr>
            <w:r>
              <w:t xml:space="preserve">9</w:t>
            </w:r>
          </w:p>
        </w:tc>
        <w:tc>
          <w:tcPr/>
          <w:p>
            <w:pPr>
              <w:pStyle w:val="Compact"/>
            </w:pPr>
            <w:r>
              <w:rPr>
                <w:rFonts w:hint="eastAsia"/>
              </w:rPr>
              <w:t xml:space="preserve">锂电池</w:t>
            </w:r>
          </w:p>
        </w:tc>
        <w:tc>
          <w:tcPr/>
          <w:p>
            <w:pPr>
              <w:pStyle w:val="Compact"/>
            </w:pPr>
            <w:r>
              <w:rPr>
                <w:rFonts w:hint="eastAsia"/>
              </w:rPr>
              <w:t xml:space="preserve">流入</w:t>
            </w:r>
          </w:p>
        </w:tc>
        <w:tc>
          <w:tcPr/>
          <w:p>
            <w:pPr>
              <w:pStyle w:val="Compact"/>
              <w:jc w:val="right"/>
            </w:pPr>
            <w:r>
              <w:rPr>
                <w:rFonts w:hint="eastAsia"/>
              </w:rPr>
              <w:t xml:space="preserve">+18.52亿元</w:t>
            </w:r>
          </w:p>
        </w:tc>
      </w:tr>
      <w:tr>
        <w:tc>
          <w:tcPr/>
          <w:p>
            <w:pPr>
              <w:pStyle w:val="Compact"/>
              <w:jc w:val="right"/>
            </w:pPr>
            <w:r>
              <w:t xml:space="preserve">10</w:t>
            </w:r>
          </w:p>
        </w:tc>
        <w:tc>
          <w:tcPr/>
          <w:p>
            <w:pPr>
              <w:pStyle w:val="Compact"/>
            </w:pPr>
            <w:r>
              <w:rPr>
                <w:rFonts w:hint="eastAsia"/>
              </w:rPr>
              <w:t xml:space="preserve">传媒</w:t>
            </w:r>
          </w:p>
        </w:tc>
        <w:tc>
          <w:tcPr/>
          <w:p>
            <w:pPr>
              <w:pStyle w:val="Compact"/>
            </w:pPr>
            <w:r>
              <w:rPr>
                <w:rFonts w:hint="eastAsia"/>
              </w:rPr>
              <w:t xml:space="preserve">流入</w:t>
            </w:r>
          </w:p>
        </w:tc>
        <w:tc>
          <w:tcPr/>
          <w:p>
            <w:pPr>
              <w:pStyle w:val="Compact"/>
              <w:jc w:val="right"/>
            </w:pPr>
            <w:r>
              <w:rPr>
                <w:rFonts w:hint="eastAsia"/>
              </w:rPr>
              <w:t xml:space="preserve">+17.35亿元</w:t>
            </w:r>
          </w:p>
        </w:tc>
      </w:tr>
    </w:tbl>
    <w:bookmarkEnd w:id="19"/>
    <w:bookmarkStart w:id="20" w:name="流入top10个股第15名"/>
    <w:p>
      <w:pPr>
        <w:pStyle w:val="Heading3"/>
      </w:pPr>
      <w:r>
        <w:t xml:space="preserve">💰 </w:t>
      </w:r>
      <w:r>
        <w:rPr>
          <w:rFonts w:hint="eastAsia"/>
        </w:rPr>
        <w:t xml:space="preserve">流入TOP10个股｜第1—5名</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方向</w:t>
            </w:r>
          </w:p>
        </w:tc>
        <w:tc>
          <w:tcPr/>
          <w:p>
            <w:pPr>
              <w:pStyle w:val="Compact"/>
              <w:jc w:val="right"/>
            </w:pPr>
            <w:r>
              <w:rPr>
                <w:rFonts w:hint="eastAsia"/>
              </w:rPr>
              <w:t xml:space="preserve">主力净流入金额</w:t>
            </w:r>
          </w:p>
        </w:tc>
      </w:tr>
      <w:tr>
        <w:tc>
          <w:tcPr/>
          <w:p>
            <w:pPr>
              <w:pStyle w:val="Compact"/>
              <w:jc w:val="right"/>
            </w:pPr>
            <w:r>
              <w:t xml:space="preserve">1</w:t>
            </w:r>
          </w:p>
        </w:tc>
        <w:tc>
          <w:tcPr/>
          <w:p>
            <w:pPr>
              <w:pStyle w:val="Compact"/>
            </w:pPr>
            <w:r>
              <w:rPr>
                <w:rFonts w:hint="eastAsia"/>
              </w:rPr>
              <w:t xml:space="preserve">中微公司(688012)</w:t>
            </w:r>
          </w:p>
        </w:tc>
        <w:tc>
          <w:tcPr/>
          <w:p>
            <w:pPr>
              <w:pStyle w:val="Compact"/>
            </w:pPr>
            <w:r>
              <w:rPr>
                <w:rFonts w:hint="eastAsia"/>
              </w:rPr>
              <w:t xml:space="preserve">流入</w:t>
            </w:r>
          </w:p>
        </w:tc>
        <w:tc>
          <w:tcPr/>
          <w:p>
            <w:pPr>
              <w:pStyle w:val="Compact"/>
              <w:jc w:val="right"/>
            </w:pPr>
            <w:r>
              <w:rPr>
                <w:rFonts w:hint="eastAsia"/>
              </w:rPr>
              <w:t xml:space="preserve">+9.37亿</w:t>
            </w:r>
          </w:p>
        </w:tc>
      </w:tr>
      <w:tr>
        <w:tc>
          <w:tcPr/>
          <w:p>
            <w:pPr>
              <w:pStyle w:val="Compact"/>
              <w:jc w:val="right"/>
            </w:pPr>
            <w:r>
              <w:t xml:space="preserve">2</w:t>
            </w:r>
          </w:p>
        </w:tc>
        <w:tc>
          <w:tcPr/>
          <w:p>
            <w:pPr>
              <w:pStyle w:val="Compact"/>
            </w:pPr>
            <w:r>
              <w:rPr>
                <w:rFonts w:hint="eastAsia"/>
              </w:rPr>
              <w:t xml:space="preserve">利欧股份(002131)</w:t>
            </w:r>
          </w:p>
        </w:tc>
        <w:tc>
          <w:tcPr/>
          <w:p>
            <w:pPr>
              <w:pStyle w:val="Compact"/>
            </w:pPr>
            <w:r>
              <w:rPr>
                <w:rFonts w:hint="eastAsia"/>
              </w:rPr>
              <w:t xml:space="preserve">流入</w:t>
            </w:r>
          </w:p>
        </w:tc>
        <w:tc>
          <w:tcPr/>
          <w:p>
            <w:pPr>
              <w:pStyle w:val="Compact"/>
              <w:jc w:val="right"/>
            </w:pPr>
            <w:r>
              <w:rPr>
                <w:rFonts w:hint="eastAsia"/>
              </w:rPr>
              <w:t xml:space="preserve">+8.91亿</w:t>
            </w:r>
          </w:p>
        </w:tc>
      </w:tr>
      <w:tr>
        <w:tc>
          <w:tcPr/>
          <w:p>
            <w:pPr>
              <w:pStyle w:val="Compact"/>
              <w:jc w:val="right"/>
            </w:pPr>
            <w:r>
              <w:t xml:space="preserve">3</w:t>
            </w:r>
          </w:p>
        </w:tc>
        <w:tc>
          <w:tcPr/>
          <w:p>
            <w:pPr>
              <w:pStyle w:val="Compact"/>
            </w:pPr>
            <w:r>
              <w:rPr>
                <w:rFonts w:hint="eastAsia"/>
              </w:rPr>
              <w:t xml:space="preserve">宁德时代(300750)</w:t>
            </w:r>
          </w:p>
        </w:tc>
        <w:tc>
          <w:tcPr/>
          <w:p>
            <w:pPr>
              <w:pStyle w:val="Compact"/>
            </w:pPr>
            <w:r>
              <w:rPr>
                <w:rFonts w:hint="eastAsia"/>
              </w:rPr>
              <w:t xml:space="preserve">流入</w:t>
            </w:r>
          </w:p>
        </w:tc>
        <w:tc>
          <w:tcPr/>
          <w:p>
            <w:pPr>
              <w:pStyle w:val="Compact"/>
              <w:jc w:val="right"/>
            </w:pPr>
            <w:r>
              <w:rPr>
                <w:rFonts w:hint="eastAsia"/>
              </w:rPr>
              <w:t xml:space="preserve">+8.09亿</w:t>
            </w:r>
          </w:p>
        </w:tc>
      </w:tr>
      <w:tr>
        <w:tc>
          <w:tcPr/>
          <w:p>
            <w:pPr>
              <w:pStyle w:val="Compact"/>
              <w:jc w:val="right"/>
            </w:pPr>
            <w:r>
              <w:t xml:space="preserve">4</w:t>
            </w:r>
          </w:p>
        </w:tc>
        <w:tc>
          <w:tcPr/>
          <w:p>
            <w:pPr>
              <w:pStyle w:val="Compact"/>
            </w:pPr>
            <w:r>
              <w:rPr>
                <w:rFonts w:hint="eastAsia"/>
              </w:rPr>
              <w:t xml:space="preserve">阳光电源(300274)</w:t>
            </w:r>
          </w:p>
        </w:tc>
        <w:tc>
          <w:tcPr/>
          <w:p>
            <w:pPr>
              <w:pStyle w:val="Compact"/>
            </w:pPr>
            <w:r>
              <w:rPr>
                <w:rFonts w:hint="eastAsia"/>
              </w:rPr>
              <w:t xml:space="preserve">流入</w:t>
            </w:r>
          </w:p>
        </w:tc>
        <w:tc>
          <w:tcPr/>
          <w:p>
            <w:pPr>
              <w:pStyle w:val="Compact"/>
              <w:jc w:val="right"/>
            </w:pPr>
            <w:r>
              <w:rPr>
                <w:rFonts w:hint="eastAsia"/>
              </w:rPr>
              <w:t xml:space="preserve">+7.40亿</w:t>
            </w:r>
          </w:p>
        </w:tc>
      </w:tr>
      <w:tr>
        <w:tc>
          <w:tcPr/>
          <w:p>
            <w:pPr>
              <w:pStyle w:val="Compact"/>
              <w:jc w:val="right"/>
            </w:pPr>
            <w:r>
              <w:t xml:space="preserve">5</w:t>
            </w:r>
          </w:p>
        </w:tc>
        <w:tc>
          <w:tcPr/>
          <w:p>
            <w:pPr>
              <w:pStyle w:val="Compact"/>
            </w:pPr>
            <w:r>
              <w:rPr>
                <w:rFonts w:hint="eastAsia"/>
              </w:rPr>
              <w:t xml:space="preserve">拓荆科技(688072)</w:t>
            </w:r>
          </w:p>
        </w:tc>
        <w:tc>
          <w:tcPr/>
          <w:p>
            <w:pPr>
              <w:pStyle w:val="Compact"/>
            </w:pPr>
            <w:r>
              <w:rPr>
                <w:rFonts w:hint="eastAsia"/>
              </w:rPr>
              <w:t xml:space="preserve">流入</w:t>
            </w:r>
          </w:p>
        </w:tc>
        <w:tc>
          <w:tcPr/>
          <w:p>
            <w:pPr>
              <w:pStyle w:val="Compact"/>
              <w:jc w:val="right"/>
            </w:pPr>
            <w:r>
              <w:rPr>
                <w:rFonts w:hint="eastAsia"/>
              </w:rPr>
              <w:t xml:space="preserve">+5.77亿</w:t>
            </w:r>
          </w:p>
        </w:tc>
      </w:tr>
    </w:tbl>
    <w:bookmarkEnd w:id="20"/>
    <w:bookmarkStart w:id="21" w:name="流入top10个股第610名"/>
    <w:p>
      <w:pPr>
        <w:pStyle w:val="Heading3"/>
      </w:pPr>
      <w:r>
        <w:t xml:space="preserve">💰 </w:t>
      </w:r>
      <w:r>
        <w:rPr>
          <w:rFonts w:hint="eastAsia"/>
        </w:rPr>
        <w:t xml:space="preserve">流入TOP10个股｜第6—10名</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方向</w:t>
            </w:r>
          </w:p>
        </w:tc>
        <w:tc>
          <w:tcPr/>
          <w:p>
            <w:pPr>
              <w:pStyle w:val="Compact"/>
              <w:jc w:val="right"/>
            </w:pPr>
            <w:r>
              <w:rPr>
                <w:rFonts w:hint="eastAsia"/>
              </w:rPr>
              <w:t xml:space="preserve">主力净流入金额</w:t>
            </w:r>
          </w:p>
        </w:tc>
      </w:tr>
      <w:tr>
        <w:tc>
          <w:tcPr/>
          <w:p>
            <w:pPr>
              <w:pStyle w:val="Compact"/>
              <w:jc w:val="right"/>
            </w:pPr>
            <w:r>
              <w:t xml:space="preserve">6</w:t>
            </w:r>
          </w:p>
        </w:tc>
        <w:tc>
          <w:tcPr/>
          <w:p>
            <w:pPr>
              <w:pStyle w:val="Compact"/>
            </w:pPr>
            <w:r>
              <w:rPr>
                <w:rFonts w:hint="eastAsia"/>
              </w:rPr>
              <w:t xml:space="preserve">有研新材(600206)</w:t>
            </w:r>
          </w:p>
        </w:tc>
        <w:tc>
          <w:tcPr/>
          <w:p>
            <w:pPr>
              <w:pStyle w:val="Compact"/>
            </w:pPr>
            <w:r>
              <w:rPr>
                <w:rFonts w:hint="eastAsia"/>
              </w:rPr>
              <w:t xml:space="preserve">流入</w:t>
            </w:r>
          </w:p>
        </w:tc>
        <w:tc>
          <w:tcPr/>
          <w:p>
            <w:pPr>
              <w:pStyle w:val="Compact"/>
              <w:jc w:val="right"/>
            </w:pPr>
            <w:r>
              <w:rPr>
                <w:rFonts w:hint="eastAsia"/>
              </w:rPr>
              <w:t xml:space="preserve">+5.62亿</w:t>
            </w:r>
          </w:p>
        </w:tc>
      </w:tr>
      <w:tr>
        <w:tc>
          <w:tcPr/>
          <w:p>
            <w:pPr>
              <w:pStyle w:val="Compact"/>
              <w:jc w:val="right"/>
            </w:pPr>
            <w:r>
              <w:t xml:space="preserve">7</w:t>
            </w:r>
          </w:p>
        </w:tc>
        <w:tc>
          <w:tcPr/>
          <w:p>
            <w:pPr>
              <w:pStyle w:val="Compact"/>
            </w:pPr>
            <w:r>
              <w:rPr>
                <w:rFonts w:hint="eastAsia"/>
              </w:rPr>
              <w:t xml:space="preserve">通富微电(002156)</w:t>
            </w:r>
          </w:p>
        </w:tc>
        <w:tc>
          <w:tcPr/>
          <w:p>
            <w:pPr>
              <w:pStyle w:val="Compact"/>
            </w:pPr>
            <w:r>
              <w:rPr>
                <w:rFonts w:hint="eastAsia"/>
              </w:rPr>
              <w:t xml:space="preserve">流入</w:t>
            </w:r>
          </w:p>
        </w:tc>
        <w:tc>
          <w:tcPr/>
          <w:p>
            <w:pPr>
              <w:pStyle w:val="Compact"/>
              <w:jc w:val="right"/>
            </w:pPr>
            <w:r>
              <w:rPr>
                <w:rFonts w:hint="eastAsia"/>
              </w:rPr>
              <w:t xml:space="preserve">+4.97亿</w:t>
            </w:r>
          </w:p>
        </w:tc>
      </w:tr>
      <w:tr>
        <w:tc>
          <w:tcPr/>
          <w:p>
            <w:pPr>
              <w:pStyle w:val="Compact"/>
              <w:jc w:val="right"/>
            </w:pPr>
            <w:r>
              <w:t xml:space="preserve">8</w:t>
            </w:r>
          </w:p>
        </w:tc>
        <w:tc>
          <w:tcPr/>
          <w:p>
            <w:pPr>
              <w:pStyle w:val="Compact"/>
            </w:pPr>
            <w:r>
              <w:rPr>
                <w:rFonts w:hint="eastAsia"/>
              </w:rPr>
              <w:t xml:space="preserve">瑞芯微(603893)</w:t>
            </w:r>
          </w:p>
        </w:tc>
        <w:tc>
          <w:tcPr/>
          <w:p>
            <w:pPr>
              <w:pStyle w:val="Compact"/>
            </w:pPr>
            <w:r>
              <w:rPr>
                <w:rFonts w:hint="eastAsia"/>
              </w:rPr>
              <w:t xml:space="preserve">流入</w:t>
            </w:r>
          </w:p>
        </w:tc>
        <w:tc>
          <w:tcPr/>
          <w:p>
            <w:pPr>
              <w:pStyle w:val="Compact"/>
              <w:jc w:val="right"/>
            </w:pPr>
            <w:r>
              <w:rPr>
                <w:rFonts w:hint="eastAsia"/>
              </w:rPr>
              <w:t xml:space="preserve">+4.95亿</w:t>
            </w:r>
          </w:p>
        </w:tc>
      </w:tr>
      <w:tr>
        <w:tc>
          <w:tcPr/>
          <w:p>
            <w:pPr>
              <w:pStyle w:val="Compact"/>
              <w:jc w:val="right"/>
            </w:pPr>
            <w:r>
              <w:t xml:space="preserve">9</w:t>
            </w:r>
          </w:p>
        </w:tc>
        <w:tc>
          <w:tcPr/>
          <w:p>
            <w:pPr>
              <w:pStyle w:val="Compact"/>
            </w:pPr>
            <w:r>
              <w:rPr>
                <w:rFonts w:hint="eastAsia"/>
              </w:rPr>
              <w:t xml:space="preserve">中科飞测(688361)</w:t>
            </w:r>
          </w:p>
        </w:tc>
        <w:tc>
          <w:tcPr/>
          <w:p>
            <w:pPr>
              <w:pStyle w:val="Compact"/>
            </w:pPr>
            <w:r>
              <w:rPr>
                <w:rFonts w:hint="eastAsia"/>
              </w:rPr>
              <w:t xml:space="preserve">流入</w:t>
            </w:r>
          </w:p>
        </w:tc>
        <w:tc>
          <w:tcPr/>
          <w:p>
            <w:pPr>
              <w:pStyle w:val="Compact"/>
              <w:jc w:val="right"/>
            </w:pPr>
            <w:r>
              <w:rPr>
                <w:rFonts w:hint="eastAsia"/>
              </w:rPr>
              <w:t xml:space="preserve">+4.78亿</w:t>
            </w:r>
          </w:p>
        </w:tc>
      </w:tr>
      <w:tr>
        <w:tc>
          <w:tcPr/>
          <w:p>
            <w:pPr>
              <w:pStyle w:val="Compact"/>
              <w:jc w:val="right"/>
            </w:pPr>
            <w:r>
              <w:t xml:space="preserve">10</w:t>
            </w:r>
          </w:p>
        </w:tc>
        <w:tc>
          <w:tcPr/>
          <w:p>
            <w:pPr>
              <w:pStyle w:val="Compact"/>
            </w:pPr>
            <w:r>
              <w:rPr>
                <w:rFonts w:hint="eastAsia"/>
              </w:rPr>
              <w:t xml:space="preserve">歌尔股份(002241)</w:t>
            </w:r>
          </w:p>
        </w:tc>
        <w:tc>
          <w:tcPr/>
          <w:p>
            <w:pPr>
              <w:pStyle w:val="Compact"/>
            </w:pPr>
            <w:r>
              <w:rPr>
                <w:rFonts w:hint="eastAsia"/>
              </w:rPr>
              <w:t xml:space="preserve">流入</w:t>
            </w:r>
          </w:p>
        </w:tc>
        <w:tc>
          <w:tcPr/>
          <w:p>
            <w:pPr>
              <w:pStyle w:val="Compact"/>
              <w:jc w:val="right"/>
            </w:pPr>
            <w:r>
              <w:rPr>
                <w:rFonts w:hint="eastAsia"/>
              </w:rPr>
              <w:t xml:space="preserve">+4.72亿</w:t>
            </w:r>
          </w:p>
        </w:tc>
      </w:tr>
    </w:tbl>
    <w:bookmarkEnd w:id="21"/>
    <w:bookmarkEnd w:id="22"/>
    <w:bookmarkStart w:id="26" w:name="资金流出预警"/>
    <w:p>
      <w:pPr>
        <w:pStyle w:val="Heading2"/>
      </w:pPr>
      <w:r>
        <w:t xml:space="preserve">⚠️ </w:t>
      </w:r>
      <w:r>
        <w:rPr>
          <w:rFonts w:hint="eastAsia"/>
        </w:rPr>
        <w:t xml:space="preserve">资金流出预警</w:t>
      </w:r>
    </w:p>
    <w:bookmarkStart w:id="23" w:name="科技硬件出现显著内部切换"/>
    <w:p>
      <w:pPr>
        <w:pStyle w:val="Heading3"/>
      </w:pPr>
      <w:r>
        <w:t xml:space="preserve">🟢 </w:t>
      </w:r>
      <w:r>
        <w:rPr>
          <w:rFonts w:hint="eastAsia"/>
        </w:rPr>
        <w:t xml:space="preserve">科技硬件出现显著内部切换</w:t>
      </w:r>
    </w:p>
    <w:p>
      <w:pPr>
        <w:pStyle w:val="Compact"/>
        <w:numPr>
          <w:ilvl w:val="0"/>
          <w:numId w:val="1003"/>
        </w:numPr>
      </w:pPr>
      <w:r>
        <w:rPr>
          <w:rFonts w:hint="eastAsia"/>
        </w:rPr>
        <w:t xml:space="preserve">元件净流出47.98亿元、通信设备净流出36.59亿元，分列板块流出前两名。</w:t>
      </w:r>
    </w:p>
    <w:p>
      <w:pPr>
        <w:pStyle w:val="Compact"/>
        <w:numPr>
          <w:ilvl w:val="0"/>
          <w:numId w:val="1003"/>
        </w:numPr>
      </w:pPr>
      <w:r>
        <w:rPr>
          <w:rFonts w:hint="eastAsia"/>
        </w:rPr>
        <w:t xml:space="preserve">半导体净流入72.84亿元、电子净流入59.74亿元、半导体设备净流入43.62亿元，说明资金并未全面退出科技，而是从CPO、PCB及高位元件转向设备、芯片制造和端侧方向。</w:t>
      </w:r>
    </w:p>
    <w:p>
      <w:pPr>
        <w:pStyle w:val="Compact"/>
        <w:numPr>
          <w:ilvl w:val="0"/>
          <w:numId w:val="1003"/>
        </w:numPr>
      </w:pPr>
      <w:r>
        <w:rPr>
          <w:rFonts w:hint="eastAsia"/>
        </w:rPr>
        <w:t xml:space="preserve">上一交易日元件净流入49.86亿元、通信设备净流入76.94亿元，上午已转为净流出，隔日兑现特征清晰。</w:t>
      </w:r>
    </w:p>
    <w:bookmarkEnd w:id="23"/>
    <w:bookmarkStart w:id="24" w:name="高成交核心股发生资金反转"/>
    <w:p>
      <w:pPr>
        <w:pStyle w:val="Heading3"/>
      </w:pPr>
      <w:r>
        <w:t xml:space="preserve">🟢 </w:t>
      </w:r>
      <w:r>
        <w:rPr>
          <w:rFonts w:hint="eastAsia"/>
        </w:rPr>
        <w:t xml:space="preserve">高成交核心股发生资金反转</w:t>
      </w:r>
    </w:p>
    <w:p>
      <w:pPr>
        <w:pStyle w:val="Compact"/>
        <w:numPr>
          <w:ilvl w:val="0"/>
          <w:numId w:val="1004"/>
        </w:numPr>
      </w:pPr>
      <w:r>
        <w:rPr>
          <w:rFonts w:hint="eastAsia"/>
        </w:rPr>
        <w:t xml:space="preserve">中际旭创上一交易日净流入17.00亿，上午转为净流出16.47亿，成交额208.54亿元、下跌6.91%。</w:t>
      </w:r>
    </w:p>
    <w:p>
      <w:pPr>
        <w:pStyle w:val="Compact"/>
        <w:numPr>
          <w:ilvl w:val="0"/>
          <w:numId w:val="1004"/>
        </w:numPr>
      </w:pPr>
      <w:r>
        <w:rPr>
          <w:rFonts w:hint="eastAsia"/>
        </w:rPr>
        <w:t xml:space="preserve">新易盛上一交易日净流入24.19亿，上午转为净流出13.39亿，成交额144.26亿元、下跌5.49%。</w:t>
      </w:r>
    </w:p>
    <w:p>
      <w:pPr>
        <w:pStyle w:val="Compact"/>
        <w:numPr>
          <w:ilvl w:val="0"/>
          <w:numId w:val="1004"/>
        </w:numPr>
      </w:pPr>
      <w:r>
        <w:rPr>
          <w:rFonts w:hint="eastAsia"/>
        </w:rPr>
        <w:t xml:space="preserve">长鑫科技上一交易日净流入29.15亿，上午转为净流出14.74亿，成交额129.02亿元、下跌2.68%。</w:t>
      </w:r>
    </w:p>
    <w:p>
      <w:pPr>
        <w:pStyle w:val="Compact"/>
        <w:numPr>
          <w:ilvl w:val="0"/>
          <w:numId w:val="1004"/>
        </w:numPr>
      </w:pPr>
      <w:r>
        <w:rPr>
          <w:rFonts w:hint="eastAsia"/>
        </w:rPr>
        <w:t xml:space="preserve">兆易创新上一交易日净流入12.32亿，上午转为净流出8.00亿，成交额82.28亿元、下跌2.13%。</w:t>
      </w:r>
    </w:p>
    <w:p>
      <w:pPr>
        <w:pStyle w:val="Compact"/>
        <w:numPr>
          <w:ilvl w:val="0"/>
          <w:numId w:val="1004"/>
        </w:numPr>
      </w:pPr>
      <w:r>
        <w:rPr>
          <w:rFonts w:hint="eastAsia"/>
        </w:rPr>
        <w:t xml:space="preserve">工业富联上一交易日净流入9.07亿，上午转为净流出5.14亿。</w:t>
      </w:r>
    </w:p>
    <w:bookmarkEnd w:id="24"/>
    <w:bookmarkStart w:id="25" w:name="权重稳定力量仍然不足"/>
    <w:p>
      <w:pPr>
        <w:pStyle w:val="Heading3"/>
      </w:pPr>
      <w:r>
        <w:t xml:space="preserve">🟢 </w:t>
      </w:r>
      <w:r>
        <w:rPr>
          <w:rFonts w:hint="eastAsia"/>
        </w:rPr>
        <w:t xml:space="preserve">权重稳定力量仍然不足</w:t>
      </w:r>
    </w:p>
    <w:p>
      <w:pPr>
        <w:pStyle w:val="FirstParagraph"/>
      </w:pPr>
      <w:r>
        <w:rPr>
          <w:rFonts w:hint="eastAsia"/>
        </w:rPr>
        <w:t xml:space="preserve">证券Ⅱ净流出10.17亿元，东方财富净流出6.35亿；银行Ⅱ、电力、白酒Ⅱ同时位列流出榜。沪指仅上涨0.0981%，与深证成指、科创50的强度差异相符。</w:t>
      </w:r>
    </w:p>
    <w:bookmarkEnd w:id="25"/>
    <w:bookmarkEnd w:id="26"/>
    <w:bookmarkStart w:id="27" w:name="盘前预判与上午实盘对照"/>
    <w:p>
      <w:pPr>
        <w:pStyle w:val="Heading2"/>
      </w:pPr>
      <w:r>
        <w:t xml:space="preserve">🧭 </w:t>
      </w:r>
      <w:r>
        <w:rPr>
          <w:rFonts w:hint="eastAsia"/>
        </w:rPr>
        <w:t xml:space="preserve">盘前预判与上午实盘对照</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盘前判断</w:t>
            </w:r>
          </w:p>
        </w:tc>
        <w:tc>
          <w:tcPr/>
          <w:p>
            <w:pPr>
              <w:pStyle w:val="Compact"/>
            </w:pPr>
            <w:r>
              <w:rPr>
                <w:rFonts w:hint="eastAsia"/>
              </w:rPr>
              <w:t xml:space="preserve">上午事实</w:t>
            </w:r>
          </w:p>
        </w:tc>
        <w:tc>
          <w:tcPr/>
          <w:p>
            <w:pPr>
              <w:pStyle w:val="Compact"/>
            </w:pPr>
            <w:r>
              <w:rPr>
                <w:rFonts w:hint="eastAsia"/>
              </w:rPr>
              <w:t xml:space="preserve">复核结论</w:t>
            </w:r>
          </w:p>
        </w:tc>
      </w:tr>
      <w:tr>
        <w:tc>
          <w:tcPr/>
          <w:p>
            <w:pPr>
              <w:pStyle w:val="Compact"/>
            </w:pPr>
            <w:r>
              <w:rPr>
                <w:rFonts w:hint="eastAsia"/>
              </w:rPr>
              <w:t xml:space="preserve">隔夜核心半导体分化，A股科技线面临兑现压力</w:t>
            </w:r>
          </w:p>
        </w:tc>
        <w:tc>
          <w:tcPr/>
          <w:p>
            <w:pPr>
              <w:pStyle w:val="Compact"/>
            </w:pPr>
            <w:r>
              <w:rPr>
                <w:rFonts w:hint="eastAsia"/>
              </w:rPr>
              <w:t xml:space="preserve">中际旭创、新易盛、长鑫科技、东山精密进入净流出前四，通信设备和元件领跌资金榜</w:t>
            </w:r>
          </w:p>
        </w:tc>
        <w:tc>
          <w:tcPr/>
          <w:p>
            <w:pPr>
              <w:pStyle w:val="Compact"/>
            </w:pPr>
            <w:r>
              <w:rPr>
                <w:rFonts w:hint="eastAsia"/>
              </w:rPr>
              <w:t xml:space="preserve">风险方向得到验证</w:t>
            </w:r>
          </w:p>
        </w:tc>
      </w:tr>
      <w:tr>
        <w:tc>
          <w:tcPr/>
          <w:p>
            <w:pPr>
              <w:pStyle w:val="Compact"/>
            </w:pPr>
            <w:r>
              <w:rPr>
                <w:rFonts w:hint="eastAsia"/>
              </w:rPr>
              <w:t xml:space="preserve">不追一致性高开，优先观察分歧承接</w:t>
            </w:r>
          </w:p>
        </w:tc>
        <w:tc>
          <w:tcPr/>
          <w:p>
            <w:pPr>
              <w:pStyle w:val="Compact"/>
            </w:pPr>
            <w:r>
              <w:rPr>
                <w:rFonts w:hint="eastAsia"/>
              </w:rPr>
              <w:t xml:space="preserve">三大指数实际集体低开，随后深市与双创翻红；半导体设备和电力设备承接较强</w:t>
            </w:r>
          </w:p>
        </w:tc>
        <w:tc>
          <w:tcPr/>
          <w:p>
            <w:pPr>
              <w:pStyle w:val="Compact"/>
            </w:pPr>
            <w:r>
              <w:rPr>
                <w:rFonts w:hint="eastAsia"/>
              </w:rPr>
              <w:t xml:space="preserve">操作原则有效，但“一致性高开”情景没有出现</w:t>
            </w:r>
          </w:p>
        </w:tc>
      </w:tr>
      <w:tr>
        <w:tc>
          <w:tcPr/>
          <w:p>
            <w:pPr>
              <w:pStyle w:val="Compact"/>
            </w:pPr>
            <w:r>
              <w:rPr>
                <w:rFonts w:hint="eastAsia"/>
              </w:rPr>
              <w:t xml:space="preserve">宽基资金提供中期支撑</w:t>
            </w:r>
          </w:p>
        </w:tc>
        <w:tc>
          <w:tcPr/>
          <w:p>
            <w:pPr>
              <w:pStyle w:val="Compact"/>
            </w:pPr>
            <w:r>
              <w:rPr>
                <w:rFonts w:hint="eastAsia"/>
              </w:rPr>
              <w:t xml:space="preserve">沪深300ETF、中证500ETF、科创50ETF、创业板ETF及深证100ETF继续保持连续份额净增加记录</w:t>
            </w:r>
          </w:p>
        </w:tc>
        <w:tc>
          <w:tcPr/>
          <w:p>
            <w:pPr>
              <w:pStyle w:val="Compact"/>
            </w:pPr>
            <w:r>
              <w:rPr>
                <w:rFonts w:hint="eastAsia"/>
              </w:rPr>
              <w:t xml:space="preserve">支撑逻辑延续</w:t>
            </w:r>
          </w:p>
        </w:tc>
      </w:tr>
      <w:tr>
        <w:tc>
          <w:tcPr/>
          <w:p>
            <w:pPr>
              <w:pStyle w:val="Compact"/>
            </w:pPr>
            <w:r>
              <w:rPr>
                <w:rFonts w:hint="eastAsia"/>
              </w:rPr>
              <w:t xml:space="preserve">黄金及新能源存在事件驱动线索</w:t>
            </w:r>
          </w:p>
        </w:tc>
        <w:tc>
          <w:tcPr/>
          <w:p>
            <w:pPr>
              <w:pStyle w:val="Compact"/>
            </w:pPr>
            <w:r>
              <w:rPr>
                <w:rFonts w:hint="eastAsia"/>
              </w:rPr>
              <w:t xml:space="preserve">黄金上涨2.887%，盛达资源2板；光伏上涨3.199%，光伏设备净流入35.43亿元</w:t>
            </w:r>
          </w:p>
        </w:tc>
        <w:tc>
          <w:tcPr/>
          <w:p>
            <w:pPr>
              <w:pStyle w:val="Compact"/>
            </w:pPr>
            <w:r>
              <w:rPr>
                <w:rFonts w:hint="eastAsia"/>
              </w:rPr>
              <w:t xml:space="preserve">方向得到验证</w:t>
            </w:r>
          </w:p>
        </w:tc>
      </w:tr>
      <w:tr>
        <w:tc>
          <w:tcPr/>
          <w:p>
            <w:pPr>
              <w:pStyle w:val="Compact"/>
            </w:pPr>
            <w:r>
              <w:rPr>
                <w:rFonts w:hint="eastAsia"/>
              </w:rPr>
              <w:t xml:space="preserve">仓位上限50%，避免FOMO追涨</w:t>
            </w:r>
          </w:p>
        </w:tc>
        <w:tc>
          <w:tcPr/>
          <w:p>
            <w:pPr>
              <w:pStyle w:val="Compact"/>
            </w:pPr>
            <w:r>
              <w:rPr>
                <w:rFonts w:hint="eastAsia"/>
              </w:rPr>
              <w:t xml:space="preserve">炸板率39.6%，高位分歧信号处于高等级，成交额质量标记为明显缩量</w:t>
            </w:r>
          </w:p>
        </w:tc>
        <w:tc>
          <w:tcPr/>
          <w:p>
            <w:pPr>
              <w:pStyle w:val="Compact"/>
            </w:pPr>
            <w:r>
              <w:rPr>
                <w:rFonts w:hint="eastAsia"/>
              </w:rPr>
              <w:t xml:space="preserve">风控约束继续有效</w:t>
            </w:r>
          </w:p>
        </w:tc>
      </w:tr>
    </w:tbl>
    <w:p>
      <w:pPr>
        <w:pStyle w:val="BodyText"/>
      </w:pPr>
      <w:r>
        <w:rPr>
          <w:rFonts w:hint="eastAsia"/>
        </w:rPr>
        <w:t xml:space="preserve">上午最重要的变化不是“科技转弱”，而是科技内部从前一日高弹性的CPO、元件切向半导体设备、电力设备和电池方向。</w:t>
      </w:r>
    </w:p>
    <w:bookmarkEnd w:id="27"/>
    <w:bookmarkStart w:id="31" w:name="宽基etf成交额恐慌联合信号"/>
    <w:p>
      <w:pPr>
        <w:pStyle w:val="Heading2"/>
      </w:pPr>
      <w:r>
        <w:t xml:space="preserve">💧 </w:t>
      </w:r>
      <w:r>
        <w:rPr>
          <w:rFonts w:hint="eastAsia"/>
        </w:rPr>
        <w:t xml:space="preserve">宽基ETF·成交额·恐慌联合信号</w:t>
      </w:r>
    </w:p>
    <w:bookmarkStart w:id="28" w:name="宽基etf连续流入"/>
    <w:p>
      <w:pPr>
        <w:pStyle w:val="Heading3"/>
      </w:pPr>
      <w:r>
        <w:t xml:space="preserve">💧 </w:t>
      </w:r>
      <w:r>
        <w:rPr>
          <w:rFonts w:hint="eastAsia"/>
        </w:rPr>
        <w:t xml:space="preserve">宽基ETF连续流入</w:t>
      </w:r>
    </w:p>
    <w:p>
      <w:pPr>
        <w:pStyle w:val="FirstParagraph"/>
      </w:pPr>
      <w:r>
        <w:rPr>
          <w:rFonts w:hint="eastAsia"/>
        </w:rPr>
        <w:t xml:space="preserve">宽基ETF份额数据最新结算日为2026-11-04，净申购金额为“份额变化×价格”的估算值，不代表2026-11-05上午实时申购。</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ETF</w:t>
            </w:r>
          </w:p>
        </w:tc>
        <w:tc>
          <w:tcPr/>
          <w:p>
            <w:pPr>
              <w:pStyle w:val="Compact"/>
              <w:jc w:val="right"/>
            </w:pPr>
            <w:r>
              <w:rPr>
                <w:rFonts w:hint="eastAsia"/>
              </w:rPr>
              <w:t xml:space="preserve">最新份额变化</w:t>
            </w:r>
          </w:p>
        </w:tc>
        <w:tc>
          <w:tcPr/>
          <w:p>
            <w:pPr>
              <w:pStyle w:val="Compact"/>
              <w:jc w:val="right"/>
            </w:pPr>
            <w:r>
              <w:rPr>
                <w:rFonts w:hint="eastAsia"/>
              </w:rPr>
              <w:t xml:space="preserve">估算最新净申购</w:t>
            </w:r>
          </w:p>
        </w:tc>
        <w:tc>
          <w:tcPr/>
          <w:p>
            <w:pPr>
              <w:pStyle w:val="Compact"/>
              <w:jc w:val="right"/>
            </w:pPr>
            <w:r>
              <w:rPr>
                <w:rFonts w:hint="eastAsia"/>
              </w:rPr>
              <w:t xml:space="preserve">连续流入区间</w:t>
            </w:r>
          </w:p>
        </w:tc>
      </w:tr>
      <w:tr>
        <w:tc>
          <w:tcPr/>
          <w:p>
            <w:pPr>
              <w:pStyle w:val="Compact"/>
            </w:pPr>
            <w:r>
              <w:rPr>
                <w:rFonts w:hint="eastAsia"/>
              </w:rPr>
              <w:t xml:space="preserve">沪深300ETF</w:t>
            </w:r>
          </w:p>
        </w:tc>
        <w:tc>
          <w:tcPr/>
          <w:p>
            <w:pPr>
              <w:pStyle w:val="Compact"/>
              <w:jc w:val="right"/>
            </w:pPr>
            <w:r>
              <w:rPr>
                <w:rFonts w:hint="eastAsia"/>
              </w:rPr>
              <w:t xml:space="preserve">+1775700000份</w:t>
            </w:r>
          </w:p>
        </w:tc>
        <w:tc>
          <w:tcPr/>
          <w:p>
            <w:pPr>
              <w:pStyle w:val="Compact"/>
              <w:jc w:val="right"/>
            </w:pPr>
            <w:r>
              <w:rPr>
                <w:rFonts w:hint="eastAsia"/>
              </w:rPr>
              <w:t xml:space="preserve">+74.455101亿元</w:t>
            </w:r>
          </w:p>
        </w:tc>
        <w:tc>
          <w:tcPr/>
          <w:p>
            <w:pPr>
              <w:pStyle w:val="Compact"/>
              <w:jc w:val="right"/>
            </w:pPr>
            <w:r>
              <w:t xml:space="preserve">3</w:t>
            </w:r>
          </w:p>
        </w:tc>
      </w:tr>
      <w:tr>
        <w:tc>
          <w:tcPr/>
          <w:p>
            <w:pPr>
              <w:pStyle w:val="Compact"/>
            </w:pPr>
            <w:r>
              <w:rPr>
                <w:rFonts w:hint="eastAsia"/>
              </w:rPr>
              <w:t xml:space="preserve">中证500ETF</w:t>
            </w:r>
          </w:p>
        </w:tc>
        <w:tc>
          <w:tcPr/>
          <w:p>
            <w:pPr>
              <w:pStyle w:val="Compact"/>
              <w:jc w:val="right"/>
            </w:pPr>
            <w:r>
              <w:rPr>
                <w:rFonts w:hint="eastAsia"/>
              </w:rPr>
              <w:t xml:space="preserve">+1161200000份</w:t>
            </w:r>
          </w:p>
        </w:tc>
        <w:tc>
          <w:tcPr/>
          <w:p>
            <w:pPr>
              <w:pStyle w:val="Compact"/>
              <w:jc w:val="right"/>
            </w:pPr>
            <w:r>
              <w:rPr>
                <w:rFonts w:hint="eastAsia"/>
              </w:rPr>
              <w:t xml:space="preserve">+77.347532亿元</w:t>
            </w:r>
          </w:p>
        </w:tc>
        <w:tc>
          <w:tcPr/>
          <w:p>
            <w:pPr>
              <w:pStyle w:val="Compact"/>
              <w:jc w:val="right"/>
            </w:pPr>
            <w:r>
              <w:t xml:space="preserve">3</w:t>
            </w:r>
          </w:p>
        </w:tc>
      </w:tr>
      <w:tr>
        <w:tc>
          <w:tcPr/>
          <w:p>
            <w:pPr>
              <w:pStyle w:val="Compact"/>
            </w:pPr>
            <w:r>
              <w:rPr>
                <w:rFonts w:hint="eastAsia"/>
              </w:rPr>
              <w:t xml:space="preserve">科创50ETF</w:t>
            </w:r>
          </w:p>
        </w:tc>
        <w:tc>
          <w:tcPr/>
          <w:p>
            <w:pPr>
              <w:pStyle w:val="Compact"/>
              <w:jc w:val="right"/>
            </w:pPr>
            <w:r>
              <w:rPr>
                <w:rFonts w:hint="eastAsia"/>
              </w:rPr>
              <w:t xml:space="preserve">+2403000000份</w:t>
            </w:r>
          </w:p>
        </w:tc>
        <w:tc>
          <w:tcPr/>
          <w:p>
            <w:pPr>
              <w:pStyle w:val="Compact"/>
              <w:jc w:val="right"/>
            </w:pPr>
            <w:r>
              <w:rPr>
                <w:rFonts w:hint="eastAsia"/>
              </w:rPr>
              <w:t xml:space="preserve">+32.824980亿元</w:t>
            </w:r>
          </w:p>
        </w:tc>
        <w:tc>
          <w:tcPr/>
          <w:p>
            <w:pPr>
              <w:pStyle w:val="Compact"/>
              <w:jc w:val="right"/>
            </w:pPr>
            <w:r>
              <w:t xml:space="preserve">3</w:t>
            </w:r>
          </w:p>
        </w:tc>
      </w:tr>
      <w:tr>
        <w:tc>
          <w:tcPr/>
          <w:p>
            <w:pPr>
              <w:pStyle w:val="Compact"/>
            </w:pPr>
            <w:r>
              <w:rPr>
                <w:rFonts w:hint="eastAsia"/>
              </w:rPr>
              <w:t xml:space="preserve">创业板ETF</w:t>
            </w:r>
          </w:p>
        </w:tc>
        <w:tc>
          <w:tcPr/>
          <w:p>
            <w:pPr>
              <w:pStyle w:val="Compact"/>
              <w:jc w:val="right"/>
            </w:pPr>
            <w:r>
              <w:rPr>
                <w:rFonts w:hint="eastAsia"/>
              </w:rPr>
              <w:t xml:space="preserve">+1968000000份</w:t>
            </w:r>
          </w:p>
        </w:tc>
        <w:tc>
          <w:tcPr/>
          <w:p>
            <w:pPr>
              <w:pStyle w:val="Compact"/>
              <w:jc w:val="right"/>
            </w:pPr>
            <w:r>
              <w:rPr>
                <w:rFonts w:hint="eastAsia"/>
              </w:rPr>
              <w:t xml:space="preserve">+51.010560亿元</w:t>
            </w:r>
          </w:p>
        </w:tc>
        <w:tc>
          <w:tcPr/>
          <w:p>
            <w:pPr>
              <w:pStyle w:val="Compact"/>
              <w:jc w:val="right"/>
            </w:pPr>
            <w:r>
              <w:t xml:space="preserve">3</w:t>
            </w:r>
          </w:p>
        </w:tc>
      </w:tr>
      <w:tr>
        <w:tc>
          <w:tcPr/>
          <w:p>
            <w:pPr>
              <w:pStyle w:val="Compact"/>
            </w:pPr>
            <w:r>
              <w:rPr>
                <w:rFonts w:hint="eastAsia"/>
              </w:rPr>
              <w:t xml:space="preserve">深证100ETF</w:t>
            </w:r>
          </w:p>
        </w:tc>
        <w:tc>
          <w:tcPr/>
          <w:p>
            <w:pPr>
              <w:pStyle w:val="Compact"/>
              <w:jc w:val="right"/>
            </w:pPr>
            <w:r>
              <w:rPr>
                <w:rFonts w:hint="eastAsia"/>
              </w:rPr>
              <w:t xml:space="preserve">+6300000份</w:t>
            </w:r>
          </w:p>
        </w:tc>
        <w:tc>
          <w:tcPr/>
          <w:p>
            <w:pPr>
              <w:pStyle w:val="Compact"/>
              <w:jc w:val="right"/>
            </w:pPr>
            <w:r>
              <w:rPr>
                <w:rFonts w:hint="eastAsia"/>
              </w:rPr>
              <w:t xml:space="preserve">+0.182511亿元</w:t>
            </w:r>
          </w:p>
        </w:tc>
        <w:tc>
          <w:tcPr/>
          <w:p>
            <w:pPr>
              <w:pStyle w:val="Compact"/>
              <w:jc w:val="right"/>
            </w:pPr>
            <w:r>
              <w:t xml:space="preserve">3</w:t>
            </w:r>
          </w:p>
        </w:tc>
      </w:tr>
    </w:tbl>
    <w:p>
      <w:pPr>
        <w:pStyle w:val="BodyText"/>
      </w:pPr>
      <w:r>
        <w:rPr>
          <w:rFonts w:hint="eastAsia"/>
        </w:rPr>
        <w:t xml:space="preserve">其中沪深300ETF、中证500ETF、科创50ETF和创业板ETF满足连续大额净申购条件。</w:t>
      </w:r>
    </w:p>
    <w:bookmarkEnd w:id="28"/>
    <w:bookmarkStart w:id="29" w:name="成交额质量"/>
    <w:p>
      <w:pPr>
        <w:pStyle w:val="Heading3"/>
      </w:pPr>
      <w:r>
        <w:t xml:space="preserve">💧 </w:t>
      </w:r>
      <w:r>
        <w:rPr>
          <w:rFonts w:hint="eastAsia"/>
        </w:rPr>
        <w:t xml:space="preserve">成交额质量</w:t>
      </w:r>
    </w:p>
    <w:p>
      <w:pPr>
        <w:pStyle w:val="Compact"/>
        <w:numPr>
          <w:ilvl w:val="0"/>
          <w:numId w:val="1005"/>
        </w:numPr>
      </w:pPr>
      <w:r>
        <w:rPr>
          <w:rFonts w:hint="eastAsia"/>
        </w:rPr>
        <w:t xml:space="preserve">全市场半日成交额：14765.60亿元。</w:t>
      </w:r>
    </w:p>
    <w:p>
      <w:pPr>
        <w:pStyle w:val="Compact"/>
        <w:numPr>
          <w:ilvl w:val="0"/>
          <w:numId w:val="1005"/>
        </w:numPr>
      </w:pPr>
      <w:r>
        <w:rPr>
          <w:rFonts w:hint="eastAsia"/>
        </w:rPr>
        <w:t xml:space="preserve">上一交易日全日成交额：20518.87亿元。</w:t>
      </w:r>
    </w:p>
    <w:p>
      <w:pPr>
        <w:pStyle w:val="Compact"/>
        <w:numPr>
          <w:ilvl w:val="0"/>
          <w:numId w:val="1005"/>
        </w:numPr>
      </w:pPr>
      <w:r>
        <w:rPr>
          <w:rStyle w:val="VerbatimChar"/>
        </w:rPr>
        <w:t xml:space="preserve">derived.market_turnover_quality</w:t>
      </w:r>
      <w:r>
        <w:rPr>
          <w:rFonts w:hint="eastAsia"/>
        </w:rPr>
        <w:t xml:space="preserve">变化率：-28.04%。</w:t>
      </w:r>
    </w:p>
    <w:p>
      <w:pPr>
        <w:pStyle w:val="Compact"/>
        <w:numPr>
          <w:ilvl w:val="0"/>
          <w:numId w:val="1005"/>
        </w:numPr>
      </w:pPr>
      <w:r>
        <w:rPr>
          <w:rFonts w:hint="eastAsia"/>
        </w:rPr>
        <w:t xml:space="preserve">成交额质量状态：</w:t>
      </w:r>
      <w:r>
        <w:rPr>
          <w:rFonts w:hint="eastAsia"/>
          <w:b/>
          <w:bCs/>
        </w:rPr>
        <w:t xml:space="preserve">明显缩量</w:t>
      </w:r>
      <w:r>
        <w:t xml:space="preserve">。</w:t>
      </w:r>
    </w:p>
    <w:p>
      <w:pPr>
        <w:pStyle w:val="Compact"/>
        <w:numPr>
          <w:ilvl w:val="0"/>
          <w:numId w:val="1005"/>
        </w:numPr>
      </w:pPr>
      <w:r>
        <w:rPr>
          <w:rFonts w:hint="eastAsia"/>
        </w:rPr>
        <w:t xml:space="preserve">同花顺分时模型预测全天32532.68亿元，KPL预测全天26459亿元，两项外推结果差异明显；午后仓位不依据预测成交额加分。</w:t>
      </w:r>
    </w:p>
    <w:bookmarkEnd w:id="29"/>
    <w:bookmarkStart w:id="30" w:name="etf-qvix与联合信号"/>
    <w:p>
      <w:pPr>
        <w:pStyle w:val="Heading3"/>
      </w:pPr>
      <w:r>
        <w:t xml:space="preserve">⚠️ 300ETF </w:t>
      </w:r>
      <w:r>
        <w:rPr>
          <w:rFonts w:hint="eastAsia"/>
        </w:rPr>
        <w:t xml:space="preserve">QVIX与联合信号</w:t>
      </w:r>
    </w:p>
    <w:p>
      <w:pPr>
        <w:pStyle w:val="Compact"/>
        <w:numPr>
          <w:ilvl w:val="0"/>
          <w:numId w:val="1006"/>
        </w:numPr>
      </w:pPr>
      <w:r>
        <w:rPr>
          <w:rFonts w:hint="eastAsia"/>
        </w:rPr>
        <w:t xml:space="preserve">Collector派生字段为</w:t>
      </w:r>
      <w:r>
        <w:rPr>
          <w:rStyle w:val="VerbatimChar"/>
        </w:rPr>
        <w:t xml:space="preserve">confirmed</w:t>
      </w:r>
      <w:r>
        <w:rPr>
          <w:rFonts w:hint="eastAsia"/>
        </w:rPr>
        <w:t xml:space="preserve">，因此规则结论为：</w:t>
      </w:r>
      <w:r>
        <w:rPr>
          <w:rFonts w:hint="eastAsia"/>
          <w:b/>
          <w:bCs/>
        </w:rPr>
        <w:t xml:space="preserve">恐慌高位降温且宽基ETF持续流入已确认</w:t>
      </w:r>
      <w:r>
        <w:t xml:space="preserve">。</w:t>
      </w:r>
    </w:p>
    <w:p>
      <w:pPr>
        <w:pStyle w:val="Compact"/>
        <w:numPr>
          <w:ilvl w:val="0"/>
          <w:numId w:val="1006"/>
        </w:numPr>
      </w:pPr>
      <w:r>
        <w:rPr>
          <w:rFonts w:hint="eastAsia"/>
        </w:rPr>
        <w:t xml:space="preserve">QVIX记录值19.16，前收盘19.27，变动-0.5708%；较11月1日峰值22.60回落15.2212%。</w:t>
      </w:r>
    </w:p>
    <w:p>
      <w:pPr>
        <w:pStyle w:val="Compact"/>
        <w:numPr>
          <w:ilvl w:val="0"/>
          <w:numId w:val="1006"/>
        </w:numPr>
      </w:pPr>
      <w:r>
        <w:rPr>
          <w:rFonts w:hint="eastAsia"/>
        </w:rPr>
        <w:t xml:space="preserve">但该记录的时间标签为2026-11-05</w:t>
      </w:r>
      <w:r>
        <w:t xml:space="preserve"> </w:t>
      </w:r>
      <w:r>
        <w:rPr>
          <w:rFonts w:hint="eastAsia"/>
        </w:rPr>
        <w:t xml:space="preserve">14:56:23，晚于本报告生成时间2026-11-05</w:t>
      </w:r>
      <w:r>
        <w:t xml:space="preserve"> </w:t>
      </w:r>
      <w:r>
        <w:rPr>
          <w:rFonts w:hint="eastAsia"/>
        </w:rPr>
        <w:t xml:space="preserve">11:45:49，存在明确时点冲突。</w:t>
      </w:r>
    </w:p>
    <w:p>
      <w:pPr>
        <w:pStyle w:val="Compact"/>
        <w:numPr>
          <w:ilvl w:val="0"/>
          <w:numId w:val="1006"/>
        </w:numPr>
      </w:pPr>
      <w:r>
        <w:rPr>
          <w:rFonts w:hint="eastAsia"/>
        </w:rPr>
        <w:t xml:space="preserve">本报告不估算11:45时点QVIX，也不把19.16视为午盘实时值；联合信号仅按Collector派生状态披露，不用于额外提高下午仓位。</w:t>
      </w:r>
    </w:p>
    <w:bookmarkEnd w:id="30"/>
    <w:bookmarkEnd w:id="31"/>
    <w:bookmarkStart w:id="32" w:name="下午操作建议"/>
    <w:p>
      <w:pPr>
        <w:pStyle w:val="Heading2"/>
      </w:pPr>
      <w:r>
        <w:t xml:space="preserve">💡 </w:t>
      </w:r>
      <w:r>
        <w:rPr>
          <w:rFonts w:hint="eastAsia"/>
        </w:rPr>
        <w:t xml:space="preserve">下午操作建议</w:t>
      </w:r>
    </w:p>
    <w:p>
      <w:pPr>
        <w:pStyle w:val="Compact"/>
        <w:numPr>
          <w:ilvl w:val="0"/>
          <w:numId w:val="1007"/>
        </w:numPr>
      </w:pPr>
      <w:r>
        <w:rPr>
          <w:rFonts w:hint="eastAsia"/>
          <w:b/>
          <w:bCs/>
        </w:rPr>
        <w:t xml:space="preserve">主线只做分歧确认，不追涨停加速。</w:t>
      </w:r>
      <w:r>
        <w:t xml:space="preserve"> </w:t>
      </w:r>
      <w:r>
        <w:rPr>
          <w:rFonts w:hint="eastAsia"/>
        </w:rPr>
        <w:t xml:space="preserve">电力设备、半导体设备、光伏设备和电池资金占优，但炸板率39.6%，四板与三板方向不适合午后直接追价。</w:t>
      </w:r>
    </w:p>
    <w:p>
      <w:pPr>
        <w:pStyle w:val="Compact"/>
        <w:numPr>
          <w:ilvl w:val="0"/>
          <w:numId w:val="1007"/>
        </w:numPr>
      </w:pPr>
      <w:r>
        <w:rPr>
          <w:rFonts w:hint="eastAsia"/>
          <w:b/>
          <w:bCs/>
        </w:rPr>
        <w:t xml:space="preserve">科技内部继续去弱留强。</w:t>
      </w:r>
      <w:r>
        <w:t xml:space="preserve"> </w:t>
      </w:r>
      <w:r>
        <w:rPr>
          <w:rFonts w:hint="eastAsia"/>
        </w:rPr>
        <w:t xml:space="preserve">元件、通信设备及中际旭创、新易盛、长鑫科技等高成交流出方向，只有在净流出收窄、价格止跌后才恢复观察。</w:t>
      </w:r>
    </w:p>
    <w:p>
      <w:pPr>
        <w:pStyle w:val="Compact"/>
        <w:numPr>
          <w:ilvl w:val="0"/>
          <w:numId w:val="1007"/>
        </w:numPr>
      </w:pPr>
      <w:r>
        <w:rPr>
          <w:rFonts w:hint="eastAsia"/>
          <w:b/>
          <w:bCs/>
        </w:rPr>
        <w:t xml:space="preserve">优先看机构容量承接。</w:t>
      </w:r>
      <w:r>
        <w:t xml:space="preserve"> </w:t>
      </w:r>
      <w:r>
        <w:rPr>
          <w:rFonts w:hint="eastAsia"/>
        </w:rPr>
        <w:t xml:space="preserve">宁德时代、阳光电源、中微公司同时进入成交额核心或资金流入榜，但TickFlow历史评级均为D，午后仍不构成右侧新仓条件。</w:t>
      </w:r>
    </w:p>
    <w:p>
      <w:pPr>
        <w:pStyle w:val="Compact"/>
        <w:numPr>
          <w:ilvl w:val="0"/>
          <w:numId w:val="1007"/>
        </w:numPr>
      </w:pPr>
      <w:r>
        <w:rPr>
          <w:rFonts w:hint="eastAsia"/>
          <w:b/>
          <w:bCs/>
        </w:rPr>
        <w:t xml:space="preserve">把封板质量作为情绪门槛。</w:t>
      </w:r>
      <w:r>
        <w:t xml:space="preserve"> </w:t>
      </w:r>
      <w:r>
        <w:rPr>
          <w:rFonts w:hint="eastAsia"/>
        </w:rPr>
        <w:t xml:space="preserve">当前封板率60.4%；只有封板率恢复至70%以上、炸板率降至30%以下，才考虑从均衡仓向进攻仓调整。</w:t>
      </w:r>
    </w:p>
    <w:p>
      <w:pPr>
        <w:pStyle w:val="Compact"/>
        <w:numPr>
          <w:ilvl w:val="0"/>
          <w:numId w:val="1007"/>
        </w:numPr>
      </w:pPr>
      <w:r>
        <w:rPr>
          <w:rFonts w:hint="eastAsia"/>
          <w:b/>
          <w:bCs/>
        </w:rPr>
        <w:t xml:space="preserve">已有盈利仓分批保护。</w:t>
      </w:r>
      <w:r>
        <w:t xml:space="preserve"> </w:t>
      </w:r>
      <w:r>
        <w:rPr>
          <w:rFonts w:hint="eastAsia"/>
        </w:rPr>
        <w:t xml:space="preserve">四板、三板及20CM高换手品种若出现封单持续减少、板块资金转弱或再次开板，优先降低暴露，不用盈利回撤换取不确定的连板空间。</w:t>
      </w:r>
    </w:p>
    <w:bookmarkEnd w:id="32"/>
    <w:bookmarkStart w:id="34" w:name="市场风格仪表盘"/>
    <w:p>
      <w:pPr>
        <w:pStyle w:val="Heading2"/>
      </w:pPr>
      <w:r>
        <w:t xml:space="preserve">🎛️ </w:t>
      </w:r>
      <w:r>
        <w:rPr>
          <w:rFonts w:hint="eastAsia"/>
        </w:rPr>
        <w:t xml:space="preserve">市场风格仪表盘</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风格维度</w:t>
            </w:r>
          </w:p>
        </w:tc>
        <w:tc>
          <w:tcPr/>
          <w:p>
            <w:pPr>
              <w:pStyle w:val="Compact"/>
            </w:pPr>
            <w:r>
              <w:rPr>
                <w:rFonts w:hint="eastAsia"/>
              </w:rPr>
              <w:t xml:space="preserve">当前状态</w:t>
            </w:r>
          </w:p>
        </w:tc>
        <w:tc>
          <w:tcPr/>
          <w:p>
            <w:pPr>
              <w:pStyle w:val="Compact"/>
            </w:pPr>
            <w:r>
              <w:rPr>
                <w:rFonts w:hint="eastAsia"/>
              </w:rPr>
              <w:t xml:space="preserve">量化证据</w:t>
            </w:r>
          </w:p>
        </w:tc>
      </w:tr>
      <w:tr>
        <w:tc>
          <w:tcPr/>
          <w:p>
            <w:pPr>
              <w:pStyle w:val="Compact"/>
            </w:pPr>
            <w:r>
              <w:rPr>
                <w:rFonts w:hint="eastAsia"/>
              </w:rPr>
              <w:t xml:space="preserve">大盘与小盘</w:t>
            </w:r>
          </w:p>
        </w:tc>
        <w:tc>
          <w:tcPr/>
          <w:p>
            <w:pPr>
              <w:pStyle w:val="Compact"/>
            </w:pPr>
            <w:r>
              <w:rPr>
                <w:rFonts w:hint="eastAsia"/>
              </w:rPr>
              <w:t xml:space="preserve">偏成长/小盘</w:t>
            </w:r>
          </w:p>
        </w:tc>
        <w:tc>
          <w:tcPr/>
          <w:p>
            <w:pPr>
              <w:pStyle w:val="Compact"/>
            </w:pPr>
            <w:r>
              <w:rPr>
                <w:rFonts w:hint="eastAsia"/>
              </w:rPr>
              <w:t xml:space="preserve">深证成指+1.4387%、科创50+2.1059%，显著强于上证指数+0.0981%</w:t>
            </w:r>
          </w:p>
        </w:tc>
      </w:tr>
      <w:tr>
        <w:tc>
          <w:tcPr/>
          <w:p>
            <w:pPr>
              <w:pStyle w:val="Compact"/>
            </w:pPr>
            <w:r>
              <w:rPr>
                <w:rFonts w:hint="eastAsia"/>
              </w:rPr>
              <w:t xml:space="preserve">成长与价值</w:t>
            </w:r>
          </w:p>
        </w:tc>
        <w:tc>
          <w:tcPr/>
          <w:p>
            <w:pPr>
              <w:pStyle w:val="Compact"/>
            </w:pPr>
            <w:r>
              <w:rPr>
                <w:rFonts w:hint="eastAsia"/>
              </w:rPr>
              <w:t xml:space="preserve">偏成长</w:t>
            </w:r>
          </w:p>
        </w:tc>
        <w:tc>
          <w:tcPr/>
          <w:p>
            <w:pPr>
              <w:pStyle w:val="Compact"/>
            </w:pPr>
            <w:r>
              <w:rPr>
                <w:rFonts w:hint="eastAsia"/>
              </w:rPr>
              <w:t xml:space="preserve">电力设备、半导体、电子合计占据资金流入前三</w:t>
            </w:r>
          </w:p>
        </w:tc>
      </w:tr>
      <w:tr>
        <w:tc>
          <w:tcPr/>
          <w:p>
            <w:pPr>
              <w:pStyle w:val="Compact"/>
            </w:pPr>
            <w:r>
              <w:rPr>
                <w:rFonts w:hint="eastAsia"/>
              </w:rPr>
              <w:t xml:space="preserve">高位与低位</w:t>
            </w:r>
          </w:p>
        </w:tc>
        <w:tc>
          <w:tcPr/>
          <w:p>
            <w:pPr>
              <w:pStyle w:val="Compact"/>
            </w:pPr>
            <w:r>
              <w:rPr>
                <w:rFonts w:hint="eastAsia"/>
              </w:rPr>
              <w:t xml:space="preserve">高位退潮、高切低</w:t>
            </w:r>
          </w:p>
        </w:tc>
        <w:tc>
          <w:tcPr/>
          <w:p>
            <w:pPr>
              <w:pStyle w:val="Compact"/>
            </w:pPr>
            <w:r>
              <w:rPr>
                <w:rFonts w:hint="eastAsia"/>
              </w:rPr>
              <w:t xml:space="preserve">CPO高成交核心大幅流出，设备、电池及光伏获得资金承接</w:t>
            </w:r>
          </w:p>
        </w:tc>
      </w:tr>
      <w:tr>
        <w:tc>
          <w:tcPr/>
          <w:p>
            <w:pPr>
              <w:pStyle w:val="Compact"/>
            </w:pPr>
            <w:r>
              <w:rPr>
                <w:rFonts w:hint="eastAsia"/>
              </w:rPr>
              <w:t xml:space="preserve">题材与机构</w:t>
            </w:r>
          </w:p>
        </w:tc>
        <w:tc>
          <w:tcPr/>
          <w:p>
            <w:pPr>
              <w:pStyle w:val="Compact"/>
            </w:pPr>
            <w:r>
              <w:rPr>
                <w:rFonts w:hint="eastAsia"/>
              </w:rPr>
              <w:t xml:space="preserve">机构容量核心主导，题材同步活跃</w:t>
            </w:r>
          </w:p>
        </w:tc>
        <w:tc>
          <w:tcPr/>
          <w:p>
            <w:pPr>
              <w:pStyle w:val="Compact"/>
            </w:pPr>
            <w:r>
              <w:rPr>
                <w:rFonts w:hint="eastAsia"/>
              </w:rPr>
              <w:t xml:space="preserve">宁德时代、阳光电源、中微公司流入居前，光伏涨停集群扩散</w:t>
            </w:r>
          </w:p>
        </w:tc>
      </w:tr>
      <w:tr>
        <w:tc>
          <w:tcPr/>
          <w:p>
            <w:pPr>
              <w:pStyle w:val="Compact"/>
            </w:pPr>
            <w:r>
              <w:rPr>
                <w:rFonts w:hint="eastAsia"/>
              </w:rPr>
              <w:t xml:space="preserve">防守与进攻</w:t>
            </w:r>
          </w:p>
        </w:tc>
        <w:tc>
          <w:tcPr/>
          <w:p>
            <w:pPr>
              <w:pStyle w:val="Compact"/>
            </w:pPr>
            <w:r>
              <w:rPr>
                <w:rFonts w:hint="eastAsia"/>
              </w:rPr>
              <w:t xml:space="preserve">进攻，但分歧偏高</w:t>
            </w:r>
          </w:p>
        </w:tc>
        <w:tc>
          <w:tcPr/>
          <w:p>
            <w:pPr>
              <w:pStyle w:val="Compact"/>
            </w:pPr>
            <w:r>
              <w:rPr>
                <w:rFonts w:hint="eastAsia"/>
              </w:rPr>
              <w:t xml:space="preserve">涨跌比7.089、跌停0只，同时炸板率39.6%</w:t>
            </w:r>
          </w:p>
        </w:tc>
      </w:tr>
    </w:tbl>
    <w:bookmarkStart w:id="33" w:name="行为金融信号"/>
    <w:p>
      <w:pPr>
        <w:pStyle w:val="Heading3"/>
      </w:pPr>
      <w:r>
        <w:t xml:space="preserve">🧠 </w:t>
      </w:r>
      <w:r>
        <w:rPr>
          <w:rFonts w:hint="eastAsia"/>
        </w:rPr>
        <w:t xml:space="preserve">行为金融信号</w:t>
      </w:r>
    </w:p>
    <w:p>
      <w:pPr>
        <w:pStyle w:val="Compact"/>
        <w:numPr>
          <w:ilvl w:val="0"/>
          <w:numId w:val="1008"/>
        </w:numPr>
      </w:pPr>
      <w:r>
        <w:rPr>
          <w:rFonts w:hint="eastAsia"/>
          <w:b/>
          <w:bCs/>
        </w:rPr>
        <w:t xml:space="preserve">高位分歧/后悔厌恶：高等级。</w:t>
      </w:r>
      <w:r>
        <w:t xml:space="preserve"> </w:t>
      </w:r>
      <w:r>
        <w:rPr>
          <w:rFonts w:hint="eastAsia"/>
        </w:rPr>
        <w:t xml:space="preserve">炸板率39.6%超过35%的信号线，Collector行为金融风险分值为3。</w:t>
      </w:r>
    </w:p>
    <w:p>
      <w:pPr>
        <w:pStyle w:val="Compact"/>
        <w:numPr>
          <w:ilvl w:val="0"/>
          <w:numId w:val="1008"/>
        </w:numPr>
      </w:pPr>
      <w:r>
        <w:rPr>
          <w:rFonts w:hint="eastAsia"/>
          <w:b/>
          <w:bCs/>
        </w:rPr>
        <w:t xml:space="preserve">亏损厌恶扩散：需要防范。</w:t>
      </w:r>
      <w:r>
        <w:t xml:space="preserve"> </w:t>
      </w:r>
      <w:r>
        <w:rPr>
          <w:rFonts w:hint="eastAsia"/>
        </w:rPr>
        <w:t xml:space="preserve">朝阳科技、国际实业、光洋股份、星光股份均出现触板后大幅回落，最大振幅分别为12.62%、10.43%、18.17%、11.79%。</w:t>
      </w:r>
    </w:p>
    <w:p>
      <w:pPr>
        <w:pStyle w:val="Compact"/>
        <w:numPr>
          <w:ilvl w:val="0"/>
          <w:numId w:val="1008"/>
        </w:numPr>
      </w:pPr>
      <w:r>
        <w:rPr>
          <w:rFonts w:hint="eastAsia"/>
          <w:b/>
          <w:bCs/>
        </w:rPr>
        <w:t xml:space="preserve">FOMO诱因仍在。</w:t>
      </w:r>
      <w:r>
        <w:t xml:space="preserve"> </w:t>
      </w:r>
      <w:r>
        <w:rPr>
          <w:rFonts w:hint="eastAsia"/>
        </w:rPr>
        <w:t xml:space="preserve">上涨4792只、四板2只、三板2只容易强化追涨冲动，但Collector没有输出独立FOMO确认项，不额外提高情绪等级。</w:t>
      </w:r>
    </w:p>
    <w:p>
      <w:pPr>
        <w:pStyle w:val="Compact"/>
        <w:numPr>
          <w:ilvl w:val="0"/>
          <w:numId w:val="1008"/>
        </w:numPr>
      </w:pPr>
      <w:r>
        <w:rPr>
          <w:rFonts w:hint="eastAsia"/>
          <w:b/>
          <w:bCs/>
        </w:rPr>
        <w:t xml:space="preserve">估值与换手拥挤。</w:t>
      </w:r>
      <w:r>
        <w:t xml:space="preserve"> </w:t>
      </w:r>
      <w:r>
        <w:rPr>
          <w:rFonts w:hint="eastAsia"/>
        </w:rPr>
        <w:t xml:space="preserve">引力传媒PE</w:t>
      </w:r>
      <w:r>
        <w:t xml:space="preserve"> </w:t>
      </w:r>
      <w:r>
        <w:rPr>
          <w:rFonts w:hint="eastAsia"/>
        </w:rPr>
        <w:t xml:space="preserve">305.57倍、PB</w:t>
      </w:r>
      <w:r>
        <w:t xml:space="preserve"> </w:t>
      </w:r>
      <w:r>
        <w:rPr>
          <w:rFonts w:hint="eastAsia"/>
        </w:rPr>
        <w:t xml:space="preserve">24.76倍；贝特利换手率22.94%、PE</w:t>
      </w:r>
      <w:r>
        <w:t xml:space="preserve"> </w:t>
      </w:r>
      <w:r>
        <w:rPr>
          <w:rFonts w:hint="eastAsia"/>
        </w:rPr>
        <w:t xml:space="preserve">56.25倍，高位接力对流动性变化敏感。</w:t>
      </w:r>
    </w:p>
    <w:p>
      <w:pPr>
        <w:pStyle w:val="Compact"/>
        <w:numPr>
          <w:ilvl w:val="0"/>
          <w:numId w:val="1008"/>
        </w:numPr>
      </w:pPr>
      <w:r>
        <w:rPr>
          <w:rFonts w:hint="eastAsia"/>
          <w:b/>
          <w:bCs/>
        </w:rPr>
        <w:t xml:space="preserve">应对立场：</w:t>
      </w:r>
      <w:r>
        <w:t xml:space="preserve"> </w:t>
      </w:r>
      <w:r>
        <w:rPr>
          <w:rFonts w:hint="eastAsia"/>
        </w:rPr>
        <w:t xml:space="preserve">控制仓位，优先等待核心中军回踩确认，不在高位一致阶段扩大风险。</w:t>
      </w:r>
    </w:p>
    <w:bookmarkEnd w:id="33"/>
    <w:bookmarkEnd w:id="34"/>
    <w:bookmarkStart w:id="35" w:name="盘前策略复盘评分"/>
    <w:p>
      <w:pPr>
        <w:pStyle w:val="Heading2"/>
      </w:pPr>
      <w:r>
        <w:t xml:space="preserve">🧾 </w:t>
      </w:r>
      <w:r>
        <w:rPr>
          <w:rFonts w:hint="eastAsia"/>
        </w:rPr>
        <w:t xml:space="preserve">盘前策略复盘评分</w:t>
      </w:r>
    </w:p>
    <w:p>
      <w:pPr>
        <w:pStyle w:val="FirstParagraph"/>
      </w:pPr>
      <w:r>
        <w:rPr>
          <w:rFonts w:hint="eastAsia"/>
        </w:rPr>
        <w:t xml:space="preserve">当日盘前简报正文已提供，可作为同日正式基准。评分仅衡量判断与上午事实的一致性，不计算投资收益或个股命中率。</w:t>
      </w:r>
    </w:p>
    <w:tbl>
      <w:tblPr>
        <w:tblStyle w:val="Table"/>
        <w:tblW w:type="pct" w:w="5000"/>
        <w:tblLayout w:type="fixed"/>
        <w:tblLook w:firstRow="1" w:lastRow="0" w:firstColumn="0" w:lastColumn="0" w:noHBand="0" w:noVBand="0" w:val="0020"/>
      </w:tblPr>
      <w:tblGrid>
        <w:gridCol w:w="1697"/>
        <w:gridCol w:w="2262"/>
        <w:gridCol w:w="2262"/>
        <w:gridCol w:w="1697"/>
      </w:tblGrid>
      <w:tr>
        <w:trPr>
          <w:tblHeader w:val="on"/>
        </w:trPr>
        <w:tc>
          <w:tcPr/>
          <w:p>
            <w:pPr>
              <w:pStyle w:val="Compact"/>
            </w:pPr>
            <w:r>
              <w:rPr>
                <w:rFonts w:hint="eastAsia"/>
              </w:rPr>
              <w:t xml:space="preserve">评分项</w:t>
            </w:r>
          </w:p>
        </w:tc>
        <w:tc>
          <w:tcPr/>
          <w:p>
            <w:pPr>
              <w:pStyle w:val="Compact"/>
              <w:jc w:val="right"/>
            </w:pPr>
            <w:r>
              <w:rPr>
                <w:rFonts w:hint="eastAsia"/>
              </w:rPr>
              <w:t xml:space="preserve">满分</w:t>
            </w:r>
          </w:p>
        </w:tc>
        <w:tc>
          <w:tcPr/>
          <w:p>
            <w:pPr>
              <w:pStyle w:val="Compact"/>
              <w:jc w:val="right"/>
            </w:pPr>
            <w:r>
              <w:rPr>
                <w:rFonts w:hint="eastAsia"/>
              </w:rPr>
              <w:t xml:space="preserve">得分</w:t>
            </w:r>
          </w:p>
        </w:tc>
        <w:tc>
          <w:tcPr/>
          <w:p>
            <w:pPr>
              <w:pStyle w:val="Compact"/>
            </w:pPr>
            <w:r>
              <w:rPr>
                <w:rFonts w:hint="eastAsia"/>
              </w:rPr>
              <w:t xml:space="preserve">说明</w:t>
            </w:r>
          </w:p>
        </w:tc>
      </w:tr>
      <w:tr>
        <w:tc>
          <w:tcPr/>
          <w:p>
            <w:pPr>
              <w:pStyle w:val="Compact"/>
            </w:pPr>
            <w:r>
              <w:rPr>
                <w:rFonts w:hint="eastAsia"/>
              </w:rPr>
              <w:t xml:space="preserve">科技兑现与外部映射风险</w:t>
            </w:r>
          </w:p>
        </w:tc>
        <w:tc>
          <w:tcPr/>
          <w:p>
            <w:pPr>
              <w:pStyle w:val="Compact"/>
              <w:jc w:val="right"/>
            </w:pPr>
            <w:r>
              <w:t xml:space="preserve">1.0</w:t>
            </w:r>
          </w:p>
        </w:tc>
        <w:tc>
          <w:tcPr/>
          <w:p>
            <w:pPr>
              <w:pStyle w:val="Compact"/>
              <w:jc w:val="right"/>
            </w:pPr>
            <w:r>
              <w:t xml:space="preserve">0.5</w:t>
            </w:r>
          </w:p>
        </w:tc>
        <w:tc>
          <w:tcPr/>
          <w:p>
            <w:pPr>
              <w:pStyle w:val="Compact"/>
            </w:pPr>
            <w:r>
              <w:rPr>
                <w:rFonts w:hint="eastAsia"/>
              </w:rPr>
              <w:t xml:space="preserve">兑现压力出现，但实际是低开而非一致性高开</w:t>
            </w:r>
          </w:p>
        </w:tc>
      </w:tr>
      <w:tr>
        <w:tc>
          <w:tcPr/>
          <w:p>
            <w:pPr>
              <w:pStyle w:val="Compact"/>
            </w:pPr>
            <w:r>
              <w:rPr>
                <w:rFonts w:hint="eastAsia"/>
              </w:rPr>
              <w:t xml:space="preserve">不追涨、等待分歧承接</w:t>
            </w:r>
          </w:p>
        </w:tc>
        <w:tc>
          <w:tcPr/>
          <w:p>
            <w:pPr>
              <w:pStyle w:val="Compact"/>
              <w:jc w:val="right"/>
            </w:pPr>
            <w:r>
              <w:t xml:space="preserve">1.0</w:t>
            </w:r>
          </w:p>
        </w:tc>
        <w:tc>
          <w:tcPr/>
          <w:p>
            <w:pPr>
              <w:pStyle w:val="Compact"/>
              <w:jc w:val="right"/>
            </w:pPr>
            <w:r>
              <w:t xml:space="preserve">1.0</w:t>
            </w:r>
          </w:p>
        </w:tc>
        <w:tc>
          <w:tcPr/>
          <w:p>
            <w:pPr>
              <w:pStyle w:val="Compact"/>
            </w:pPr>
            <w:r>
              <w:rPr>
                <w:rFonts w:hint="eastAsia"/>
              </w:rPr>
              <w:t xml:space="preserve">CPO转弱、设备与电池承接，符合分歧筛选框架</w:t>
            </w:r>
          </w:p>
        </w:tc>
      </w:tr>
      <w:tr>
        <w:tc>
          <w:tcPr/>
          <w:p>
            <w:pPr>
              <w:pStyle w:val="Compact"/>
            </w:pPr>
            <w:r>
              <w:rPr>
                <w:rFonts w:hint="eastAsia"/>
              </w:rPr>
              <w:t xml:space="preserve">宽基ETF与恐慌信号判断</w:t>
            </w:r>
          </w:p>
        </w:tc>
        <w:tc>
          <w:tcPr/>
          <w:p>
            <w:pPr>
              <w:pStyle w:val="Compact"/>
              <w:jc w:val="right"/>
            </w:pPr>
            <w:r>
              <w:t xml:space="preserve">1.0</w:t>
            </w:r>
          </w:p>
        </w:tc>
        <w:tc>
          <w:tcPr/>
          <w:p>
            <w:pPr>
              <w:pStyle w:val="Compact"/>
              <w:jc w:val="right"/>
            </w:pPr>
            <w:r>
              <w:t xml:space="preserve">0.5</w:t>
            </w:r>
          </w:p>
        </w:tc>
        <w:tc>
          <w:tcPr/>
          <w:p>
            <w:pPr>
              <w:pStyle w:val="Compact"/>
            </w:pPr>
            <w:r>
              <w:rPr>
                <w:rFonts w:hint="eastAsia"/>
              </w:rPr>
              <w:t xml:space="preserve">宽基流入延续；午盘派生状态转为确认，但QVIX时间标签存在冲突</w:t>
            </w:r>
          </w:p>
        </w:tc>
      </w:tr>
      <w:tr>
        <w:tc>
          <w:tcPr/>
          <w:p>
            <w:pPr>
              <w:pStyle w:val="Compact"/>
            </w:pPr>
            <w:r>
              <w:rPr>
                <w:rFonts w:hint="eastAsia"/>
              </w:rPr>
              <w:t xml:space="preserve">最高50%仓位约束</w:t>
            </w:r>
          </w:p>
        </w:tc>
        <w:tc>
          <w:tcPr/>
          <w:p>
            <w:pPr>
              <w:pStyle w:val="Compact"/>
              <w:jc w:val="right"/>
            </w:pPr>
            <w:r>
              <w:t xml:space="preserve">1.0</w:t>
            </w:r>
          </w:p>
        </w:tc>
        <w:tc>
          <w:tcPr/>
          <w:p>
            <w:pPr>
              <w:pStyle w:val="Compact"/>
              <w:jc w:val="right"/>
            </w:pPr>
            <w:r>
              <w:t xml:space="preserve">1.0</w:t>
            </w:r>
          </w:p>
        </w:tc>
        <w:tc>
          <w:tcPr/>
          <w:p>
            <w:pPr>
              <w:pStyle w:val="Compact"/>
            </w:pPr>
            <w:r>
              <w:rPr>
                <w:rFonts w:hint="eastAsia"/>
              </w:rPr>
              <w:t xml:space="preserve">39.6%炸板率和明显缩量继续支持仓位约束</w:t>
            </w:r>
          </w:p>
        </w:tc>
      </w:tr>
      <w:tr>
        <w:tc>
          <w:tcPr/>
          <w:p>
            <w:pPr>
              <w:pStyle w:val="Compact"/>
            </w:pPr>
            <w:r>
              <w:rPr>
                <w:rFonts w:hint="eastAsia"/>
              </w:rPr>
              <w:t xml:space="preserve">黄金与新能源线索</w:t>
            </w:r>
          </w:p>
        </w:tc>
        <w:tc>
          <w:tcPr/>
          <w:p>
            <w:pPr>
              <w:pStyle w:val="Compact"/>
              <w:jc w:val="right"/>
            </w:pPr>
            <w:r>
              <w:t xml:space="preserve">1.0</w:t>
            </w:r>
          </w:p>
        </w:tc>
        <w:tc>
          <w:tcPr/>
          <w:p>
            <w:pPr>
              <w:pStyle w:val="Compact"/>
              <w:jc w:val="right"/>
            </w:pPr>
            <w:r>
              <w:t xml:space="preserve">1.0</w:t>
            </w:r>
          </w:p>
        </w:tc>
        <w:tc>
          <w:tcPr/>
          <w:p>
            <w:pPr>
              <w:pStyle w:val="Compact"/>
            </w:pPr>
            <w:r>
              <w:rPr>
                <w:rFonts w:hint="eastAsia"/>
              </w:rPr>
              <w:t xml:space="preserve">黄金、光伏、储能和锂电池上午同步走强</w:t>
            </w:r>
          </w:p>
        </w:tc>
      </w:tr>
    </w:tbl>
    <w:p>
      <w:pPr>
        <w:pStyle w:val="BodyText"/>
      </w:pPr>
      <w:r>
        <w:rPr>
          <w:rFonts w:hint="eastAsia"/>
          <w:b/>
          <w:bCs/>
        </w:rPr>
        <w:t xml:space="preserve">盘前策略复盘评分：4.0/5.0。</w:t>
      </w:r>
    </w:p>
    <w:p>
      <w:pPr>
        <w:pStyle w:val="BodyText"/>
      </w:pPr>
      <w:r>
        <w:rPr>
          <w:rFonts w:hint="eastAsia"/>
        </w:rPr>
        <w:t xml:space="preserve">主要扣分点是开盘情景不同于“高开兑现”，以及QVIX时点冲突使联合信号不能完整用于午盘实证。</w:t>
      </w:r>
    </w:p>
    <w:bookmarkEnd w:id="35"/>
    <w:bookmarkStart w:id="41" w:name="下午投资方向分层"/>
    <w:p>
      <w:pPr>
        <w:pStyle w:val="Heading2"/>
      </w:pPr>
      <w:r>
        <w:t xml:space="preserve">🧱 </w:t>
      </w:r>
      <w:r>
        <w:rPr>
          <w:rFonts w:hint="eastAsia"/>
        </w:rPr>
        <w:t xml:space="preserve">下午投资方向分层</w:t>
      </w:r>
    </w:p>
    <w:bookmarkStart w:id="36" w:name="第一层资金与板块强度共同确认"/>
    <w:p>
      <w:pPr>
        <w:pStyle w:val="Heading3"/>
      </w:pPr>
      <w:r>
        <w:t xml:space="preserve">🥇 </w:t>
      </w:r>
      <w:r>
        <w:rPr>
          <w:rFonts w:hint="eastAsia"/>
        </w:rPr>
        <w:t xml:space="preserve">第一层：资金与板块强度共同确认</w:t>
      </w:r>
    </w:p>
    <w:p>
      <w:pPr>
        <w:pStyle w:val="Compact"/>
        <w:numPr>
          <w:ilvl w:val="0"/>
          <w:numId w:val="1009"/>
        </w:numPr>
      </w:pPr>
      <w:r>
        <w:rPr>
          <w:rFonts w:hint="eastAsia"/>
          <w:b/>
          <w:bCs/>
        </w:rPr>
        <w:t xml:space="preserve">电力设备链：</w:t>
      </w:r>
      <w:r>
        <w:t xml:space="preserve"> </w:t>
      </w:r>
      <w:r>
        <w:rPr>
          <w:rFonts w:hint="eastAsia"/>
        </w:rPr>
        <w:t xml:space="preserve">电力设备净流入81.03亿元、光伏设备净流入35.43亿元、电池净流入32.64亿元、锂电池净流入18.52亿元；光伏上涨3.199%。</w:t>
      </w:r>
    </w:p>
    <w:p>
      <w:pPr>
        <w:pStyle w:val="Compact"/>
        <w:numPr>
          <w:ilvl w:val="0"/>
          <w:numId w:val="1009"/>
        </w:numPr>
      </w:pPr>
      <w:r>
        <w:rPr>
          <w:rFonts w:hint="eastAsia"/>
          <w:b/>
          <w:bCs/>
        </w:rPr>
        <w:t xml:space="preserve">半导体设备链：</w:t>
      </w:r>
      <w:r>
        <w:t xml:space="preserve"> </w:t>
      </w:r>
      <w:r>
        <w:rPr>
          <w:rFonts w:hint="eastAsia"/>
        </w:rPr>
        <w:t xml:space="preserve">半导体净流入72.84亿元、电子净流入59.74亿元、半导体设备净流入43.62亿元；中微公司、拓荆科技、中科飞测进入个股流入榜。</w:t>
      </w:r>
    </w:p>
    <w:p>
      <w:pPr>
        <w:pStyle w:val="Compact"/>
        <w:numPr>
          <w:ilvl w:val="0"/>
          <w:numId w:val="1009"/>
        </w:numPr>
      </w:pPr>
      <w:r>
        <w:rPr>
          <w:rFonts w:hint="eastAsia"/>
          <w:b/>
          <w:bCs/>
        </w:rPr>
        <w:t xml:space="preserve">执行要求：</w:t>
      </w:r>
      <w:r>
        <w:t xml:space="preserve"> </w:t>
      </w:r>
      <w:r>
        <w:rPr>
          <w:rFonts w:hint="eastAsia"/>
        </w:rPr>
        <w:t xml:space="preserve">只观察回踩承接与午后资金持续性，不因上午净流入直接追高。</w:t>
      </w:r>
    </w:p>
    <w:bookmarkEnd w:id="36"/>
    <w:bookmarkStart w:id="37" w:name="第二层题材扩散但接力风险较高"/>
    <w:p>
      <w:pPr>
        <w:pStyle w:val="Heading3"/>
      </w:pPr>
      <w:r>
        <w:t xml:space="preserve">🥈 </w:t>
      </w:r>
      <w:r>
        <w:rPr>
          <w:rFonts w:hint="eastAsia"/>
        </w:rPr>
        <w:t xml:space="preserve">第二层：题材扩散但接力风险较高</w:t>
      </w:r>
    </w:p>
    <w:p>
      <w:pPr>
        <w:pStyle w:val="Compact"/>
        <w:numPr>
          <w:ilvl w:val="0"/>
          <w:numId w:val="1010"/>
        </w:numPr>
      </w:pPr>
      <w:r>
        <w:rPr>
          <w:rFonts w:hint="eastAsia"/>
        </w:rPr>
        <w:t xml:space="preserve">光伏设备14只涨停，永臻股份3板、贝特利2板，板块处于启动扩散阶段。</w:t>
      </w:r>
    </w:p>
    <w:p>
      <w:pPr>
        <w:pStyle w:val="Compact"/>
        <w:numPr>
          <w:ilvl w:val="0"/>
          <w:numId w:val="1010"/>
        </w:numPr>
      </w:pPr>
      <w:r>
        <w:rPr>
          <w:rFonts w:hint="eastAsia"/>
        </w:rPr>
        <w:t xml:space="preserve">广告营销4只涨停，引力传媒2板；传媒净流入17.35亿元、AI应用上涨2.701%。</w:t>
      </w:r>
    </w:p>
    <w:p>
      <w:pPr>
        <w:pStyle w:val="Compact"/>
        <w:numPr>
          <w:ilvl w:val="0"/>
          <w:numId w:val="1010"/>
        </w:numPr>
      </w:pPr>
      <w:r>
        <w:rPr>
          <w:rFonts w:hint="eastAsia"/>
        </w:rPr>
        <w:t xml:space="preserve">黄金上涨2.887%，盛达资源2板，但赤峰黄金、兴业银锡分别开板21次、7次，分歧显著。</w:t>
      </w:r>
    </w:p>
    <w:bookmarkEnd w:id="37"/>
    <w:bookmarkStart w:id="38" w:name="第三层仅保留观察不进入新仓层"/>
    <w:p>
      <w:pPr>
        <w:pStyle w:val="Heading3"/>
      </w:pPr>
      <w:r>
        <w:t xml:space="preserve">🥉 </w:t>
      </w:r>
      <w:r>
        <w:rPr>
          <w:rFonts w:hint="eastAsia"/>
        </w:rPr>
        <w:t xml:space="preserve">第三层：仅保留观察，不进入新仓层</w:t>
      </w:r>
    </w:p>
    <w:p>
      <w:pPr>
        <w:pStyle w:val="Compact"/>
        <w:numPr>
          <w:ilvl w:val="0"/>
          <w:numId w:val="1011"/>
        </w:numPr>
      </w:pPr>
      <w:r>
        <w:rPr>
          <w:rFonts w:hint="eastAsia"/>
        </w:rPr>
        <w:t xml:space="preserve">元件、通信设备及CPO高成交核心持续净流出。</w:t>
      </w:r>
    </w:p>
    <w:p>
      <w:pPr>
        <w:pStyle w:val="Compact"/>
        <w:numPr>
          <w:ilvl w:val="0"/>
          <w:numId w:val="1011"/>
        </w:numPr>
      </w:pPr>
      <w:r>
        <w:rPr>
          <w:rFonts w:hint="eastAsia"/>
        </w:rPr>
        <w:t xml:space="preserve">妙想mx-xuangu筛出59只宽口径候选，但其状态明确要求再经情绪、主线、资金、量价和右侧趋势确认。</w:t>
      </w:r>
    </w:p>
    <w:p>
      <w:pPr>
        <w:pStyle w:val="Compact"/>
        <w:numPr>
          <w:ilvl w:val="0"/>
          <w:numId w:val="1011"/>
        </w:numPr>
      </w:pPr>
      <w:r>
        <w:rPr>
          <w:rFonts w:hint="eastAsia"/>
        </w:rPr>
        <w:t xml:space="preserve">该候选池没有完整TickFlow评级覆盖，不从候选名单直接推导买入结论。</w:t>
      </w:r>
    </w:p>
    <w:bookmarkEnd w:id="38"/>
    <w:bookmarkStart w:id="39" w:name="核心股右侧技术门禁"/>
    <w:p>
      <w:pPr>
        <w:pStyle w:val="Heading3"/>
      </w:pPr>
      <w:r>
        <w:t xml:space="preserve">🧭 </w:t>
      </w:r>
      <w:r>
        <w:rPr>
          <w:rFonts w:hint="eastAsia"/>
        </w:rPr>
        <w:t xml:space="preserve">核心股右侧技术门禁</w:t>
      </w:r>
    </w:p>
    <w:p>
      <w:pPr>
        <w:pStyle w:val="FirstParagraph"/>
      </w:pPr>
      <w:r>
        <w:rPr>
          <w:rFonts w:hint="eastAsia"/>
        </w:rPr>
        <w:t xml:space="preserve">TickFlow为免费日K技术校验，完成交易日截至2026-11-03，不是2026-11-05实时分时。评级不能根据上午价格自行重算。</w:t>
      </w:r>
    </w:p>
    <w:tbl>
      <w:tblPr>
        <w:tblStyle w:val="Table"/>
        <w:tblW w:type="pct" w:w="5000"/>
        <w:tblLayout w:type="fixed"/>
        <w:tblLook w:firstRow="1" w:lastRow="0" w:firstColumn="0" w:lastColumn="0" w:noHBand="0" w:noVBand="0" w:val="0020"/>
      </w:tblPr>
      <w:tblGrid>
        <w:gridCol w:w="1131"/>
        <w:gridCol w:w="1131"/>
        <w:gridCol w:w="1508"/>
        <w:gridCol w:w="1508"/>
        <w:gridCol w:w="1508"/>
        <w:gridCol w:w="1131"/>
      </w:tblGrid>
      <w:tr>
        <w:trPr>
          <w:tblHeader w:val="on"/>
        </w:trPr>
        <w:tc>
          <w:tcPr/>
          <w:p>
            <w:pPr>
              <w:pStyle w:val="Compact"/>
            </w:pPr>
            <w:r>
              <w:rPr>
                <w:rFonts w:hint="eastAsia"/>
              </w:rPr>
              <w:t xml:space="preserve">股票</w:t>
            </w:r>
          </w:p>
        </w:tc>
        <w:tc>
          <w:tcPr/>
          <w:p>
            <w:pPr>
              <w:pStyle w:val="Compact"/>
            </w:pPr>
            <w:r>
              <w:rPr>
                <w:rFonts w:hint="eastAsia"/>
              </w:rPr>
              <w:t xml:space="preserve">评级</w:t>
            </w:r>
          </w:p>
        </w:tc>
        <w:tc>
          <w:tcPr/>
          <w:p>
            <w:pPr>
              <w:pStyle w:val="Compact"/>
              <w:jc w:val="right"/>
            </w:pPr>
            <w:r>
              <w:t xml:space="preserve">MA20 / MA60</w:t>
            </w:r>
          </w:p>
        </w:tc>
        <w:tc>
          <w:tcPr/>
          <w:p>
            <w:pPr>
              <w:pStyle w:val="Compact"/>
              <w:jc w:val="right"/>
            </w:pPr>
            <w:r>
              <w:rPr>
                <w:rFonts w:hint="eastAsia"/>
              </w:rPr>
              <w:t xml:space="preserve">距60日高点</w:t>
            </w:r>
          </w:p>
        </w:tc>
        <w:tc>
          <w:tcPr/>
          <w:p>
            <w:pPr>
              <w:pStyle w:val="Compact"/>
              <w:jc w:val="right"/>
            </w:pPr>
            <w:r>
              <w:rPr>
                <w:rFonts w:hint="eastAsia"/>
              </w:rPr>
              <w:t xml:space="preserve">日K量比</w:t>
            </w:r>
          </w:p>
        </w:tc>
        <w:tc>
          <w:tcPr/>
          <w:p>
            <w:pPr>
              <w:pStyle w:val="Compact"/>
            </w:pPr>
            <w:r>
              <w:rPr>
                <w:rFonts w:hint="eastAsia"/>
              </w:rPr>
              <w:t xml:space="preserve">ATR证伪参考与行动</w:t>
            </w:r>
          </w:p>
        </w:tc>
      </w:tr>
      <w:tr>
        <w:tc>
          <w:tcPr/>
          <w:p>
            <w:pPr>
              <w:pStyle w:val="Compact"/>
            </w:pPr>
            <w:r>
              <w:rPr>
                <w:rFonts w:hint="eastAsia"/>
              </w:rPr>
              <w:t xml:space="preserve">浙文影业</w:t>
            </w:r>
          </w:p>
        </w:tc>
        <w:tc>
          <w:tcPr/>
          <w:p>
            <w:pPr>
              <w:pStyle w:val="Compact"/>
            </w:pPr>
            <w:r>
              <w:t xml:space="preserve">A</w:t>
            </w:r>
          </w:p>
        </w:tc>
        <w:tc>
          <w:tcPr/>
          <w:p>
            <w:pPr>
              <w:pStyle w:val="Compact"/>
              <w:jc w:val="right"/>
            </w:pPr>
            <w:r>
              <w:t xml:space="preserve">3.3250 / 3.2223</w:t>
            </w:r>
          </w:p>
        </w:tc>
        <w:tc>
          <w:tcPr/>
          <w:p>
            <w:pPr>
              <w:pStyle w:val="Compact"/>
              <w:jc w:val="right"/>
            </w:pPr>
            <w:r>
              <w:t xml:space="preserve">0.00%</w:t>
            </w:r>
          </w:p>
        </w:tc>
        <w:tc>
          <w:tcPr/>
          <w:p>
            <w:pPr>
              <w:pStyle w:val="Compact"/>
              <w:jc w:val="right"/>
            </w:pPr>
            <w:r>
              <w:t xml:space="preserve">0.80464</w:t>
            </w:r>
          </w:p>
        </w:tc>
        <w:tc>
          <w:tcPr/>
          <w:p>
            <w:pPr>
              <w:pStyle w:val="Compact"/>
            </w:pPr>
            <w:r>
              <w:rPr>
                <w:rFonts w:hint="eastAsia"/>
              </w:rPr>
              <w:t xml:space="preserve">3.243；不追高，等前高站稳或缩量回踩再放量</w:t>
            </w:r>
          </w:p>
        </w:tc>
      </w:tr>
      <w:tr>
        <w:tc>
          <w:tcPr/>
          <w:p>
            <w:pPr>
              <w:pStyle w:val="Compact"/>
            </w:pPr>
            <w:r>
              <w:rPr>
                <w:rFonts w:hint="eastAsia"/>
              </w:rPr>
              <w:t xml:space="preserve">永臻股份</w:t>
            </w:r>
          </w:p>
        </w:tc>
        <w:tc>
          <w:tcPr/>
          <w:p>
            <w:pPr>
              <w:pStyle w:val="Compact"/>
            </w:pPr>
            <w:r>
              <w:t xml:space="preserve">C</w:t>
            </w:r>
          </w:p>
        </w:tc>
        <w:tc>
          <w:tcPr/>
          <w:p>
            <w:pPr>
              <w:pStyle w:val="Compact"/>
              <w:jc w:val="right"/>
            </w:pPr>
            <w:r>
              <w:t xml:space="preserve">14.2880 / 14.7455</w:t>
            </w:r>
          </w:p>
        </w:tc>
        <w:tc>
          <w:tcPr/>
          <w:p>
            <w:pPr>
              <w:pStyle w:val="Compact"/>
              <w:jc w:val="right"/>
            </w:pPr>
            <w:r>
              <w:t xml:space="preserve">-1.33%</w:t>
            </w:r>
          </w:p>
        </w:tc>
        <w:tc>
          <w:tcPr/>
          <w:p>
            <w:pPr>
              <w:pStyle w:val="Compact"/>
              <w:jc w:val="right"/>
            </w:pPr>
            <w:r>
              <w:t xml:space="preserve">1.41523</w:t>
            </w:r>
          </w:p>
        </w:tc>
        <w:tc>
          <w:tcPr/>
          <w:p>
            <w:pPr>
              <w:pStyle w:val="Compact"/>
            </w:pPr>
            <w:r>
              <w:rPr>
                <w:rFonts w:hint="eastAsia"/>
              </w:rPr>
              <w:t xml:space="preserve">13.965；只观察，右侧条件确认前不开新仓</w:t>
            </w:r>
          </w:p>
        </w:tc>
      </w:tr>
      <w:tr>
        <w:tc>
          <w:tcPr/>
          <w:p>
            <w:pPr>
              <w:pStyle w:val="Compact"/>
            </w:pPr>
            <w:r>
              <w:rPr>
                <w:rFonts w:hint="eastAsia"/>
              </w:rPr>
              <w:t xml:space="preserve">宁德时代</w:t>
            </w:r>
          </w:p>
        </w:tc>
        <w:tc>
          <w:tcPr/>
          <w:p>
            <w:pPr>
              <w:pStyle w:val="Compact"/>
            </w:pPr>
            <w:r>
              <w:t xml:space="preserve">D</w:t>
            </w:r>
          </w:p>
        </w:tc>
        <w:tc>
          <w:tcPr/>
          <w:p>
            <w:pPr>
              <w:pStyle w:val="Compact"/>
              <w:jc w:val="right"/>
            </w:pPr>
            <w:r>
              <w:t xml:space="preserve">258.1180 / 322.5572</w:t>
            </w:r>
          </w:p>
        </w:tc>
        <w:tc>
          <w:tcPr/>
          <w:p>
            <w:pPr>
              <w:pStyle w:val="Compact"/>
              <w:jc w:val="right"/>
            </w:pPr>
            <w:r>
              <w:t xml:space="preserve">-38.47%</w:t>
            </w:r>
          </w:p>
        </w:tc>
        <w:tc>
          <w:tcPr/>
          <w:p>
            <w:pPr>
              <w:pStyle w:val="Compact"/>
              <w:jc w:val="right"/>
            </w:pPr>
            <w:r>
              <w:t xml:space="preserve">1.44458</w:t>
            </w:r>
          </w:p>
        </w:tc>
        <w:tc>
          <w:tcPr/>
          <w:p>
            <w:pPr>
              <w:pStyle w:val="Compact"/>
            </w:pPr>
            <w:r>
              <w:rPr>
                <w:rFonts w:hint="eastAsia"/>
              </w:rPr>
              <w:t xml:space="preserve">252.484；回避，重新站回MA20和MA60后复评</w:t>
            </w:r>
          </w:p>
        </w:tc>
      </w:tr>
      <w:tr>
        <w:tc>
          <w:tcPr/>
          <w:p>
            <w:pPr>
              <w:pStyle w:val="Compact"/>
            </w:pPr>
            <w:r>
              <w:rPr>
                <w:rFonts w:hint="eastAsia"/>
              </w:rPr>
              <w:t xml:space="preserve">阳光电源</w:t>
            </w:r>
          </w:p>
        </w:tc>
        <w:tc>
          <w:tcPr/>
          <w:p>
            <w:pPr>
              <w:pStyle w:val="Compact"/>
            </w:pPr>
            <w:r>
              <w:t xml:space="preserve">D</w:t>
            </w:r>
          </w:p>
        </w:tc>
        <w:tc>
          <w:tcPr/>
          <w:p>
            <w:pPr>
              <w:pStyle w:val="Compact"/>
              <w:jc w:val="right"/>
            </w:pPr>
            <w:r>
              <w:t xml:space="preserve">74.6075 / 90.5275</w:t>
            </w:r>
          </w:p>
        </w:tc>
        <w:tc>
          <w:tcPr/>
          <w:p>
            <w:pPr>
              <w:pStyle w:val="Compact"/>
              <w:jc w:val="right"/>
            </w:pPr>
            <w:r>
              <w:t xml:space="preserve">-36.94%</w:t>
            </w:r>
          </w:p>
        </w:tc>
        <w:tc>
          <w:tcPr/>
          <w:p>
            <w:pPr>
              <w:pStyle w:val="Compact"/>
              <w:jc w:val="right"/>
            </w:pPr>
            <w:r>
              <w:t xml:space="preserve">1.87127</w:t>
            </w:r>
          </w:p>
        </w:tc>
        <w:tc>
          <w:tcPr/>
          <w:p>
            <w:pPr>
              <w:pStyle w:val="Compact"/>
            </w:pPr>
            <w:r>
              <w:rPr>
                <w:rFonts w:hint="eastAsia"/>
              </w:rPr>
              <w:t xml:space="preserve">72.825；回避，重新站回MA20和MA60后复评</w:t>
            </w:r>
          </w:p>
        </w:tc>
      </w:tr>
      <w:tr>
        <w:tc>
          <w:tcPr/>
          <w:p>
            <w:pPr>
              <w:pStyle w:val="Compact"/>
            </w:pPr>
            <w:r>
              <w:rPr>
                <w:rFonts w:hint="eastAsia"/>
              </w:rPr>
              <w:t xml:space="preserve">中微公司</w:t>
            </w:r>
          </w:p>
        </w:tc>
        <w:tc>
          <w:tcPr/>
          <w:p>
            <w:pPr>
              <w:pStyle w:val="Compact"/>
            </w:pPr>
            <w:r>
              <w:t xml:space="preserve">D</w:t>
            </w:r>
          </w:p>
        </w:tc>
        <w:tc>
          <w:tcPr/>
          <w:p>
            <w:pPr>
              <w:pStyle w:val="Compact"/>
              <w:jc w:val="right"/>
            </w:pPr>
            <w:r>
              <w:t xml:space="preserve">270.1570 / 326.0905</w:t>
            </w:r>
          </w:p>
        </w:tc>
        <w:tc>
          <w:tcPr/>
          <w:p>
            <w:pPr>
              <w:pStyle w:val="Compact"/>
              <w:jc w:val="right"/>
            </w:pPr>
            <w:r>
              <w:t xml:space="preserve">-48.33%</w:t>
            </w:r>
          </w:p>
        </w:tc>
        <w:tc>
          <w:tcPr/>
          <w:p>
            <w:pPr>
              <w:pStyle w:val="Compact"/>
              <w:jc w:val="right"/>
            </w:pPr>
            <w:r>
              <w:t xml:space="preserve">1.06614</w:t>
            </w:r>
          </w:p>
        </w:tc>
        <w:tc>
          <w:tcPr/>
          <w:p>
            <w:pPr>
              <w:pStyle w:val="Compact"/>
            </w:pPr>
            <w:r>
              <w:rPr>
                <w:rFonts w:hint="eastAsia"/>
              </w:rPr>
              <w:t xml:space="preserve">262.218；回避，重新站回MA20和MA60后复评</w:t>
            </w:r>
          </w:p>
        </w:tc>
      </w:tr>
    </w:tbl>
    <w:p>
      <w:pPr>
        <w:pStyle w:val="Compact"/>
        <w:numPr>
          <w:ilvl w:val="0"/>
          <w:numId w:val="1012"/>
        </w:numPr>
      </w:pPr>
      <w:r>
        <w:rPr>
          <w:rFonts w:hint="eastAsia"/>
        </w:rPr>
        <w:t xml:space="preserve">16只重点股样本评级为A档1只、B档0只、C档1只、D档14只。</w:t>
      </w:r>
    </w:p>
    <w:p>
      <w:pPr>
        <w:pStyle w:val="Compact"/>
        <w:numPr>
          <w:ilvl w:val="0"/>
          <w:numId w:val="1012"/>
        </w:numPr>
      </w:pPr>
      <w:r>
        <w:rPr>
          <w:rFonts w:hint="eastAsia"/>
        </w:rPr>
        <w:t xml:space="preserve">A、B档同样禁止追涨；C档只能观察；D档继续回避。</w:t>
      </w:r>
    </w:p>
    <w:p>
      <w:pPr>
        <w:pStyle w:val="Compact"/>
        <w:numPr>
          <w:ilvl w:val="0"/>
          <w:numId w:val="1012"/>
        </w:numPr>
      </w:pPr>
      <w:r>
        <w:rPr>
          <w:rFonts w:hint="eastAsia"/>
        </w:rPr>
        <w:t xml:space="preserve">样本高于MA20比例25.0%、高于MA60比例12.5%，仅代表16只重点股样本，不能解释为全A股趋势宽度。</w:t>
      </w:r>
    </w:p>
    <w:p>
      <w:pPr>
        <w:pStyle w:val="Compact"/>
        <w:numPr>
          <w:ilvl w:val="0"/>
          <w:numId w:val="1012"/>
        </w:numPr>
      </w:pPr>
      <w:r>
        <w:rPr>
          <w:rFonts w:hint="eastAsia"/>
        </w:rPr>
        <w:t xml:space="preserve">TickFlow全市场概览因成交额与市场宽度字段返回零值而被判定为不完整快照，不估算、不纳入全市场趋势确认。</w:t>
      </w:r>
    </w:p>
    <w:bookmarkEnd w:id="39"/>
    <w:bookmarkStart w:id="40" w:name="关键涨停股逐只核对"/>
    <w:p>
      <w:pPr>
        <w:pStyle w:val="Heading3"/>
      </w:pPr>
      <w:r>
        <w:t xml:space="preserve">🔥 </w:t>
      </w:r>
      <w:r>
        <w:rPr>
          <w:rFonts w:hint="eastAsia"/>
        </w:rPr>
        <w:t xml:space="preserve">关键涨停股逐只核对</w:t>
      </w:r>
    </w:p>
    <w:p>
      <w:pPr>
        <w:pStyle w:val="FirstParagraph"/>
      </w:pPr>
      <w:r>
        <w:rPr>
          <w:rFonts w:hint="eastAsia"/>
        </w:rPr>
        <w:t xml:space="preserve">以下范围为四板、三板及光伏、半导体、广告营销、黄金主线代表股。</w:t>
      </w:r>
    </w:p>
    <w:p>
      <w:pPr>
        <w:pStyle w:val="Compact"/>
        <w:numPr>
          <w:ilvl w:val="0"/>
          <w:numId w:val="1013"/>
        </w:numPr>
      </w:pPr>
      <w:r>
        <w:rPr>
          <w:rFonts w:hint="eastAsia"/>
          <w:b/>
          <w:bCs/>
        </w:rPr>
        <w:t xml:space="preserve">闽发铝业（002578）</w:t>
      </w:r>
      <w:r>
        <w:rPr>
          <w:rFonts w:hint="eastAsia"/>
        </w:rPr>
        <w:t xml:space="preserve">：核心催化：东方财富涨停池确认其为工业金属方向4连板，KPL光伏上涨3.199%，妙想搜索收录的盘前主题线索将其归入光伏支架与金属方向；主要风险：2026三季报加权ROE仅0.18%，TickFlow截至11月3日评级D、MA60为3.8350、ATR证伪参考3.586，当前连板强度与历史右侧评级及盈利质量存在错配。</w:t>
      </w:r>
    </w:p>
    <w:p>
      <w:pPr>
        <w:pStyle w:val="Compact"/>
        <w:numPr>
          <w:ilvl w:val="0"/>
          <w:numId w:val="1013"/>
        </w:numPr>
      </w:pPr>
      <w:r>
        <w:rPr>
          <w:rFonts w:hint="eastAsia"/>
          <w:b/>
          <w:bCs/>
        </w:rPr>
        <w:t xml:space="preserve">浙文影业（601599）</w:t>
      </w:r>
      <w:r>
        <w:rPr>
          <w:rFonts w:hint="eastAsia"/>
        </w:rPr>
        <w:t xml:space="preserve">：核心催化：东方财富Choice确认其4连板，妙想搜索收录的华夏时报报道以短剧用户规模增长作为传媒线索，传媒板块上午净流入17.35亿元；主要风险：公司风险提示公告称生产经营正常、主业环境没有重大调整且不存在应披露而未披露的信息，当前PE</w:t>
      </w:r>
      <w:r>
        <w:t xml:space="preserve"> </w:t>
      </w:r>
      <w:r>
        <w:rPr>
          <w:rFonts w:hint="eastAsia"/>
        </w:rPr>
        <w:t xml:space="preserve">38.72倍、PB</w:t>
      </w:r>
      <w:r>
        <w:t xml:space="preserve"> </w:t>
      </w:r>
      <w:r>
        <w:rPr>
          <w:rFonts w:hint="eastAsia"/>
        </w:rPr>
        <w:t xml:space="preserve">3.24倍，A档技术评级也明确要求不追高。</w:t>
      </w:r>
    </w:p>
    <w:p>
      <w:pPr>
        <w:pStyle w:val="Compact"/>
        <w:numPr>
          <w:ilvl w:val="0"/>
          <w:numId w:val="1013"/>
        </w:numPr>
      </w:pPr>
      <w:r>
        <w:rPr>
          <w:rFonts w:hint="eastAsia"/>
          <w:b/>
          <w:bCs/>
        </w:rPr>
        <w:t xml:space="preserve">永臻股份（603381）</w:t>
      </w:r>
      <w:r>
        <w:rPr>
          <w:rFonts w:hint="eastAsia"/>
        </w:rPr>
        <w:t xml:space="preserve">：核心催化：光伏上涨3.199%、光伏设备净流入35.43亿元，板块形成14只涨停集群，该股晋级3板；主要风险：公司异常波动公告明确不存在应披露而未披露的重大信息，2026三季报营收同比下降27.14%，TickFlow评级C，只能观察。</w:t>
      </w:r>
    </w:p>
    <w:p>
      <w:pPr>
        <w:pStyle w:val="Compact"/>
        <w:numPr>
          <w:ilvl w:val="0"/>
          <w:numId w:val="1013"/>
        </w:numPr>
      </w:pPr>
      <w:r>
        <w:rPr>
          <w:rFonts w:hint="eastAsia"/>
          <w:b/>
          <w:bCs/>
        </w:rPr>
        <w:t xml:space="preserve">鲁阳节能（002088）</w:t>
      </w:r>
      <w:r>
        <w:rPr>
          <w:rFonts w:hint="eastAsia"/>
        </w:rPr>
        <w:t xml:space="preserve">：核心催化：东方财富涨停池确认其处于3板梯队，妙想搜索收录的市场线索将其归入锂电池方向，锂电池上午上涨2.821%；主要风险：该股上午开板2次、封单资金0.57亿元，且未进入本轮重点股F10和TickFlow样本，不估算估值与ATR，不纳入右侧确认。</w:t>
      </w:r>
    </w:p>
    <w:p>
      <w:pPr>
        <w:pStyle w:val="Compact"/>
        <w:numPr>
          <w:ilvl w:val="0"/>
          <w:numId w:val="1013"/>
        </w:numPr>
      </w:pPr>
      <w:r>
        <w:rPr>
          <w:rFonts w:hint="eastAsia"/>
          <w:b/>
          <w:bCs/>
        </w:rPr>
        <w:t xml:space="preserve">先导基电（600641）</w:t>
      </w:r>
      <w:r>
        <w:rPr>
          <w:rFonts w:hint="eastAsia"/>
        </w:rPr>
        <w:t xml:space="preserve">：核心催化：半导体板块净流入72.84亿元，该股2板且封单资金4.6708亿元，是半导体涨停集群的板块代表；主要风险：本轮重点股质量与TickFlow样本没有覆盖该股，缺少MA20、MA60、ATR和财务交叉结果，不估算、不纳入右侧参与条件。</w:t>
      </w:r>
    </w:p>
    <w:p>
      <w:pPr>
        <w:pStyle w:val="Compact"/>
        <w:numPr>
          <w:ilvl w:val="0"/>
          <w:numId w:val="1013"/>
        </w:numPr>
      </w:pPr>
      <w:r>
        <w:rPr>
          <w:rFonts w:hint="eastAsia"/>
          <w:b/>
          <w:bCs/>
        </w:rPr>
        <w:t xml:space="preserve">有研新材（600206）</w:t>
      </w:r>
      <w:r>
        <w:rPr>
          <w:rFonts w:hint="eastAsia"/>
        </w:rPr>
        <w:t xml:space="preserve">：核心催化：该股2板并获得5.62亿主力净流入，半导体板块同时净流入72.84亿元；主要风险：上午开板3次、换手率8.75%，封板反复显示分歧较大，且缺少本轮TickFlow评级，不根据涨停状态推算趋势安全性。</w:t>
      </w:r>
    </w:p>
    <w:p>
      <w:pPr>
        <w:pStyle w:val="Compact"/>
        <w:numPr>
          <w:ilvl w:val="0"/>
          <w:numId w:val="1013"/>
        </w:numPr>
      </w:pPr>
      <w:r>
        <w:rPr>
          <w:rFonts w:hint="eastAsia"/>
          <w:b/>
          <w:bCs/>
        </w:rPr>
        <w:t xml:space="preserve">贝特利（301697）</w:t>
      </w:r>
      <w:r>
        <w:rPr>
          <w:rFonts w:hint="eastAsia"/>
        </w:rPr>
        <w:t xml:space="preserve">：核心催化：光伏形成14只涨停集群，该股以19.98%涨幅晋级2板；主要风险：换手率22.94%、PE</w:t>
      </w:r>
      <w:r>
        <w:t xml:space="preserve"> </w:t>
      </w:r>
      <w:r>
        <w:rPr>
          <w:rFonts w:hint="eastAsia"/>
        </w:rPr>
        <w:t xml:space="preserve">56.25倍、PB</w:t>
      </w:r>
      <w:r>
        <w:t xml:space="preserve"> </w:t>
      </w:r>
      <w:r>
        <w:rPr>
          <w:rFonts w:hint="eastAsia"/>
        </w:rPr>
        <w:t xml:space="preserve">4.82倍，属于高换手拥挤品种，且没有TickFlow右侧评级支持。</w:t>
      </w:r>
    </w:p>
    <w:p>
      <w:pPr>
        <w:pStyle w:val="Compact"/>
        <w:numPr>
          <w:ilvl w:val="0"/>
          <w:numId w:val="1013"/>
        </w:numPr>
      </w:pPr>
      <w:r>
        <w:rPr>
          <w:rFonts w:hint="eastAsia"/>
          <w:b/>
          <w:bCs/>
        </w:rPr>
        <w:t xml:space="preserve">引力传媒（603598）</w:t>
      </w:r>
      <w:r>
        <w:rPr>
          <w:rFonts w:hint="eastAsia"/>
        </w:rPr>
        <w:t xml:space="preserve">：核心催化：AI应用上涨2.701%、传媒净流入17.35亿元，广告营销形成4股涨停集群，该股晋级2板；主要风险：PE</w:t>
      </w:r>
      <w:r>
        <w:t xml:space="preserve"> </w:t>
      </w:r>
      <w:r>
        <w:rPr>
          <w:rFonts w:hint="eastAsia"/>
        </w:rPr>
        <w:t xml:space="preserve">305.57倍、PB</w:t>
      </w:r>
      <w:r>
        <w:t xml:space="preserve"> </w:t>
      </w:r>
      <w:r>
        <w:rPr>
          <w:rFonts w:hint="eastAsia"/>
        </w:rPr>
        <w:t xml:space="preserve">24.76倍，估值拥挤明显，炸板率39.6%的市场环境会放大高位回撤。</w:t>
      </w:r>
    </w:p>
    <w:p>
      <w:pPr>
        <w:pStyle w:val="Compact"/>
        <w:numPr>
          <w:ilvl w:val="0"/>
          <w:numId w:val="1013"/>
        </w:numPr>
      </w:pPr>
      <w:r>
        <w:rPr>
          <w:rFonts w:hint="eastAsia"/>
          <w:b/>
          <w:bCs/>
        </w:rPr>
        <w:t xml:space="preserve">盛达资源（000603）</w:t>
      </w:r>
      <w:r>
        <w:rPr>
          <w:rFonts w:hint="eastAsia"/>
        </w:rPr>
        <w:t xml:space="preserve">：核心催化：黄金上涨2.887%，该股晋级2板并获得贵金属方向的板块共振；主要风险：上午开板1次，TickFlow截至11月3日评级D、MA20为26.2500、MA60为31.5732、ATR证伪参考25.475，只有重新满足右侧条件后才可复评。</w:t>
      </w:r>
    </w:p>
    <w:p>
      <w:pPr>
        <w:pStyle w:val="FirstParagraph"/>
      </w:pPr>
      <w:r>
        <w:rPr>
          <w:rStyle w:val="VerbatimChar"/>
        </w:rPr>
        <w:t xml:space="preserve">derived.limit_reason_analysis</w:t>
      </w:r>
      <w:r>
        <w:rPr>
          <w:rFonts w:hint="eastAsia"/>
        </w:rPr>
        <w:t xml:space="preserve">因交易日期适配原因没有形成可用结果，因此上述催化仅采用涨停池、资金榜、板块行情、公司公告及妙想搜索存档，不推测缺失的涨停原因标签。</w:t>
      </w:r>
    </w:p>
    <w:bookmarkEnd w:id="40"/>
    <w:bookmarkEnd w:id="41"/>
    <w:bookmarkStart w:id="44" w:name="下午仓位模型"/>
    <w:p>
      <w:pPr>
        <w:pStyle w:val="Heading2"/>
      </w:pPr>
      <w:r>
        <w:t xml:space="preserve">🧮 </w:t>
      </w:r>
      <w:r>
        <w:rPr>
          <w:rFonts w:hint="eastAsia"/>
        </w:rPr>
        <w:t xml:space="preserve">下午仓位模型</w:t>
      </w:r>
    </w:p>
    <w:bookmarkStart w:id="42" w:name="量化调整项"/>
    <w:p>
      <w:pPr>
        <w:pStyle w:val="Heading3"/>
      </w:pPr>
      <w:r>
        <w:t xml:space="preserve">🧮 </w:t>
      </w:r>
      <w:r>
        <w:rPr>
          <w:rFonts w:hint="eastAsia"/>
        </w:rPr>
        <w:t xml:space="preserve">量化调整项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指标</w:t>
            </w:r>
          </w:p>
        </w:tc>
        <w:tc>
          <w:tcPr/>
          <w:p>
            <w:pPr>
              <w:pStyle w:val="Compact"/>
              <w:jc w:val="right"/>
            </w:pPr>
            <w:r>
              <w:rPr>
                <w:rFonts w:hint="eastAsia"/>
              </w:rPr>
              <w:t xml:space="preserve">当前值</w:t>
            </w:r>
          </w:p>
        </w:tc>
        <w:tc>
          <w:tcPr/>
          <w:p>
            <w:pPr>
              <w:pStyle w:val="Compact"/>
              <w:jc w:val="right"/>
            </w:pPr>
            <w:r>
              <w:rPr>
                <w:rFonts w:hint="eastAsia"/>
              </w:rPr>
              <w:t xml:space="preserve">仓位调整</w:t>
            </w:r>
          </w:p>
        </w:tc>
      </w:tr>
      <w:tr>
        <w:tc>
          <w:tcPr/>
          <w:p>
            <w:pPr>
              <w:pStyle w:val="Compact"/>
            </w:pPr>
            <w:r>
              <w:rPr>
                <w:rFonts w:hint="eastAsia"/>
              </w:rPr>
              <w:t xml:space="preserve">涨跌比</w:t>
            </w:r>
          </w:p>
        </w:tc>
        <w:tc>
          <w:tcPr/>
          <w:p>
            <w:pPr>
              <w:pStyle w:val="Compact"/>
              <w:jc w:val="right"/>
            </w:pPr>
            <w:r>
              <w:t xml:space="preserve">7.089</w:t>
            </w:r>
          </w:p>
        </w:tc>
        <w:tc>
          <w:tcPr/>
          <w:p>
            <w:pPr>
              <w:pStyle w:val="Compact"/>
              <w:jc w:val="right"/>
            </w:pPr>
            <w:r>
              <w:rPr>
                <w:rFonts w:hint="eastAsia"/>
              </w:rPr>
              <w:t xml:space="preserve">+10个百分点</w:t>
            </w:r>
          </w:p>
        </w:tc>
      </w:tr>
      <w:tr>
        <w:tc>
          <w:tcPr/>
          <w:p>
            <w:pPr>
              <w:pStyle w:val="Compact"/>
            </w:pPr>
            <w:r>
              <w:rPr>
                <w:rFonts w:hint="eastAsia"/>
              </w:rPr>
              <w:t xml:space="preserve">炸板率</w:t>
            </w:r>
          </w:p>
        </w:tc>
        <w:tc>
          <w:tcPr/>
          <w:p>
            <w:pPr>
              <w:pStyle w:val="Compact"/>
              <w:jc w:val="right"/>
            </w:pPr>
            <w:r>
              <w:t xml:space="preserve">39.6%</w:t>
            </w:r>
          </w:p>
        </w:tc>
        <w:tc>
          <w:tcPr/>
          <w:p>
            <w:pPr>
              <w:pStyle w:val="Compact"/>
              <w:jc w:val="right"/>
            </w:pPr>
            <w:r>
              <w:rPr>
                <w:rFonts w:hint="eastAsia"/>
              </w:rPr>
              <w:t xml:space="preserve">-15个百分点</w:t>
            </w:r>
          </w:p>
        </w:tc>
      </w:tr>
      <w:tr>
        <w:tc>
          <w:tcPr/>
          <w:p>
            <w:pPr>
              <w:pStyle w:val="Compact"/>
            </w:pPr>
            <w:r>
              <w:rPr>
                <w:rFonts w:hint="eastAsia"/>
              </w:rPr>
              <w:t xml:space="preserve">跌停数</w:t>
            </w:r>
          </w:p>
        </w:tc>
        <w:tc>
          <w:tcPr/>
          <w:p>
            <w:pPr>
              <w:pStyle w:val="Compact"/>
              <w:jc w:val="right"/>
            </w:pPr>
            <w:r>
              <w:t xml:space="preserve">0</w:t>
            </w:r>
          </w:p>
        </w:tc>
        <w:tc>
          <w:tcPr/>
          <w:p>
            <w:pPr>
              <w:pStyle w:val="Compact"/>
              <w:jc w:val="right"/>
            </w:pPr>
            <w:r>
              <w:rPr>
                <w:rFonts w:hint="eastAsia"/>
              </w:rPr>
              <w:t xml:space="preserve">0个百分点</w:t>
            </w:r>
          </w:p>
        </w:tc>
      </w:tr>
      <w:tr>
        <w:tc>
          <w:tcPr/>
          <w:p>
            <w:pPr>
              <w:pStyle w:val="Compact"/>
            </w:pPr>
            <w:r>
              <w:rPr>
                <w:rFonts w:hint="eastAsia"/>
              </w:rPr>
              <w:t xml:space="preserve">全市场成交额变化</w:t>
            </w:r>
          </w:p>
        </w:tc>
        <w:tc>
          <w:tcPr/>
          <w:p>
            <w:pPr>
              <w:pStyle w:val="Compact"/>
              <w:jc w:val="right"/>
            </w:pPr>
            <w:r>
              <w:t xml:space="preserve">-28.04%</w:t>
            </w:r>
          </w:p>
        </w:tc>
        <w:tc>
          <w:tcPr/>
          <w:p>
            <w:pPr>
              <w:pStyle w:val="Compact"/>
              <w:jc w:val="right"/>
            </w:pPr>
            <w:r>
              <w:rPr>
                <w:rFonts w:hint="eastAsia"/>
              </w:rPr>
              <w:t xml:space="preserve">-8个百分点</w:t>
            </w:r>
          </w:p>
        </w:tc>
      </w:tr>
    </w:tbl>
    <w:p>
      <w:pPr>
        <w:pStyle w:val="Compact"/>
        <w:numPr>
          <w:ilvl w:val="0"/>
          <w:numId w:val="1014"/>
        </w:numPr>
      </w:pPr>
      <w:r>
        <w:rPr>
          <w:rFonts w:hint="eastAsia"/>
        </w:rPr>
        <w:t xml:space="preserve">模型最高仓位仍为50%，不是必须达到的目标仓位。</w:t>
      </w:r>
    </w:p>
    <w:p>
      <w:pPr>
        <w:pStyle w:val="Compact"/>
        <w:numPr>
          <w:ilvl w:val="0"/>
          <w:numId w:val="1014"/>
        </w:numPr>
      </w:pPr>
      <w:r>
        <w:rPr>
          <w:rFonts w:hint="eastAsia"/>
        </w:rPr>
        <w:t xml:space="preserve">明显缩量与高炸板率合计形成23个百分点减分，抵消普涨带来的10个百分点加分。</w:t>
      </w:r>
    </w:p>
    <w:p>
      <w:pPr>
        <w:pStyle w:val="Compact"/>
        <w:numPr>
          <w:ilvl w:val="0"/>
          <w:numId w:val="1014"/>
        </w:numPr>
      </w:pPr>
      <w:r>
        <w:rPr>
          <w:rFonts w:hint="eastAsia"/>
        </w:rPr>
        <w:t xml:space="preserve">午后默认采用均衡档，不因宽基ETF历史连续流入或预测成交额提高仓位。</w:t>
      </w:r>
    </w:p>
    <w:bookmarkEnd w:id="42"/>
    <w:bookmarkStart w:id="43" w:name="三档仓位"/>
    <w:p>
      <w:pPr>
        <w:pStyle w:val="Heading3"/>
      </w:pPr>
      <w:r>
        <w:t xml:space="preserve">💡 </w:t>
      </w:r>
      <w:r>
        <w:rPr>
          <w:rFonts w:hint="eastAsia"/>
        </w:rPr>
        <w:t xml:space="preserve">三档仓位</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rPr>
                <w:rFonts w:hint="eastAsia"/>
              </w:rPr>
              <w:t xml:space="preserve">风格</w:t>
            </w:r>
          </w:p>
        </w:tc>
        <w:tc>
          <w:tcPr/>
          <w:p>
            <w:pPr>
              <w:pStyle w:val="Compact"/>
              <w:jc w:val="right"/>
            </w:pPr>
            <w:r>
              <w:rPr>
                <w:rFonts w:hint="eastAsia"/>
              </w:rPr>
              <w:t xml:space="preserve">仓位</w:t>
            </w:r>
          </w:p>
        </w:tc>
        <w:tc>
          <w:tcPr/>
          <w:p>
            <w:pPr>
              <w:pStyle w:val="Compact"/>
            </w:pPr>
            <w:r>
              <w:rPr>
                <w:rFonts w:hint="eastAsia"/>
              </w:rPr>
              <w:t xml:space="preserve">使用条件</w:t>
            </w:r>
          </w:p>
        </w:tc>
      </w:tr>
      <w:tr>
        <w:tc>
          <w:tcPr/>
          <w:p>
            <w:pPr>
              <w:pStyle w:val="Compact"/>
            </w:pPr>
            <w:r>
              <w:rPr>
                <w:rFonts w:hint="eastAsia"/>
              </w:rPr>
              <w:t xml:space="preserve">进取档</w:t>
            </w:r>
          </w:p>
        </w:tc>
        <w:tc>
          <w:tcPr/>
          <w:p>
            <w:pPr>
              <w:pStyle w:val="Compact"/>
              <w:jc w:val="right"/>
            </w:pPr>
            <w:r>
              <w:t xml:space="preserve">37%</w:t>
            </w:r>
          </w:p>
        </w:tc>
        <w:tc>
          <w:tcPr/>
          <w:p>
            <w:pPr>
              <w:pStyle w:val="Compact"/>
            </w:pPr>
            <w:r>
              <w:rPr>
                <w:rFonts w:hint="eastAsia"/>
              </w:rPr>
              <w:t xml:space="preserve">封板率恢复至70%以上、炸板率降至30%以下，主线资金继续流入</w:t>
            </w:r>
          </w:p>
        </w:tc>
      </w:tr>
      <w:tr>
        <w:tc>
          <w:tcPr/>
          <w:p>
            <w:pPr>
              <w:pStyle w:val="Compact"/>
            </w:pPr>
            <w:r>
              <w:rPr>
                <w:rFonts w:hint="eastAsia"/>
              </w:rPr>
              <w:t xml:space="preserve">均衡档</w:t>
            </w:r>
          </w:p>
        </w:tc>
        <w:tc>
          <w:tcPr/>
          <w:p>
            <w:pPr>
              <w:pStyle w:val="Compact"/>
              <w:jc w:val="right"/>
            </w:pPr>
            <w:r>
              <w:t xml:space="preserve">27%</w:t>
            </w:r>
          </w:p>
        </w:tc>
        <w:tc>
          <w:tcPr/>
          <w:p>
            <w:pPr>
              <w:pStyle w:val="Compact"/>
            </w:pPr>
            <w:r>
              <w:rPr>
                <w:rFonts w:hint="eastAsia"/>
              </w:rPr>
              <w:t xml:space="preserve">当前默认；指数维持修复，但高位分歧和成交额质量仍受约束</w:t>
            </w:r>
          </w:p>
        </w:tc>
      </w:tr>
      <w:tr>
        <w:tc>
          <w:tcPr/>
          <w:p>
            <w:pPr>
              <w:pStyle w:val="Compact"/>
            </w:pPr>
            <w:r>
              <w:rPr>
                <w:rFonts w:hint="eastAsia"/>
              </w:rPr>
              <w:t xml:space="preserve">保守档</w:t>
            </w:r>
          </w:p>
        </w:tc>
        <w:tc>
          <w:tcPr/>
          <w:p>
            <w:pPr>
              <w:pStyle w:val="Compact"/>
              <w:jc w:val="right"/>
            </w:pPr>
            <w:r>
              <w:t xml:space="preserve">12%</w:t>
            </w:r>
          </w:p>
        </w:tc>
        <w:tc>
          <w:tcPr/>
          <w:p>
            <w:pPr>
              <w:pStyle w:val="Compact"/>
            </w:pPr>
            <w:r>
              <w:rPr>
                <w:rFonts w:hint="eastAsia"/>
              </w:rPr>
              <w:t xml:space="preserve">CPO与元件继续扩大跌幅、板块流入转弱或午后炸板扩散</w:t>
            </w:r>
          </w:p>
        </w:tc>
      </w:tr>
    </w:tbl>
    <w:bookmarkEnd w:id="43"/>
    <w:bookmarkEnd w:id="44"/>
    <w:bookmarkStart w:id="49" w:name="下午回避清单"/>
    <w:p>
      <w:pPr>
        <w:pStyle w:val="Heading2"/>
      </w:pPr>
      <w:r>
        <w:t xml:space="preserve">⛔ </w:t>
      </w:r>
      <w:r>
        <w:rPr>
          <w:rFonts w:hint="eastAsia"/>
        </w:rPr>
        <w:t xml:space="preserve">下午回避清单</w:t>
      </w:r>
    </w:p>
    <w:bookmarkStart w:id="45" w:name="资金流出方向"/>
    <w:p>
      <w:pPr>
        <w:pStyle w:val="Heading3"/>
      </w:pPr>
      <w:r>
        <w:t xml:space="preserve">🟢 </w:t>
      </w:r>
      <w:r>
        <w:rPr>
          <w:rFonts w:hint="eastAsia"/>
        </w:rPr>
        <w:t xml:space="preserve">资金流出方向</w:t>
      </w:r>
    </w:p>
    <w:p>
      <w:pPr>
        <w:pStyle w:val="Compact"/>
        <w:numPr>
          <w:ilvl w:val="0"/>
          <w:numId w:val="1015"/>
        </w:numPr>
      </w:pPr>
      <w:r>
        <w:rPr>
          <w:rFonts w:hint="eastAsia"/>
        </w:rPr>
        <w:t xml:space="preserve">元件、通信设备、证券Ⅱ、煤炭开采、航运港口。</w:t>
      </w:r>
    </w:p>
    <w:p>
      <w:pPr>
        <w:pStyle w:val="Compact"/>
        <w:numPr>
          <w:ilvl w:val="0"/>
          <w:numId w:val="1015"/>
        </w:numPr>
      </w:pPr>
      <w:r>
        <w:rPr>
          <w:rFonts w:hint="eastAsia"/>
        </w:rPr>
        <w:t xml:space="preserve">中际旭创、长鑫科技、新易盛、东山精密、云南锗业。</w:t>
      </w:r>
    </w:p>
    <w:p>
      <w:pPr>
        <w:pStyle w:val="Compact"/>
        <w:numPr>
          <w:ilvl w:val="0"/>
          <w:numId w:val="1015"/>
        </w:numPr>
      </w:pPr>
      <w:r>
        <w:rPr>
          <w:rFonts w:hint="eastAsia"/>
        </w:rPr>
        <w:t xml:space="preserve">兆易创新、沪电股份、东方财富、生益科技、工业富联。</w:t>
      </w:r>
    </w:p>
    <w:p>
      <w:pPr>
        <w:pStyle w:val="Compact"/>
        <w:numPr>
          <w:ilvl w:val="0"/>
          <w:numId w:val="1015"/>
        </w:numPr>
      </w:pPr>
      <w:r>
        <w:rPr>
          <w:rFonts w:hint="eastAsia"/>
        </w:rPr>
        <w:t xml:space="preserve">除非午后出现资金方向逆转和价格止跌，否则不因跌幅扩大直接抄底。</w:t>
      </w:r>
    </w:p>
    <w:bookmarkEnd w:id="45"/>
    <w:bookmarkStart w:id="46" w:name="tickflow-d档重点股"/>
    <w:p>
      <w:pPr>
        <w:pStyle w:val="Heading3"/>
      </w:pPr>
      <w:r>
        <w:t xml:space="preserve">🟢 TickFlow </w:t>
      </w:r>
      <w:r>
        <w:rPr>
          <w:rFonts w:hint="eastAsia"/>
        </w:rPr>
        <w:t xml:space="preserve">D档重点股</w:t>
      </w:r>
    </w:p>
    <w:p>
      <w:pPr>
        <w:pStyle w:val="FirstParagraph"/>
      </w:pPr>
      <w:r>
        <w:rPr>
          <w:rFonts w:hint="eastAsia"/>
        </w:rPr>
        <w:t xml:space="preserve">中际旭创、新易盛、宁德时代、长鑫科技、东山精密、阳光电源、中微公司、兆易创新、北方华创、寒武纪、深中华A、金螳螂、闽发铝业、盛达资源。</w:t>
      </w:r>
    </w:p>
    <w:p>
      <w:pPr>
        <w:pStyle w:val="BodyText"/>
      </w:pPr>
      <w:r>
        <w:rPr>
          <w:rFonts w:hint="eastAsia"/>
        </w:rPr>
        <w:t xml:space="preserve">以上评级截至2026-11-03；即使上午价格反弹，也不能在缺少新日K确认的情况下自动升级。</w:t>
      </w:r>
    </w:p>
    <w:bookmarkEnd w:id="46"/>
    <w:bookmarkStart w:id="47" w:name="高位与高拥挤品种"/>
    <w:p>
      <w:pPr>
        <w:pStyle w:val="Heading3"/>
      </w:pPr>
      <w:r>
        <w:t xml:space="preserve">🟢 </w:t>
      </w:r>
      <w:r>
        <w:rPr>
          <w:rFonts w:hint="eastAsia"/>
        </w:rPr>
        <w:t xml:space="preserve">高位与高拥挤品种</w:t>
      </w:r>
    </w:p>
    <w:p>
      <w:pPr>
        <w:pStyle w:val="Compact"/>
        <w:numPr>
          <w:ilvl w:val="0"/>
          <w:numId w:val="1016"/>
        </w:numPr>
      </w:pPr>
      <w:r>
        <w:rPr>
          <w:rFonts w:hint="eastAsia"/>
        </w:rPr>
        <w:t xml:space="preserve">闽发铝业、浙文影业处于4板，永臻股份、鲁阳节能处于3板。</w:t>
      </w:r>
    </w:p>
    <w:p>
      <w:pPr>
        <w:pStyle w:val="Compact"/>
        <w:numPr>
          <w:ilvl w:val="0"/>
          <w:numId w:val="1016"/>
        </w:numPr>
      </w:pPr>
      <w:r>
        <w:rPr>
          <w:rFonts w:hint="eastAsia"/>
        </w:rPr>
        <w:t xml:space="preserve">贝特利换手率22.94%，引力传媒PE</w:t>
      </w:r>
      <w:r>
        <w:t xml:space="preserve"> </w:t>
      </w:r>
      <w:r>
        <w:rPr>
          <w:rFonts w:hint="eastAsia"/>
        </w:rPr>
        <w:t xml:space="preserve">305.57倍、PB</w:t>
      </w:r>
      <w:r>
        <w:t xml:space="preserve"> </w:t>
      </w:r>
      <w:r>
        <w:rPr>
          <w:rFonts w:hint="eastAsia"/>
        </w:rPr>
        <w:t xml:space="preserve">24.76倍。</w:t>
      </w:r>
    </w:p>
    <w:p>
      <w:pPr>
        <w:pStyle w:val="Compact"/>
        <w:numPr>
          <w:ilvl w:val="0"/>
          <w:numId w:val="1016"/>
        </w:numPr>
      </w:pPr>
      <w:r>
        <w:rPr>
          <w:rFonts w:hint="eastAsia"/>
        </w:rPr>
        <w:t xml:space="preserve">深中华A</w:t>
      </w:r>
      <w:r>
        <w:t xml:space="preserve"> PE </w:t>
      </w:r>
      <w:r>
        <w:rPr>
          <w:rFonts w:hint="eastAsia"/>
        </w:rPr>
        <w:t xml:space="preserve">227.95倍、PB</w:t>
      </w:r>
      <w:r>
        <w:t xml:space="preserve"> </w:t>
      </w:r>
      <w:r>
        <w:rPr>
          <w:rFonts w:hint="eastAsia"/>
        </w:rPr>
        <w:t xml:space="preserve">12.27倍，历史技术评级为D。</w:t>
      </w:r>
    </w:p>
    <w:p>
      <w:pPr>
        <w:pStyle w:val="Compact"/>
        <w:numPr>
          <w:ilvl w:val="0"/>
          <w:numId w:val="1016"/>
        </w:numPr>
      </w:pPr>
      <w:r>
        <w:rPr>
          <w:rFonts w:hint="eastAsia"/>
        </w:rPr>
        <w:t xml:space="preserve">高位股只有观察价值，不以连板高度替代基本面和右侧趋势门禁。</w:t>
      </w:r>
    </w:p>
    <w:bookmarkEnd w:id="47"/>
    <w:bookmarkStart w:id="48" w:name="炸板大振幅风险股"/>
    <w:p>
      <w:pPr>
        <w:pStyle w:val="Heading3"/>
      </w:pPr>
      <w:r>
        <w:t xml:space="preserve">🟢 </w:t>
      </w:r>
      <w:r>
        <w:rPr>
          <w:rFonts w:hint="eastAsia"/>
        </w:rPr>
        <w:t xml:space="preserve">炸板大振幅风险股</w:t>
      </w:r>
    </w:p>
    <w:p>
      <w:pPr>
        <w:pStyle w:val="Compact"/>
        <w:numPr>
          <w:ilvl w:val="0"/>
          <w:numId w:val="1017"/>
        </w:numPr>
      </w:pPr>
      <w:r>
        <w:rPr>
          <w:rFonts w:hint="eastAsia"/>
        </w:rPr>
        <w:t xml:space="preserve">光洋股份：触板后涨幅回落至4.81%，振幅18.17%。</w:t>
      </w:r>
    </w:p>
    <w:p>
      <w:pPr>
        <w:pStyle w:val="Compact"/>
        <w:numPr>
          <w:ilvl w:val="0"/>
          <w:numId w:val="1017"/>
        </w:numPr>
      </w:pPr>
      <w:r>
        <w:rPr>
          <w:rFonts w:hint="eastAsia"/>
        </w:rPr>
        <w:t xml:space="preserve">朝阳科技：触板后涨幅回落至3.08%，振幅12.62%。</w:t>
      </w:r>
    </w:p>
    <w:p>
      <w:pPr>
        <w:pStyle w:val="Compact"/>
        <w:numPr>
          <w:ilvl w:val="0"/>
          <w:numId w:val="1017"/>
        </w:numPr>
      </w:pPr>
      <w:r>
        <w:rPr>
          <w:rFonts w:hint="eastAsia"/>
        </w:rPr>
        <w:t xml:space="preserve">星光股份：触板后涨幅回落至4.10%，振幅11.79%。</w:t>
      </w:r>
    </w:p>
    <w:p>
      <w:pPr>
        <w:pStyle w:val="Compact"/>
        <w:numPr>
          <w:ilvl w:val="0"/>
          <w:numId w:val="1017"/>
        </w:numPr>
      </w:pPr>
      <w:r>
        <w:rPr>
          <w:rFonts w:hint="eastAsia"/>
        </w:rPr>
        <w:t xml:space="preserve">国际实业：触板后涨幅回落至4.89%，振幅10.43%。</w:t>
      </w:r>
    </w:p>
    <w:p>
      <w:pPr>
        <w:pStyle w:val="Compact"/>
        <w:numPr>
          <w:ilvl w:val="0"/>
          <w:numId w:val="1017"/>
        </w:numPr>
      </w:pPr>
      <w:r>
        <w:rPr>
          <w:rFonts w:hint="eastAsia"/>
        </w:rPr>
        <w:t xml:space="preserve">赤峰黄金上午开板21次，瑞芯微开板6次，均不按接近涨停直接推导强势延续。</w:t>
      </w:r>
    </w:p>
    <w:bookmarkEnd w:id="48"/>
    <w:bookmarkEnd w:id="49"/>
    <w:bookmarkStart w:id="50" w:name="风险提示"/>
    <w:p>
      <w:pPr>
        <w:pStyle w:val="Heading2"/>
      </w:pPr>
      <w:r>
        <w:t xml:space="preserve">⚠️ </w:t>
      </w:r>
      <w:r>
        <w:rPr>
          <w:rFonts w:hint="eastAsia"/>
        </w:rPr>
        <w:t xml:space="preserve">风险提示</w:t>
      </w:r>
    </w:p>
    <w:p>
      <w:pPr>
        <w:pStyle w:val="Compact"/>
        <w:numPr>
          <w:ilvl w:val="0"/>
          <w:numId w:val="1018"/>
        </w:numPr>
      </w:pPr>
      <w:r>
        <w:rPr>
          <w:rFonts w:hint="eastAsia"/>
        </w:rPr>
        <w:t xml:space="preserve">资金四榜为11:46半日快照，午后排名和金额仍会变化，不能视为全天结论。</w:t>
      </w:r>
    </w:p>
    <w:p>
      <w:pPr>
        <w:pStyle w:val="Compact"/>
        <w:numPr>
          <w:ilvl w:val="0"/>
          <w:numId w:val="1018"/>
        </w:numPr>
      </w:pPr>
      <w:r>
        <w:rPr>
          <w:rFonts w:hint="eastAsia"/>
        </w:rPr>
        <w:t xml:space="preserve">QVIX记录时间晚于报告生成时间，本报告不估算午间值，也不把该数值作为下午加仓证据。</w:t>
      </w:r>
    </w:p>
    <w:p>
      <w:pPr>
        <w:pStyle w:val="Compact"/>
        <w:numPr>
          <w:ilvl w:val="0"/>
          <w:numId w:val="1018"/>
        </w:numPr>
      </w:pPr>
      <w:r>
        <w:rPr>
          <w:rFonts w:hint="eastAsia"/>
        </w:rPr>
        <w:t xml:space="preserve">TickFlow重点股技术数据截至11月3日，仅用于日K门禁校验，不是上午实时分时。</w:t>
      </w:r>
    </w:p>
    <w:p>
      <w:pPr>
        <w:pStyle w:val="Compact"/>
        <w:numPr>
          <w:ilvl w:val="0"/>
          <w:numId w:val="1018"/>
        </w:numPr>
      </w:pPr>
      <w:r>
        <w:rPr>
          <w:rFonts w:hint="eastAsia"/>
        </w:rPr>
        <w:t xml:space="preserve">TickFlow全市场快照因成交额和宽度数据不完整而停用；全市场涨跌分布采用同花顺数据，不用重点股样本替代。</w:t>
      </w:r>
    </w:p>
    <w:p>
      <w:pPr>
        <w:pStyle w:val="Compact"/>
        <w:numPr>
          <w:ilvl w:val="0"/>
          <w:numId w:val="1018"/>
        </w:numPr>
      </w:pPr>
      <w:r>
        <w:rPr>
          <w:rFonts w:hint="eastAsia"/>
        </w:rPr>
        <w:t xml:space="preserve">本轮没有龙虎榜逐席位数据，不对机构席位、游资席位或席位合力作推断。</w:t>
      </w:r>
    </w:p>
    <w:p>
      <w:pPr>
        <w:pStyle w:val="Compact"/>
        <w:numPr>
          <w:ilvl w:val="0"/>
          <w:numId w:val="1018"/>
        </w:numPr>
      </w:pPr>
      <w:r>
        <w:rPr>
          <w:rFonts w:hint="eastAsia"/>
        </w:rPr>
        <w:t xml:space="preserve">涨停原因结构化分析没有形成可用结果，缺失部分不估算、不纳入确认。</w:t>
      </w:r>
    </w:p>
    <w:p>
      <w:pPr>
        <w:pStyle w:val="Compact"/>
        <w:numPr>
          <w:ilvl w:val="0"/>
          <w:numId w:val="1018"/>
        </w:numPr>
      </w:pPr>
      <w:r>
        <w:rPr>
          <w:rFonts w:hint="eastAsia"/>
        </w:rPr>
        <w:t xml:space="preserve">报告只用于市场研究与风险管理，不构成收益承诺或直接交易指令。</w:t>
      </w:r>
    </w:p>
    <w:p>
      <w:pPr>
        <w:pStyle w:val="BlockText"/>
      </w:pPr>
      <w:r>
        <w:t xml:space="preserve">📊 </w:t>
      </w:r>
      <w:r>
        <w:rPr>
          <w:rFonts w:hint="eastAsia"/>
        </w:rPr>
        <w:t xml:space="preserve">生成时间：2026-11-05</w:t>
      </w:r>
      <w:r>
        <w:t xml:space="preserve"> 11:45:49</w:t>
      </w:r>
      <w:r>
        <w:br/>
      </w:r>
      <w:r>
        <w:t xml:space="preserve">🦞 </w:t>
      </w:r>
      <w:r>
        <w:rPr>
          <w:rFonts w:hint="eastAsia"/>
        </w:rPr>
        <w:t xml:space="preserve">by：奇迹早知道</w:t>
      </w:r>
      <w:r>
        <w:t xml:space="preserve"> v4.1</w:t>
      </w:r>
      <w:r>
        <w:br/>
      </w:r>
      <w:r>
        <w:t xml:space="preserve">🔵 </w:t>
      </w:r>
      <w:r>
        <w:rPr>
          <w:rFonts w:hint="eastAsia"/>
        </w:rPr>
        <w:t xml:space="preserve">数据采集：Python</w:t>
      </w:r>
      <w:r>
        <w:t xml:space="preserve"> </w:t>
      </w:r>
      <w:r>
        <w:rPr>
          <w:rFonts w:hint="eastAsia"/>
        </w:rPr>
        <w:t xml:space="preserve">标准库</w:t>
      </w:r>
      <w:r>
        <w:t xml:space="preserve"> + </w:t>
      </w:r>
      <w:r>
        <w:rPr>
          <w:rFonts w:hint="eastAsia"/>
        </w:rPr>
        <w:t xml:space="preserve">华泰skill</w:t>
      </w:r>
      <w:r>
        <w:t xml:space="preserve"> + </w:t>
      </w:r>
      <w:r>
        <w:rPr>
          <w:rFonts w:hint="eastAsia"/>
        </w:rPr>
        <w:t xml:space="preserve">东财push2ex/datacenter/F10</w:t>
      </w:r>
      <w:r>
        <w:t xml:space="preserve"> + </w:t>
      </w:r>
      <w:r>
        <w:rPr>
          <w:rFonts w:hint="eastAsia"/>
        </w:rPr>
        <w:t xml:space="preserve">东方财富妙想mx-data/mx-search/mx-xuangu（只读增强）+</w:t>
      </w:r>
      <w:r>
        <w:t xml:space="preserve"> </w:t>
      </w:r>
      <w:r>
        <w:rPr>
          <w:rFonts w:hint="eastAsia"/>
        </w:rPr>
        <w:t xml:space="preserve">TickFlow重点股日K（只读技术校验）+</w:t>
      </w:r>
      <w:r>
        <w:t xml:space="preserve"> </w:t>
      </w:r>
      <w:r>
        <w:rPr>
          <w:rFonts w:hint="eastAsia"/>
        </w:rPr>
        <w:t xml:space="preserve">同花顺dq</w:t>
      </w:r>
      <w:r>
        <w:t xml:space="preserve"> + </w:t>
      </w:r>
      <w:r>
        <w:rPr>
          <w:rFonts w:hint="eastAsia"/>
        </w:rPr>
        <w:t xml:space="preserve">新浪/腾讯行情</w:t>
      </w:r>
      <w:r>
        <w:t xml:space="preserve"> + </w:t>
      </w:r>
      <w:r>
        <w:rPr>
          <w:rFonts w:hint="eastAsia"/>
        </w:rPr>
        <w:t xml:space="preserve">financial_rigor验算</w:t>
      </w:r>
      <w:r>
        <w:br/>
      </w:r>
      <w:r>
        <w:t xml:space="preserve">🔴 </w:t>
      </w:r>
      <w:r>
        <w:rPr>
          <w:rFonts w:hint="eastAsia"/>
        </w:rPr>
        <w:t xml:space="preserve">分析+写稿模型：GPT-5.6</w:t>
      </w:r>
      <w:r>
        <w:t xml:space="preserve"> Sol (openai-codex)</w:t>
      </w:r>
      <w:r>
        <w:br/>
      </w:r>
      <w:r>
        <w:t xml:space="preserve">📄 </w:t>
      </w:r>
      <w:r>
        <w:rPr>
          <w:rFonts w:hint="eastAsia"/>
        </w:rPr>
        <w:t xml:space="preserve">文档生成：pandoc</w:t>
      </w:r>
      <w:r>
        <w:t xml:space="preserve"> (markdown → docx)</w:t>
      </w:r>
    </w:p>
    <w:bookmarkEnd w:id="50"/>
    <w:bookmarkEnd w:id="5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2026-11-05T04:07:29Z</dcterms:created>
  <dcterms:modified xsi:type="dcterms:W3CDTF">2026-11-05T04:07:29Z</dcterms:modified>
</cp:coreProperties>
</file>

<file path=docProps/custom.xml><?xml version="1.0" encoding="utf-8"?>
<Properties xmlns="http://schemas.openxmlformats.org/officeDocument/2006/custom-properties" xmlns:vt="http://schemas.openxmlformats.org/officeDocument/2006/docPropsVTypes"/>
</file>