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奇迹早知道午盘总结2026年11月3日"/>
    <w:p>
      <w:pPr>
        <w:pStyle w:val="Heading1"/>
      </w:pPr>
      <w:r>
        <w:rPr>
          <w:rFonts w:hint="eastAsia"/>
        </w:rPr>
        <w:t xml:space="preserve">奇迹早知道｜午盘总结（2026年11月3日）</w:t>
      </w:r>
    </w:p>
    <w:bookmarkStart w:id="10" w:name="上午行情概览"/>
    <w:p>
      <w:pPr>
        <w:pStyle w:val="Heading2"/>
      </w:pPr>
      <w:r>
        <w:t xml:space="preserve">📉 </w:t>
      </w:r>
      <w:r>
        <w:rPr>
          <w:rFonts w:hint="eastAsia"/>
        </w:rPr>
        <w:t xml:space="preserve">上午行情概览</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午盘点位</w:t>
            </w:r>
          </w:p>
        </w:tc>
        <w:tc>
          <w:tcPr/>
          <w:p>
            <w:pPr>
              <w:pStyle w:val="Compact"/>
              <w:jc w:val="right"/>
            </w:pPr>
            <w:r>
              <w:rPr>
                <w:rFonts w:hint="eastAsia"/>
              </w:rPr>
              <w:t xml:space="preserve">涨跌幅</w:t>
            </w:r>
          </w:p>
        </w:tc>
      </w:tr>
      <w:tr>
        <w:tc>
          <w:tcPr/>
          <w:p>
            <w:pPr>
              <w:pStyle w:val="Compact"/>
            </w:pPr>
            <w:r>
              <w:rPr>
                <w:rFonts w:hint="eastAsia"/>
              </w:rPr>
              <w:t xml:space="preserve">上证指数</w:t>
            </w:r>
          </w:p>
        </w:tc>
        <w:tc>
          <w:tcPr/>
          <w:p>
            <w:pPr>
              <w:pStyle w:val="Compact"/>
              <w:jc w:val="right"/>
            </w:pPr>
            <w:r>
              <w:t xml:space="preserve">3612.0853</w:t>
            </w:r>
          </w:p>
        </w:tc>
        <w:tc>
          <w:tcPr/>
          <w:p>
            <w:pPr>
              <w:pStyle w:val="Compact"/>
              <w:jc w:val="right"/>
            </w:pPr>
            <w:r>
              <w:t xml:space="preserve">📉 -0.7132%</w:t>
            </w:r>
          </w:p>
        </w:tc>
      </w:tr>
      <w:tr>
        <w:tc>
          <w:tcPr/>
          <w:p>
            <w:pPr>
              <w:pStyle w:val="Compact"/>
            </w:pPr>
            <w:r>
              <w:rPr>
                <w:rFonts w:hint="eastAsia"/>
              </w:rPr>
              <w:t xml:space="preserve">深证成指</w:t>
            </w:r>
          </w:p>
        </w:tc>
        <w:tc>
          <w:tcPr/>
          <w:p>
            <w:pPr>
              <w:pStyle w:val="Compact"/>
              <w:jc w:val="right"/>
            </w:pPr>
            <w:r>
              <w:t xml:space="preserve">10993.0650</w:t>
            </w:r>
          </w:p>
        </w:tc>
        <w:tc>
          <w:tcPr/>
          <w:p>
            <w:pPr>
              <w:pStyle w:val="Compact"/>
              <w:jc w:val="right"/>
            </w:pPr>
            <w:r>
              <w:t xml:space="preserve">📉 -0.1600%</w:t>
            </w:r>
          </w:p>
        </w:tc>
      </w:tr>
      <w:tr>
        <w:tc>
          <w:tcPr/>
          <w:p>
            <w:pPr>
              <w:pStyle w:val="Compact"/>
            </w:pPr>
            <w:r>
              <w:rPr>
                <w:rFonts w:hint="eastAsia"/>
              </w:rPr>
              <w:t xml:space="preserve">创业板指</w:t>
            </w:r>
          </w:p>
        </w:tc>
        <w:tc>
          <w:tcPr/>
          <w:p>
            <w:pPr>
              <w:pStyle w:val="Compact"/>
              <w:jc w:val="right"/>
            </w:pPr>
            <w:r>
              <w:t xml:space="preserve">2435.5970</w:t>
            </w:r>
          </w:p>
        </w:tc>
        <w:tc>
          <w:tcPr/>
          <w:p>
            <w:pPr>
              <w:pStyle w:val="Compact"/>
              <w:jc w:val="right"/>
            </w:pPr>
            <w:r>
              <w:t xml:space="preserve">📉 -0.9396%</w:t>
            </w:r>
          </w:p>
        </w:tc>
      </w:tr>
      <w:tr>
        <w:tc>
          <w:tcPr/>
          <w:p>
            <w:pPr>
              <w:pStyle w:val="Compact"/>
            </w:pPr>
            <w:r>
              <w:rPr>
                <w:rFonts w:hint="eastAsia"/>
              </w:rPr>
              <w:t xml:space="preserve">科创50</w:t>
            </w:r>
          </w:p>
        </w:tc>
        <w:tc>
          <w:tcPr/>
          <w:p>
            <w:pPr>
              <w:pStyle w:val="Compact"/>
              <w:jc w:val="right"/>
            </w:pPr>
            <w:r>
              <w:t xml:space="preserve">1166.5827</w:t>
            </w:r>
          </w:p>
        </w:tc>
        <w:tc>
          <w:tcPr/>
          <w:p>
            <w:pPr>
              <w:pStyle w:val="Compact"/>
              <w:jc w:val="right"/>
            </w:pPr>
            <w:r>
              <w:t xml:space="preserve">📉 -2.5359%</w:t>
            </w:r>
          </w:p>
        </w:tc>
      </w:tr>
      <w:tr>
        <w:tc>
          <w:tcPr/>
          <w:p>
            <w:pPr>
              <w:pStyle w:val="Compact"/>
            </w:pPr>
            <w:r>
              <w:rPr>
                <w:rFonts w:hint="eastAsia"/>
              </w:rPr>
              <w:t xml:space="preserve">沪深300</w:t>
            </w:r>
          </w:p>
        </w:tc>
        <w:tc>
          <w:tcPr/>
          <w:p>
            <w:pPr>
              <w:pStyle w:val="Compact"/>
              <w:jc w:val="right"/>
            </w:pPr>
            <w:r>
              <w:t xml:space="preserve">4013.8856</w:t>
            </w:r>
          </w:p>
        </w:tc>
        <w:tc>
          <w:tcPr/>
          <w:p>
            <w:pPr>
              <w:pStyle w:val="Compact"/>
              <w:jc w:val="right"/>
            </w:pPr>
            <w:r>
              <w:t xml:space="preserve">📉 -0.0755%</w:t>
            </w:r>
          </w:p>
        </w:tc>
      </w:tr>
    </w:tbl>
    <w:p>
      <w:pPr>
        <w:pStyle w:val="Compact"/>
        <w:numPr>
          <w:ilvl w:val="0"/>
          <w:numId w:val="1001"/>
        </w:numPr>
      </w:pPr>
      <w:r>
        <w:t xml:space="preserve">🔴 </w:t>
      </w:r>
      <w:r>
        <w:rPr>
          <w:rFonts w:hint="eastAsia"/>
        </w:rPr>
        <w:t xml:space="preserve">三大指数低开探底后修复，但午前再次回落；沪深300接近平盘，科创50跌幅最大，权重价值明显强于科技成长。</w:t>
      </w:r>
    </w:p>
    <w:p>
      <w:pPr>
        <w:pStyle w:val="Compact"/>
        <w:numPr>
          <w:ilvl w:val="0"/>
          <w:numId w:val="1001"/>
        </w:numPr>
      </w:pPr>
      <w:r>
        <w:t xml:space="preserve">💰 </w:t>
      </w:r>
      <w:r>
        <w:rPr>
          <w:rFonts w:hint="eastAsia"/>
        </w:rPr>
        <w:t xml:space="preserve">全市场半日成交额9996.24亿元，预测全天成交额15639.62亿元，较上一交易日17951.83亿元减少2312.21亿元，预测缩量12.88%。</w:t>
      </w:r>
    </w:p>
    <w:p>
      <w:pPr>
        <w:pStyle w:val="Compact"/>
        <w:numPr>
          <w:ilvl w:val="0"/>
          <w:numId w:val="1001"/>
        </w:numPr>
      </w:pPr>
      <w:r>
        <w:t xml:space="preserve">📈 </w:t>
      </w:r>
      <w:r>
        <w:rPr>
          <w:rFonts w:hint="eastAsia"/>
        </w:rPr>
        <w:t xml:space="preserve">全市场上涨3303家、下跌2135家、平盘132家，涨跌比为1.547；指数下跌但个股多数上涨，结构性赚钱效应仍在。</w:t>
      </w:r>
    </w:p>
    <w:p>
      <w:pPr>
        <w:pStyle w:val="Compact"/>
        <w:numPr>
          <w:ilvl w:val="0"/>
          <w:numId w:val="1001"/>
        </w:numPr>
      </w:pPr>
      <w:r>
        <w:t xml:space="preserve">🔴 </w:t>
      </w:r>
      <w:r>
        <w:rPr>
          <w:rFonts w:hint="eastAsia"/>
        </w:rPr>
        <w:t xml:space="preserve">涨停55家、跌停4家；严格涨停池52家、炸板15家，炸板率22.4%，封板率77.6%。</w:t>
      </w:r>
    </w:p>
    <w:p>
      <w:pPr>
        <w:pStyle w:val="Compact"/>
        <w:numPr>
          <w:ilvl w:val="0"/>
          <w:numId w:val="1001"/>
        </w:numPr>
      </w:pPr>
      <w:r>
        <w:t xml:space="preserve">🎯 </w:t>
      </w:r>
      <w:r>
        <w:rPr>
          <w:rFonts w:hint="eastAsia"/>
        </w:rPr>
        <w:t xml:space="preserve">连板高度4板，梯队为首板32家、2板17家、3板1家、4板2家。</w:t>
      </w:r>
    </w:p>
    <w:bookmarkStart w:id="9" w:name="情绪周期正常"/>
    <w:p>
      <w:pPr>
        <w:pStyle w:val="Heading3"/>
      </w:pPr>
      <w:r>
        <w:t xml:space="preserve">🌡️ </w:t>
      </w:r>
      <w:r>
        <w:rPr>
          <w:rFonts w:hint="eastAsia"/>
        </w:rPr>
        <w:t xml:space="preserve">情绪周期：正常</w:t>
      </w:r>
    </w:p>
    <w:p>
      <w:pPr>
        <w:pStyle w:val="Compact"/>
        <w:numPr>
          <w:ilvl w:val="0"/>
          <w:numId w:val="1002"/>
        </w:numPr>
      </w:pPr>
      <w:r>
        <w:rPr>
          <w:rFonts w:hint="eastAsia"/>
        </w:rPr>
        <w:t xml:space="preserve">涨停55家、跌停4家和1.547的涨跌比，说明市场尚未进入冰点或退潮。</w:t>
      </w:r>
    </w:p>
    <w:p>
      <w:pPr>
        <w:pStyle w:val="Compact"/>
        <w:numPr>
          <w:ilvl w:val="0"/>
          <w:numId w:val="1002"/>
        </w:numPr>
      </w:pPr>
      <w:r>
        <w:rPr>
          <w:rFonts w:hint="eastAsia"/>
        </w:rPr>
        <w:t xml:space="preserve">22.4%的炸板率和4板高度显示接力仍有承接，但分歧已经出现，尚未达到一致过热状态。</w:t>
      </w:r>
    </w:p>
    <w:p>
      <w:pPr>
        <w:pStyle w:val="Compact"/>
        <w:numPr>
          <w:ilvl w:val="0"/>
          <w:numId w:val="1002"/>
        </w:numPr>
      </w:pPr>
      <w:r>
        <w:rPr>
          <w:rFonts w:hint="eastAsia"/>
        </w:rPr>
        <w:t xml:space="preserve">半日量能明显低于昨日全天节奏，指数与个股表现背离，情绪定义为“正常、结构分化”，不宜外推为全面主升。</w:t>
      </w:r>
    </w:p>
    <w:bookmarkEnd w:id="9"/>
    <w:bookmarkEnd w:id="10"/>
    <w:bookmarkStart w:id="11" w:name="领涨板块top10与龙头"/>
    <w:p>
      <w:pPr>
        <w:pStyle w:val="Heading2"/>
      </w:pPr>
      <w:r>
        <w:t xml:space="preserve">📈 </w:t>
      </w:r>
      <w:r>
        <w:rPr>
          <w:rFonts w:hint="eastAsia"/>
        </w:rPr>
        <w:t xml:space="preserve">领涨板块TOP10与龙头</w:t>
      </w:r>
    </w:p>
    <w:p>
      <w:pPr>
        <w:pStyle w:val="FirstParagraph"/>
      </w:pPr>
      <w:r>
        <w:rPr>
          <w:rFonts w:hint="eastAsia"/>
        </w:rPr>
        <w:t xml:space="preserve">以下为KPL精选概念盘中排序，分类口径并非申万二级行业；龙头依据涨停池、连板梯队及午间异动报道交叉确认。</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涨跌幅</w:t>
            </w:r>
          </w:p>
        </w:tc>
        <w:tc>
          <w:tcPr/>
          <w:p>
            <w:pPr>
              <w:pStyle w:val="Compact"/>
            </w:pPr>
            <w:r>
              <w:rPr>
                <w:rFonts w:hint="eastAsia"/>
              </w:rPr>
              <w:t xml:space="preserve">盘面龙头</w:t>
            </w:r>
          </w:p>
        </w:tc>
      </w:tr>
      <w:tr>
        <w:tc>
          <w:tcPr/>
          <w:p>
            <w:pPr>
              <w:pStyle w:val="Compact"/>
              <w:jc w:val="right"/>
            </w:pPr>
            <w:r>
              <w:t xml:space="preserve">1</w:t>
            </w:r>
          </w:p>
        </w:tc>
        <w:tc>
          <w:tcPr/>
          <w:p>
            <w:pPr>
              <w:pStyle w:val="Compact"/>
            </w:pPr>
            <w:r>
              <w:rPr>
                <w:rFonts w:hint="eastAsia"/>
              </w:rPr>
              <w:t xml:space="preserve">锂电池</w:t>
            </w:r>
          </w:p>
        </w:tc>
        <w:tc>
          <w:tcPr/>
          <w:p>
            <w:pPr>
              <w:pStyle w:val="Compact"/>
              <w:jc w:val="right"/>
            </w:pPr>
            <w:r>
              <w:t xml:space="preserve">🔴 +0.834%</w:t>
            </w:r>
          </w:p>
        </w:tc>
        <w:tc>
          <w:tcPr/>
          <w:p>
            <w:pPr>
              <w:pStyle w:val="Compact"/>
            </w:pPr>
            <w:r>
              <w:rPr>
                <w:rFonts w:hint="eastAsia"/>
              </w:rPr>
              <w:t xml:space="preserve">圣阳股份、盟固利</w:t>
            </w:r>
          </w:p>
        </w:tc>
      </w:tr>
      <w:tr>
        <w:tc>
          <w:tcPr/>
          <w:p>
            <w:pPr>
              <w:pStyle w:val="Compact"/>
              <w:jc w:val="right"/>
            </w:pPr>
            <w:r>
              <w:t xml:space="preserve">2</w:t>
            </w:r>
          </w:p>
        </w:tc>
        <w:tc>
          <w:tcPr/>
          <w:p>
            <w:pPr>
              <w:pStyle w:val="Compact"/>
            </w:pPr>
            <w:r>
              <w:rPr>
                <w:rFonts w:hint="eastAsia"/>
              </w:rPr>
              <w:t xml:space="preserve">AI应用</w:t>
            </w:r>
          </w:p>
        </w:tc>
        <w:tc>
          <w:tcPr/>
          <w:p>
            <w:pPr>
              <w:pStyle w:val="Compact"/>
              <w:jc w:val="right"/>
            </w:pPr>
            <w:r>
              <w:t xml:space="preserve">🔴 +0.002%</w:t>
            </w:r>
          </w:p>
        </w:tc>
        <w:tc>
          <w:tcPr/>
          <w:p>
            <w:pPr>
              <w:pStyle w:val="Compact"/>
            </w:pPr>
            <w:r>
              <w:rPr>
                <w:rFonts w:hint="eastAsia"/>
              </w:rPr>
              <w:t xml:space="preserve">掌阅科技、华智数媒</w:t>
            </w:r>
          </w:p>
        </w:tc>
      </w:tr>
      <w:tr>
        <w:tc>
          <w:tcPr/>
          <w:p>
            <w:pPr>
              <w:pStyle w:val="Compact"/>
              <w:jc w:val="right"/>
            </w:pPr>
            <w:r>
              <w:t xml:space="preserve">3</w:t>
            </w:r>
          </w:p>
        </w:tc>
        <w:tc>
          <w:tcPr/>
          <w:p>
            <w:pPr>
              <w:pStyle w:val="Compact"/>
            </w:pPr>
            <w:r>
              <w:rPr>
                <w:rFonts w:hint="eastAsia"/>
              </w:rPr>
              <w:t xml:space="preserve">游戏</w:t>
            </w:r>
          </w:p>
        </w:tc>
        <w:tc>
          <w:tcPr/>
          <w:p>
            <w:pPr>
              <w:pStyle w:val="Compact"/>
              <w:jc w:val="right"/>
            </w:pPr>
            <w:r>
              <w:t xml:space="preserve">🔴 +1.457%</w:t>
            </w:r>
          </w:p>
        </w:tc>
        <w:tc>
          <w:tcPr/>
          <w:p>
            <w:pPr>
              <w:pStyle w:val="Compact"/>
            </w:pPr>
            <w:r>
              <w:rPr>
                <w:rFonts w:hint="eastAsia"/>
              </w:rPr>
              <w:t xml:space="preserve">大晟文化、电魂网络</w:t>
            </w:r>
          </w:p>
        </w:tc>
      </w:tr>
      <w:tr>
        <w:tc>
          <w:tcPr/>
          <w:p>
            <w:pPr>
              <w:pStyle w:val="Compact"/>
              <w:jc w:val="right"/>
            </w:pPr>
            <w:r>
              <w:t xml:space="preserve">4</w:t>
            </w:r>
          </w:p>
        </w:tc>
        <w:tc>
          <w:tcPr/>
          <w:p>
            <w:pPr>
              <w:pStyle w:val="Compact"/>
            </w:pPr>
            <w:r>
              <w:rPr>
                <w:rFonts w:hint="eastAsia"/>
              </w:rPr>
              <w:t xml:space="preserve">并购重组</w:t>
            </w:r>
          </w:p>
        </w:tc>
        <w:tc>
          <w:tcPr/>
          <w:p>
            <w:pPr>
              <w:pStyle w:val="Compact"/>
              <w:jc w:val="right"/>
            </w:pPr>
            <w:r>
              <w:t xml:space="preserve">🔴 +0.189%</w:t>
            </w:r>
          </w:p>
        </w:tc>
        <w:tc>
          <w:tcPr/>
          <w:p>
            <w:pPr>
              <w:pStyle w:val="Compact"/>
            </w:pPr>
            <w:r>
              <w:rPr>
                <w:rFonts w:hint="eastAsia"/>
              </w:rPr>
              <w:t xml:space="preserve">采集源未形成可确认龙头，不估算</w:t>
            </w:r>
          </w:p>
        </w:tc>
      </w:tr>
      <w:tr>
        <w:tc>
          <w:tcPr/>
          <w:p>
            <w:pPr>
              <w:pStyle w:val="Compact"/>
              <w:jc w:val="right"/>
            </w:pPr>
            <w:r>
              <w:t xml:space="preserve">5</w:t>
            </w:r>
          </w:p>
        </w:tc>
        <w:tc>
          <w:tcPr/>
          <w:p>
            <w:pPr>
              <w:pStyle w:val="Compact"/>
            </w:pPr>
            <w:r>
              <w:rPr>
                <w:rFonts w:hint="eastAsia"/>
              </w:rPr>
              <w:t xml:space="preserve">基础建设</w:t>
            </w:r>
          </w:p>
        </w:tc>
        <w:tc>
          <w:tcPr/>
          <w:p>
            <w:pPr>
              <w:pStyle w:val="Compact"/>
              <w:jc w:val="right"/>
            </w:pPr>
            <w:r>
              <w:t xml:space="preserve">🔴 +0.945%</w:t>
            </w:r>
          </w:p>
        </w:tc>
        <w:tc>
          <w:tcPr/>
          <w:p>
            <w:pPr>
              <w:pStyle w:val="Compact"/>
            </w:pPr>
            <w:r>
              <w:rPr>
                <w:rFonts w:hint="eastAsia"/>
              </w:rPr>
              <w:t xml:space="preserve">华阳国际</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涨跌幅</w:t>
            </w:r>
          </w:p>
        </w:tc>
        <w:tc>
          <w:tcPr/>
          <w:p>
            <w:pPr>
              <w:pStyle w:val="Compact"/>
            </w:pPr>
            <w:r>
              <w:rPr>
                <w:rFonts w:hint="eastAsia"/>
              </w:rPr>
              <w:t xml:space="preserve">盘面龙头</w:t>
            </w:r>
          </w:p>
        </w:tc>
      </w:tr>
      <w:tr>
        <w:tc>
          <w:tcPr/>
          <w:p>
            <w:pPr>
              <w:pStyle w:val="Compact"/>
              <w:jc w:val="right"/>
            </w:pPr>
            <w:r>
              <w:t xml:space="preserve">6</w:t>
            </w:r>
          </w:p>
        </w:tc>
        <w:tc>
          <w:tcPr/>
          <w:p>
            <w:pPr>
              <w:pStyle w:val="Compact"/>
            </w:pPr>
            <w:r>
              <w:rPr>
                <w:rFonts w:hint="eastAsia"/>
              </w:rPr>
              <w:t xml:space="preserve">ST板块</w:t>
            </w:r>
          </w:p>
        </w:tc>
        <w:tc>
          <w:tcPr/>
          <w:p>
            <w:pPr>
              <w:pStyle w:val="Compact"/>
              <w:jc w:val="right"/>
            </w:pPr>
            <w:r>
              <w:t xml:space="preserve">🔴 +1.780%</w:t>
            </w:r>
          </w:p>
        </w:tc>
        <w:tc>
          <w:tcPr/>
          <w:p>
            <w:pPr>
              <w:pStyle w:val="Compact"/>
            </w:pPr>
            <w:r>
              <w:rPr>
                <w:rFonts w:hint="eastAsia"/>
              </w:rPr>
              <w:t xml:space="preserve">风险属性较高，不纳入核心方向</w:t>
            </w:r>
          </w:p>
        </w:tc>
      </w:tr>
      <w:tr>
        <w:tc>
          <w:tcPr/>
          <w:p>
            <w:pPr>
              <w:pStyle w:val="Compact"/>
              <w:jc w:val="right"/>
            </w:pPr>
            <w:r>
              <w:t xml:space="preserve">7</w:t>
            </w:r>
          </w:p>
        </w:tc>
        <w:tc>
          <w:tcPr/>
          <w:p>
            <w:pPr>
              <w:pStyle w:val="Compact"/>
            </w:pPr>
            <w:r>
              <w:rPr>
                <w:rFonts w:hint="eastAsia"/>
              </w:rPr>
              <w:t xml:space="preserve">食品饮料</w:t>
            </w:r>
          </w:p>
        </w:tc>
        <w:tc>
          <w:tcPr/>
          <w:p>
            <w:pPr>
              <w:pStyle w:val="Compact"/>
              <w:jc w:val="right"/>
            </w:pPr>
            <w:r>
              <w:t xml:space="preserve">🔴 +1.459%</w:t>
            </w:r>
          </w:p>
        </w:tc>
        <w:tc>
          <w:tcPr/>
          <w:p>
            <w:pPr>
              <w:pStyle w:val="Compact"/>
            </w:pPr>
            <w:r>
              <w:rPr>
                <w:rFonts w:hint="eastAsia"/>
              </w:rPr>
              <w:t xml:space="preserve">皇台酒业、均瑶健康</w:t>
            </w:r>
          </w:p>
        </w:tc>
      </w:tr>
      <w:tr>
        <w:tc>
          <w:tcPr/>
          <w:p>
            <w:pPr>
              <w:pStyle w:val="Compact"/>
              <w:jc w:val="right"/>
            </w:pPr>
            <w:r>
              <w:t xml:space="preserve">8</w:t>
            </w:r>
          </w:p>
        </w:tc>
        <w:tc>
          <w:tcPr/>
          <w:p>
            <w:pPr>
              <w:pStyle w:val="Compact"/>
            </w:pPr>
            <w:r>
              <w:rPr>
                <w:rFonts w:hint="eastAsia"/>
              </w:rPr>
              <w:t xml:space="preserve">服装家纺</w:t>
            </w:r>
          </w:p>
        </w:tc>
        <w:tc>
          <w:tcPr/>
          <w:p>
            <w:pPr>
              <w:pStyle w:val="Compact"/>
              <w:jc w:val="right"/>
            </w:pPr>
            <w:r>
              <w:t xml:space="preserve">🔴 +1.138%</w:t>
            </w:r>
          </w:p>
        </w:tc>
        <w:tc>
          <w:tcPr/>
          <w:p>
            <w:pPr>
              <w:pStyle w:val="Compact"/>
            </w:pPr>
            <w:r>
              <w:rPr>
                <w:rFonts w:hint="eastAsia"/>
              </w:rPr>
              <w:t xml:space="preserve">七匹狼、九牧王</w:t>
            </w:r>
          </w:p>
        </w:tc>
      </w:tr>
      <w:tr>
        <w:tc>
          <w:tcPr/>
          <w:p>
            <w:pPr>
              <w:pStyle w:val="Compact"/>
              <w:jc w:val="right"/>
            </w:pPr>
            <w:r>
              <w:t xml:space="preserve">9</w:t>
            </w:r>
          </w:p>
        </w:tc>
        <w:tc>
          <w:tcPr/>
          <w:p>
            <w:pPr>
              <w:pStyle w:val="Compact"/>
            </w:pPr>
            <w:r>
              <w:rPr>
                <w:rFonts w:hint="eastAsia"/>
              </w:rPr>
              <w:t xml:space="preserve">文化传媒</w:t>
            </w:r>
          </w:p>
        </w:tc>
        <w:tc>
          <w:tcPr/>
          <w:p>
            <w:pPr>
              <w:pStyle w:val="Compact"/>
              <w:jc w:val="right"/>
            </w:pPr>
            <w:r>
              <w:t xml:space="preserve">🔴 +0.950%</w:t>
            </w:r>
          </w:p>
        </w:tc>
        <w:tc>
          <w:tcPr/>
          <w:p>
            <w:pPr>
              <w:pStyle w:val="Compact"/>
            </w:pPr>
            <w:r>
              <w:rPr>
                <w:rFonts w:hint="eastAsia"/>
              </w:rPr>
              <w:t xml:space="preserve">浙文影业、龙版传媒</w:t>
            </w:r>
          </w:p>
        </w:tc>
      </w:tr>
      <w:tr>
        <w:tc>
          <w:tcPr/>
          <w:p>
            <w:pPr>
              <w:pStyle w:val="Compact"/>
              <w:jc w:val="right"/>
            </w:pPr>
            <w:r>
              <w:t xml:space="preserve">10</w:t>
            </w:r>
          </w:p>
        </w:tc>
        <w:tc>
          <w:tcPr/>
          <w:p>
            <w:pPr>
              <w:pStyle w:val="Compact"/>
            </w:pPr>
            <w:r>
              <w:rPr>
                <w:rFonts w:hint="eastAsia"/>
              </w:rPr>
              <w:t xml:space="preserve">海峡两岸</w:t>
            </w:r>
          </w:p>
        </w:tc>
        <w:tc>
          <w:tcPr/>
          <w:p>
            <w:pPr>
              <w:pStyle w:val="Compact"/>
              <w:jc w:val="right"/>
            </w:pPr>
            <w:r>
              <w:t xml:space="preserve">🟢 -0.001%</w:t>
            </w:r>
          </w:p>
        </w:tc>
        <w:tc>
          <w:tcPr/>
          <w:p>
            <w:pPr>
              <w:pStyle w:val="Compact"/>
            </w:pPr>
            <w:r>
              <w:rPr>
                <w:rFonts w:hint="eastAsia"/>
              </w:rPr>
              <w:t xml:space="preserve">采集源未形成可确认龙头，不估算</w:t>
            </w:r>
          </w:p>
        </w:tc>
      </w:tr>
    </w:tbl>
    <w:p>
      <w:pPr>
        <w:pStyle w:val="Compact"/>
        <w:numPr>
          <w:ilvl w:val="0"/>
          <w:numId w:val="1003"/>
        </w:numPr>
      </w:pPr>
      <w:r>
        <w:t xml:space="preserve">🔴</w:t>
      </w:r>
      <w:r>
        <w:t xml:space="preserve"> </w:t>
      </w:r>
      <w:r>
        <w:rPr>
          <w:rFonts w:hint="eastAsia"/>
          <w:b/>
          <w:bCs/>
        </w:rPr>
        <w:t xml:space="preserve">电池主线最强</w:t>
      </w:r>
      <w:r>
        <w:rPr>
          <w:rFonts w:hint="eastAsia"/>
        </w:rPr>
        <w:t xml:space="preserve">：电池方向出现8只涨停，电力设备主力净流入43.83亿元、电池净流入24.81亿元，宁德时代和阳光电源进入成交额及资金流入核心榜。</w:t>
      </w:r>
    </w:p>
    <w:p>
      <w:pPr>
        <w:pStyle w:val="Compact"/>
        <w:numPr>
          <w:ilvl w:val="0"/>
          <w:numId w:val="1003"/>
        </w:numPr>
      </w:pPr>
      <w:r>
        <w:t xml:space="preserve">🔴</w:t>
      </w:r>
      <w:r>
        <w:t xml:space="preserve"> </w:t>
      </w:r>
      <w:r>
        <w:rPr>
          <w:rFonts w:hint="eastAsia"/>
          <w:b/>
          <w:bCs/>
        </w:rPr>
        <w:t xml:space="preserve">AI漫剧继续扩散</w:t>
      </w:r>
      <w:r>
        <w:rPr>
          <w:rFonts w:hint="eastAsia"/>
        </w:rPr>
        <w:t xml:space="preserve">：大晟文化、电魂网络、浙文影业、龙版传媒等连板，海外AI漫剧活跃用户整体超过1.5亿构成产业催化。</w:t>
      </w:r>
    </w:p>
    <w:p>
      <w:pPr>
        <w:pStyle w:val="Compact"/>
        <w:numPr>
          <w:ilvl w:val="0"/>
          <w:numId w:val="1003"/>
        </w:numPr>
      </w:pPr>
      <w:r>
        <w:t xml:space="preserve">📉</w:t>
      </w:r>
      <w:r>
        <w:t xml:space="preserve"> </w:t>
      </w:r>
      <w:r>
        <w:rPr>
          <w:rFonts w:hint="eastAsia"/>
          <w:b/>
          <w:bCs/>
        </w:rPr>
        <w:t xml:space="preserve">科技硬件显著分化</w:t>
      </w:r>
      <w:r>
        <w:rPr>
          <w:rFonts w:hint="eastAsia"/>
        </w:rPr>
        <w:t xml:space="preserve">：AI应用活跃，但光模块、半导体、元件集中回落，资金从硬件向应用及新能源切换。</w:t>
      </w:r>
    </w:p>
    <w:bookmarkEnd w:id="11"/>
    <w:bookmarkStart w:id="12" w:name="关键涨停股与催化风险"/>
    <w:p>
      <w:pPr>
        <w:pStyle w:val="Heading2"/>
      </w:pPr>
      <w:r>
        <w:t xml:space="preserve">🎯 </w:t>
      </w:r>
      <w:r>
        <w:rPr>
          <w:rFonts w:hint="eastAsia"/>
        </w:rPr>
        <w:t xml:space="preserve">关键涨停股与催化风险</w:t>
      </w:r>
    </w:p>
    <w:p>
      <w:pPr>
        <w:pStyle w:val="Compact"/>
        <w:numPr>
          <w:ilvl w:val="0"/>
          <w:numId w:val="1004"/>
        </w:numPr>
      </w:pPr>
      <w:r>
        <w:rPr>
          <w:rFonts w:hint="eastAsia"/>
          <w:b/>
          <w:bCs/>
        </w:rPr>
        <w:t xml:space="preserve">圣阳股份</w:t>
      </w:r>
      <w:r>
        <w:rPr>
          <w:rFonts w:hint="eastAsia"/>
        </w:rPr>
        <w:t xml:space="preserve">：核心催化：电池板块形成8只涨停集群，公司涨停且主力净流入3.33亿元，封单资金8.3714亿元；主要风险：当前仅为首板，板块处于加速阶段，下午若电池资金流入回落或涨停集群收缩，补涨逻辑可能快速弱化。</w:t>
      </w:r>
    </w:p>
    <w:p>
      <w:pPr>
        <w:pStyle w:val="Compact"/>
        <w:numPr>
          <w:ilvl w:val="0"/>
          <w:numId w:val="1004"/>
        </w:numPr>
      </w:pPr>
      <w:r>
        <w:rPr>
          <w:rFonts w:hint="eastAsia"/>
          <w:b/>
          <w:bCs/>
        </w:rPr>
        <w:t xml:space="preserve">盟固利</w:t>
      </w:r>
      <w:r>
        <w:rPr>
          <w:rFonts w:hint="eastAsia"/>
        </w:rPr>
        <w:t xml:space="preserve">：核心催化：电池化学品主力净流入8.60亿元，公司20%涨停并获得2.39亿元主力净流入；主要风险：午盘换手率11.45%、动态市盈率233.35倍，估值与短线换手拥挤，禁止追涨。</w:t>
      </w:r>
    </w:p>
    <w:p>
      <w:pPr>
        <w:pStyle w:val="Compact"/>
        <w:numPr>
          <w:ilvl w:val="0"/>
          <w:numId w:val="1004"/>
        </w:numPr>
      </w:pPr>
      <w:r>
        <w:rPr>
          <w:rFonts w:hint="eastAsia"/>
          <w:b/>
          <w:bCs/>
        </w:rPr>
        <w:t xml:space="preserve">大晟文化</w:t>
      </w:r>
      <w:r>
        <w:rPr>
          <w:rFonts w:hint="eastAsia"/>
        </w:rPr>
        <w:t xml:space="preserve">：核心催化：海外AI漫剧活跃用户整体超过1.5亿，AI漫剧及游戏方向扩散，公司实现2连板；主要风险：公司PE为负、2025年ROE为-226.53%，TickFlow最近完整日K评级为D级趋势破位，题材强度不能替代基本面和右侧确认。</w:t>
      </w:r>
    </w:p>
    <w:p>
      <w:pPr>
        <w:pStyle w:val="Compact"/>
        <w:numPr>
          <w:ilvl w:val="0"/>
          <w:numId w:val="1004"/>
        </w:numPr>
      </w:pPr>
      <w:r>
        <w:rPr>
          <w:rFonts w:hint="eastAsia"/>
          <w:b/>
          <w:bCs/>
        </w:rPr>
        <w:t xml:space="preserve">皇台酒业</w:t>
      </w:r>
      <w:r>
        <w:rPr>
          <w:rFonts w:hint="eastAsia"/>
        </w:rPr>
        <w:t xml:space="preserve">：核心催化：白酒处于周期磨底和预期修复阶段，公司实现3连板并被TickFlow评为A级右侧趋势；主要风险：公司公告明确不存在应披露未披露重大事项，2026年前三季度营业收入下降17.76%、归母净利润下降150.82%，当前PE为906.29倍，业绩与估值风险突出。</w:t>
      </w:r>
    </w:p>
    <w:p>
      <w:pPr>
        <w:pStyle w:val="Compact"/>
        <w:numPr>
          <w:ilvl w:val="0"/>
          <w:numId w:val="1004"/>
        </w:numPr>
      </w:pPr>
      <w:r>
        <w:rPr>
          <w:rFonts w:hint="eastAsia"/>
          <w:b/>
          <w:bCs/>
        </w:rPr>
        <w:t xml:space="preserve">东方海洋</w:t>
      </w:r>
      <w:r>
        <w:rPr>
          <w:rFonts w:hint="eastAsia"/>
        </w:rPr>
        <w:t xml:space="preserve">：核心催化：消费方向延续活跃，公司晋级4连板并成为午盘最高连板之一；主要风险：盘中已开板3次、换手率13.95%，公司PE为负且ROE为负，高位分歧和亏损经营风险并存。</w:t>
      </w:r>
    </w:p>
    <w:p>
      <w:pPr>
        <w:pStyle w:val="Compact"/>
        <w:numPr>
          <w:ilvl w:val="0"/>
          <w:numId w:val="1004"/>
        </w:numPr>
      </w:pPr>
      <w:r>
        <w:rPr>
          <w:rFonts w:hint="eastAsia"/>
          <w:b/>
          <w:bCs/>
        </w:rPr>
        <w:t xml:space="preserve">阳光照明</w:t>
      </w:r>
      <w:r>
        <w:rPr>
          <w:rFonts w:hint="eastAsia"/>
        </w:rPr>
        <w:t xml:space="preserve">：核心催化：力箭二号遥二运载火箭完成“一箭十八星”发射，商业航天方向活跃，公司晋级4连板；主要风险：公司此前已发布股票交易风险提示，上午主力净流出4.14亿元且开板5次，资金流出与高位连板形成明显背离。</w:t>
      </w:r>
    </w:p>
    <w:p>
      <w:pPr>
        <w:pStyle w:val="Compact"/>
        <w:numPr>
          <w:ilvl w:val="0"/>
          <w:numId w:val="1004"/>
        </w:numPr>
      </w:pPr>
      <w:r>
        <w:rPr>
          <w:rFonts w:hint="eastAsia"/>
          <w:b/>
          <w:bCs/>
        </w:rPr>
        <w:t xml:space="preserve">华阳国际</w:t>
      </w:r>
      <w:r>
        <w:rPr>
          <w:rFonts w:hint="eastAsia"/>
        </w:rPr>
        <w:t xml:space="preserve">：核心催化：基础建设和工程咨询方向活跃，公司晋级2连板；主要风险：异常波动公告明确基本面未发生重大变化且不存在应披露未披露信息，2026年前三季度营收下降31.65%、净利润下降15.45%，TickFlow评级为D级。</w:t>
      </w:r>
    </w:p>
    <w:p>
      <w:pPr>
        <w:pStyle w:val="Compact"/>
        <w:numPr>
          <w:ilvl w:val="0"/>
          <w:numId w:val="1004"/>
        </w:numPr>
      </w:pPr>
      <w:r>
        <w:rPr>
          <w:rFonts w:hint="eastAsia"/>
          <w:b/>
          <w:bCs/>
        </w:rPr>
        <w:t xml:space="preserve">高争民爆</w:t>
      </w:r>
      <w:r>
        <w:rPr>
          <w:rFonts w:hint="eastAsia"/>
        </w:rPr>
        <w:t xml:space="preserve">：核心催化：化学制品板块获得8.19亿元主力净流入，公司2连板且封单资金7.6199亿元；主要风险：2026年前三季度营收下降5.71%、净利润下降39.04%，TickFlow数据截至10月23日为D级趋势破位，技术日期滞后，不估算最新均线评级。</w:t>
      </w:r>
    </w:p>
    <w:bookmarkEnd w:id="12"/>
    <w:bookmarkStart w:id="17" w:name="资金流向四张榜"/>
    <w:p>
      <w:pPr>
        <w:pStyle w:val="Heading2"/>
      </w:pPr>
      <w:r>
        <w:t xml:space="preserve">💰 </w:t>
      </w:r>
      <w:r>
        <w:rPr>
          <w:rFonts w:hint="eastAsia"/>
        </w:rPr>
        <w:t xml:space="preserve">资金流向四张榜</w:t>
      </w:r>
    </w:p>
    <w:p>
      <w:pPr>
        <w:pStyle w:val="FirstParagraph"/>
      </w:pPr>
      <w:r>
        <w:rPr>
          <w:rFonts w:hint="eastAsia"/>
        </w:rPr>
        <w:t xml:space="preserve">口径说明：交易日2026-11-03，2026-11-03</w:t>
      </w:r>
      <w:r>
        <w:t xml:space="preserve"> </w:t>
      </w:r>
      <w:r>
        <w:rPr>
          <w:rFonts w:hint="eastAsia"/>
        </w:rPr>
        <w:t xml:space="preserve">11:45，scope=intraday，申万二级行业；来源：huatai+eastmoney_push2delay_clist_f62。</w:t>
      </w:r>
    </w:p>
    <w:bookmarkStart w:id="13" w:name="流出top10板块"/>
    <w:p>
      <w:pPr>
        <w:pStyle w:val="Heading3"/>
      </w:pPr>
      <w:r>
        <w:t xml:space="preserve">💰 </w:t>
      </w:r>
      <w:r>
        <w:rPr>
          <w:rFonts w:hint="eastAsia"/>
        </w:rPr>
        <w:t xml:space="preserve">流出TOP10板块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半导体</w:t>
            </w:r>
          </w:p>
        </w:tc>
        <w:tc>
          <w:tcPr/>
          <w:p>
            <w:pPr>
              <w:pStyle w:val="Compact"/>
              <w:jc w:val="right"/>
            </w:pPr>
            <w:r>
              <w:rPr>
                <w:rFonts w:hint="eastAsia"/>
              </w:rPr>
              <w:t xml:space="preserve">-51.35亿元</w:t>
            </w:r>
          </w:p>
        </w:tc>
      </w:tr>
      <w:tr>
        <w:tc>
          <w:tcPr/>
          <w:p>
            <w:pPr>
              <w:pStyle w:val="Compact"/>
              <w:jc w:val="right"/>
            </w:pPr>
            <w:r>
              <w:t xml:space="preserve">2</w:t>
            </w:r>
          </w:p>
        </w:tc>
        <w:tc>
          <w:tcPr/>
          <w:p>
            <w:pPr>
              <w:pStyle w:val="Compact"/>
            </w:pPr>
            <w:r>
              <w:rPr>
                <w:rFonts w:hint="eastAsia"/>
              </w:rPr>
              <w:t xml:space="preserve">通信设备</w:t>
            </w:r>
          </w:p>
        </w:tc>
        <w:tc>
          <w:tcPr/>
          <w:p>
            <w:pPr>
              <w:pStyle w:val="Compact"/>
              <w:jc w:val="right"/>
            </w:pPr>
            <w:r>
              <w:rPr>
                <w:rFonts w:hint="eastAsia"/>
              </w:rPr>
              <w:t xml:space="preserve">-41.04亿元</w:t>
            </w:r>
          </w:p>
        </w:tc>
      </w:tr>
      <w:tr>
        <w:tc>
          <w:tcPr/>
          <w:p>
            <w:pPr>
              <w:pStyle w:val="Compact"/>
              <w:jc w:val="right"/>
            </w:pPr>
            <w:r>
              <w:t xml:space="preserve">3</w:t>
            </w:r>
          </w:p>
        </w:tc>
        <w:tc>
          <w:tcPr/>
          <w:p>
            <w:pPr>
              <w:pStyle w:val="Compact"/>
            </w:pPr>
            <w:r>
              <w:rPr>
                <w:rFonts w:hint="eastAsia"/>
              </w:rPr>
              <w:t xml:space="preserve">银行Ⅱ</w:t>
            </w:r>
          </w:p>
        </w:tc>
        <w:tc>
          <w:tcPr/>
          <w:p>
            <w:pPr>
              <w:pStyle w:val="Compact"/>
              <w:jc w:val="right"/>
            </w:pPr>
            <w:r>
              <w:rPr>
                <w:rFonts w:hint="eastAsia"/>
              </w:rPr>
              <w:t xml:space="preserve">-27.55亿元</w:t>
            </w:r>
          </w:p>
        </w:tc>
      </w:tr>
      <w:tr>
        <w:tc>
          <w:tcPr/>
          <w:p>
            <w:pPr>
              <w:pStyle w:val="Compact"/>
              <w:jc w:val="right"/>
            </w:pPr>
            <w:r>
              <w:t xml:space="preserve">4</w:t>
            </w:r>
          </w:p>
        </w:tc>
        <w:tc>
          <w:tcPr/>
          <w:p>
            <w:pPr>
              <w:pStyle w:val="Compact"/>
            </w:pPr>
            <w:r>
              <w:rPr>
                <w:rFonts w:hint="eastAsia"/>
              </w:rPr>
              <w:t xml:space="preserve">元件</w:t>
            </w:r>
          </w:p>
        </w:tc>
        <w:tc>
          <w:tcPr/>
          <w:p>
            <w:pPr>
              <w:pStyle w:val="Compact"/>
              <w:jc w:val="right"/>
            </w:pPr>
            <w:r>
              <w:rPr>
                <w:rFonts w:hint="eastAsia"/>
              </w:rPr>
              <w:t xml:space="preserve">-26.54亿元</w:t>
            </w:r>
          </w:p>
        </w:tc>
      </w:tr>
      <w:tr>
        <w:tc>
          <w:tcPr/>
          <w:p>
            <w:pPr>
              <w:pStyle w:val="Compact"/>
              <w:jc w:val="right"/>
            </w:pPr>
            <w:r>
              <w:t xml:space="preserve">5</w:t>
            </w:r>
          </w:p>
        </w:tc>
        <w:tc>
          <w:tcPr/>
          <w:p>
            <w:pPr>
              <w:pStyle w:val="Compact"/>
            </w:pPr>
            <w:r>
              <w:rPr>
                <w:rFonts w:hint="eastAsia"/>
              </w:rPr>
              <w:t xml:space="preserve">自动化设备</w:t>
            </w:r>
          </w:p>
        </w:tc>
        <w:tc>
          <w:tcPr/>
          <w:p>
            <w:pPr>
              <w:pStyle w:val="Compact"/>
              <w:jc w:val="right"/>
            </w:pPr>
            <w:r>
              <w:rPr>
                <w:rFonts w:hint="eastAsia"/>
              </w:rPr>
              <w:t xml:space="preserve">-7.01亿元</w:t>
            </w:r>
          </w:p>
        </w:tc>
      </w:tr>
      <w:tr>
        <w:tc>
          <w:tcPr/>
          <w:p>
            <w:pPr>
              <w:pStyle w:val="Compact"/>
              <w:jc w:val="right"/>
            </w:pPr>
            <w:r>
              <w:t xml:space="preserve">6</w:t>
            </w:r>
          </w:p>
        </w:tc>
        <w:tc>
          <w:tcPr/>
          <w:p>
            <w:pPr>
              <w:pStyle w:val="Compact"/>
            </w:pPr>
            <w:r>
              <w:rPr>
                <w:rFonts w:hint="eastAsia"/>
              </w:rPr>
              <w:t xml:space="preserve">证券Ⅱ</w:t>
            </w:r>
          </w:p>
        </w:tc>
        <w:tc>
          <w:tcPr/>
          <w:p>
            <w:pPr>
              <w:pStyle w:val="Compact"/>
              <w:jc w:val="right"/>
            </w:pPr>
            <w:r>
              <w:rPr>
                <w:rFonts w:hint="eastAsia"/>
              </w:rPr>
              <w:t xml:space="preserve">-6.21亿元</w:t>
            </w:r>
          </w:p>
        </w:tc>
      </w:tr>
      <w:tr>
        <w:tc>
          <w:tcPr/>
          <w:p>
            <w:pPr>
              <w:pStyle w:val="Compact"/>
              <w:jc w:val="right"/>
            </w:pPr>
            <w:r>
              <w:t xml:space="preserve">7</w:t>
            </w:r>
          </w:p>
        </w:tc>
        <w:tc>
          <w:tcPr/>
          <w:p>
            <w:pPr>
              <w:pStyle w:val="Compact"/>
            </w:pPr>
            <w:r>
              <w:rPr>
                <w:rFonts w:hint="eastAsia"/>
              </w:rPr>
              <w:t xml:space="preserve">化学制药</w:t>
            </w:r>
          </w:p>
        </w:tc>
        <w:tc>
          <w:tcPr/>
          <w:p>
            <w:pPr>
              <w:pStyle w:val="Compact"/>
              <w:jc w:val="right"/>
            </w:pPr>
            <w:r>
              <w:rPr>
                <w:rFonts w:hint="eastAsia"/>
              </w:rPr>
              <w:t xml:space="preserve">-5.91亿元</w:t>
            </w:r>
          </w:p>
        </w:tc>
      </w:tr>
      <w:tr>
        <w:tc>
          <w:tcPr/>
          <w:p>
            <w:pPr>
              <w:pStyle w:val="Compact"/>
              <w:jc w:val="right"/>
            </w:pPr>
            <w:r>
              <w:t xml:space="preserve">8</w:t>
            </w:r>
          </w:p>
        </w:tc>
        <w:tc>
          <w:tcPr/>
          <w:p>
            <w:pPr>
              <w:pStyle w:val="Compact"/>
            </w:pPr>
            <w:r>
              <w:rPr>
                <w:rFonts w:hint="eastAsia"/>
              </w:rPr>
              <w:t xml:space="preserve">照明设备Ⅱ</w:t>
            </w:r>
          </w:p>
        </w:tc>
        <w:tc>
          <w:tcPr/>
          <w:p>
            <w:pPr>
              <w:pStyle w:val="Compact"/>
              <w:jc w:val="right"/>
            </w:pPr>
            <w:r>
              <w:rPr>
                <w:rFonts w:hint="eastAsia"/>
              </w:rPr>
              <w:t xml:space="preserve">-5.51亿元</w:t>
            </w:r>
          </w:p>
        </w:tc>
      </w:tr>
      <w:tr>
        <w:tc>
          <w:tcPr/>
          <w:p>
            <w:pPr>
              <w:pStyle w:val="Compact"/>
              <w:jc w:val="right"/>
            </w:pPr>
            <w:r>
              <w:t xml:space="preserve">9</w:t>
            </w:r>
          </w:p>
        </w:tc>
        <w:tc>
          <w:tcPr/>
          <w:p>
            <w:pPr>
              <w:pStyle w:val="Compact"/>
            </w:pPr>
            <w:r>
              <w:rPr>
                <w:rFonts w:hint="eastAsia"/>
              </w:rPr>
              <w:t xml:space="preserve">航运港口</w:t>
            </w:r>
          </w:p>
        </w:tc>
        <w:tc>
          <w:tcPr/>
          <w:p>
            <w:pPr>
              <w:pStyle w:val="Compact"/>
              <w:jc w:val="right"/>
            </w:pPr>
            <w:r>
              <w:rPr>
                <w:rFonts w:hint="eastAsia"/>
              </w:rPr>
              <w:t xml:space="preserve">-5.18亿元</w:t>
            </w:r>
          </w:p>
        </w:tc>
      </w:tr>
      <w:tr>
        <w:tc>
          <w:tcPr/>
          <w:p>
            <w:pPr>
              <w:pStyle w:val="Compact"/>
              <w:jc w:val="right"/>
            </w:pPr>
            <w:r>
              <w:t xml:space="preserve">10</w:t>
            </w:r>
          </w:p>
        </w:tc>
        <w:tc>
          <w:tcPr/>
          <w:p>
            <w:pPr>
              <w:pStyle w:val="Compact"/>
            </w:pPr>
            <w:r>
              <w:rPr>
                <w:rFonts w:hint="eastAsia"/>
              </w:rPr>
              <w:t xml:space="preserve">通用设备</w:t>
            </w:r>
          </w:p>
        </w:tc>
        <w:tc>
          <w:tcPr/>
          <w:p>
            <w:pPr>
              <w:pStyle w:val="Compact"/>
              <w:jc w:val="right"/>
            </w:pPr>
            <w:r>
              <w:rPr>
                <w:rFonts w:hint="eastAsia"/>
              </w:rPr>
              <w:t xml:space="preserve">-4.91亿元</w:t>
            </w:r>
          </w:p>
        </w:tc>
      </w:tr>
    </w:tbl>
    <w:bookmarkEnd w:id="13"/>
    <w:bookmarkStart w:id="14" w:name="流出top10个股"/>
    <w:p>
      <w:pPr>
        <w:pStyle w:val="Heading3"/>
      </w:pPr>
      <w:r>
        <w:t xml:space="preserve">💰 </w:t>
      </w:r>
      <w:r>
        <w:rPr>
          <w:rFonts w:hint="eastAsia"/>
        </w:rPr>
        <w:t xml:space="preserve">流出TOP10个股</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中际旭创(300308)</w:t>
            </w:r>
          </w:p>
        </w:tc>
        <w:tc>
          <w:tcPr/>
          <w:p>
            <w:pPr>
              <w:pStyle w:val="Compact"/>
              <w:jc w:val="right"/>
            </w:pPr>
            <w:r>
              <w:rPr>
                <w:rFonts w:hint="eastAsia"/>
              </w:rPr>
              <w:t xml:space="preserve">-10.87亿</w:t>
            </w:r>
          </w:p>
        </w:tc>
      </w:tr>
      <w:tr>
        <w:tc>
          <w:tcPr/>
          <w:p>
            <w:pPr>
              <w:pStyle w:val="Compact"/>
              <w:jc w:val="right"/>
            </w:pPr>
            <w:r>
              <w:t xml:space="preserve">2</w:t>
            </w:r>
          </w:p>
        </w:tc>
        <w:tc>
          <w:tcPr/>
          <w:p>
            <w:pPr>
              <w:pStyle w:val="Compact"/>
            </w:pPr>
            <w:r>
              <w:rPr>
                <w:rFonts w:hint="eastAsia"/>
              </w:rPr>
              <w:t xml:space="preserve">长鑫科技(688825)</w:t>
            </w:r>
          </w:p>
        </w:tc>
        <w:tc>
          <w:tcPr/>
          <w:p>
            <w:pPr>
              <w:pStyle w:val="Compact"/>
              <w:jc w:val="right"/>
            </w:pPr>
            <w:r>
              <w:rPr>
                <w:rFonts w:hint="eastAsia"/>
              </w:rPr>
              <w:t xml:space="preserve">-9.25亿</w:t>
            </w:r>
          </w:p>
        </w:tc>
      </w:tr>
      <w:tr>
        <w:tc>
          <w:tcPr/>
          <w:p>
            <w:pPr>
              <w:pStyle w:val="Compact"/>
              <w:jc w:val="right"/>
            </w:pPr>
            <w:r>
              <w:t xml:space="preserve">3</w:t>
            </w:r>
          </w:p>
        </w:tc>
        <w:tc>
          <w:tcPr/>
          <w:p>
            <w:pPr>
              <w:pStyle w:val="Compact"/>
            </w:pPr>
            <w:r>
              <w:rPr>
                <w:rFonts w:hint="eastAsia"/>
              </w:rPr>
              <w:t xml:space="preserve">寒武纪(688256)</w:t>
            </w:r>
          </w:p>
        </w:tc>
        <w:tc>
          <w:tcPr/>
          <w:p>
            <w:pPr>
              <w:pStyle w:val="Compact"/>
              <w:jc w:val="right"/>
            </w:pPr>
            <w:r>
              <w:rPr>
                <w:rFonts w:hint="eastAsia"/>
              </w:rPr>
              <w:t xml:space="preserve">-8.50亿</w:t>
            </w:r>
          </w:p>
        </w:tc>
      </w:tr>
      <w:tr>
        <w:tc>
          <w:tcPr/>
          <w:p>
            <w:pPr>
              <w:pStyle w:val="Compact"/>
              <w:jc w:val="right"/>
            </w:pPr>
            <w:r>
              <w:t xml:space="preserve">4</w:t>
            </w:r>
          </w:p>
        </w:tc>
        <w:tc>
          <w:tcPr/>
          <w:p>
            <w:pPr>
              <w:pStyle w:val="Compact"/>
            </w:pPr>
            <w:r>
              <w:rPr>
                <w:rFonts w:hint="eastAsia"/>
              </w:rPr>
              <w:t xml:space="preserve">天孚通信(300394)</w:t>
            </w:r>
          </w:p>
        </w:tc>
        <w:tc>
          <w:tcPr/>
          <w:p>
            <w:pPr>
              <w:pStyle w:val="Compact"/>
              <w:jc w:val="right"/>
            </w:pPr>
            <w:r>
              <w:rPr>
                <w:rFonts w:hint="eastAsia"/>
              </w:rPr>
              <w:t xml:space="preserve">-5.72亿</w:t>
            </w:r>
          </w:p>
        </w:tc>
      </w:tr>
      <w:tr>
        <w:tc>
          <w:tcPr/>
          <w:p>
            <w:pPr>
              <w:pStyle w:val="Compact"/>
              <w:jc w:val="right"/>
            </w:pPr>
            <w:r>
              <w:t xml:space="preserve">5</w:t>
            </w:r>
          </w:p>
        </w:tc>
        <w:tc>
          <w:tcPr/>
          <w:p>
            <w:pPr>
              <w:pStyle w:val="Compact"/>
            </w:pPr>
            <w:r>
              <w:rPr>
                <w:rFonts w:hint="eastAsia"/>
              </w:rPr>
              <w:t xml:space="preserve">招商银行(600036)</w:t>
            </w:r>
          </w:p>
        </w:tc>
        <w:tc>
          <w:tcPr/>
          <w:p>
            <w:pPr>
              <w:pStyle w:val="Compact"/>
              <w:jc w:val="right"/>
            </w:pPr>
            <w:r>
              <w:rPr>
                <w:rFonts w:hint="eastAsia"/>
              </w:rPr>
              <w:t xml:space="preserve">-4.93亿</w:t>
            </w:r>
          </w:p>
        </w:tc>
      </w:tr>
      <w:tr>
        <w:tc>
          <w:tcPr/>
          <w:p>
            <w:pPr>
              <w:pStyle w:val="Compact"/>
              <w:jc w:val="right"/>
            </w:pPr>
            <w:r>
              <w:t xml:space="preserve">6</w:t>
            </w:r>
          </w:p>
        </w:tc>
        <w:tc>
          <w:tcPr/>
          <w:p>
            <w:pPr>
              <w:pStyle w:val="Compact"/>
            </w:pPr>
            <w:r>
              <w:rPr>
                <w:rFonts w:hint="eastAsia"/>
              </w:rPr>
              <w:t xml:space="preserve">农业银行(601288)</w:t>
            </w:r>
          </w:p>
        </w:tc>
        <w:tc>
          <w:tcPr/>
          <w:p>
            <w:pPr>
              <w:pStyle w:val="Compact"/>
              <w:jc w:val="right"/>
            </w:pPr>
            <w:r>
              <w:rPr>
                <w:rFonts w:hint="eastAsia"/>
              </w:rPr>
              <w:t xml:space="preserve">-4.71亿</w:t>
            </w:r>
          </w:p>
        </w:tc>
      </w:tr>
      <w:tr>
        <w:tc>
          <w:tcPr/>
          <w:p>
            <w:pPr>
              <w:pStyle w:val="Compact"/>
              <w:jc w:val="right"/>
            </w:pPr>
            <w:r>
              <w:t xml:space="preserve">7</w:t>
            </w:r>
          </w:p>
        </w:tc>
        <w:tc>
          <w:tcPr/>
          <w:p>
            <w:pPr>
              <w:pStyle w:val="Compact"/>
            </w:pPr>
            <w:r>
              <w:rPr>
                <w:rFonts w:hint="eastAsia"/>
              </w:rPr>
              <w:t xml:space="preserve">生益科技(600183)</w:t>
            </w:r>
          </w:p>
        </w:tc>
        <w:tc>
          <w:tcPr/>
          <w:p>
            <w:pPr>
              <w:pStyle w:val="Compact"/>
              <w:jc w:val="right"/>
            </w:pPr>
            <w:r>
              <w:rPr>
                <w:rFonts w:hint="eastAsia"/>
              </w:rPr>
              <w:t xml:space="preserve">-4.23亿</w:t>
            </w:r>
          </w:p>
        </w:tc>
      </w:tr>
      <w:tr>
        <w:tc>
          <w:tcPr/>
          <w:p>
            <w:pPr>
              <w:pStyle w:val="Compact"/>
              <w:jc w:val="right"/>
            </w:pPr>
            <w:r>
              <w:t xml:space="preserve">8</w:t>
            </w:r>
          </w:p>
        </w:tc>
        <w:tc>
          <w:tcPr/>
          <w:p>
            <w:pPr>
              <w:pStyle w:val="Compact"/>
            </w:pPr>
            <w:r>
              <w:rPr>
                <w:rFonts w:hint="eastAsia"/>
              </w:rPr>
              <w:t xml:space="preserve">阳光照明(600261)</w:t>
            </w:r>
          </w:p>
        </w:tc>
        <w:tc>
          <w:tcPr/>
          <w:p>
            <w:pPr>
              <w:pStyle w:val="Compact"/>
              <w:jc w:val="right"/>
            </w:pPr>
            <w:r>
              <w:rPr>
                <w:rFonts w:hint="eastAsia"/>
              </w:rPr>
              <w:t xml:space="preserve">-4.14亿</w:t>
            </w:r>
          </w:p>
        </w:tc>
      </w:tr>
      <w:tr>
        <w:tc>
          <w:tcPr/>
          <w:p>
            <w:pPr>
              <w:pStyle w:val="Compact"/>
              <w:jc w:val="right"/>
            </w:pPr>
            <w:r>
              <w:t xml:space="preserve">9</w:t>
            </w:r>
          </w:p>
        </w:tc>
        <w:tc>
          <w:tcPr/>
          <w:p>
            <w:pPr>
              <w:pStyle w:val="Compact"/>
            </w:pPr>
            <w:r>
              <w:rPr>
                <w:rFonts w:hint="eastAsia"/>
              </w:rPr>
              <w:t xml:space="preserve">兆易创新(603986)</w:t>
            </w:r>
          </w:p>
        </w:tc>
        <w:tc>
          <w:tcPr/>
          <w:p>
            <w:pPr>
              <w:pStyle w:val="Compact"/>
              <w:jc w:val="right"/>
            </w:pPr>
            <w:r>
              <w:rPr>
                <w:rFonts w:hint="eastAsia"/>
              </w:rPr>
              <w:t xml:space="preserve">-3.84亿</w:t>
            </w:r>
          </w:p>
        </w:tc>
      </w:tr>
      <w:tr>
        <w:tc>
          <w:tcPr/>
          <w:p>
            <w:pPr>
              <w:pStyle w:val="Compact"/>
              <w:jc w:val="right"/>
            </w:pPr>
            <w:r>
              <w:t xml:space="preserve">10</w:t>
            </w:r>
          </w:p>
        </w:tc>
        <w:tc>
          <w:tcPr/>
          <w:p>
            <w:pPr>
              <w:pStyle w:val="Compact"/>
            </w:pPr>
            <w:r>
              <w:rPr>
                <w:rFonts w:hint="eastAsia"/>
              </w:rPr>
              <w:t xml:space="preserve">方正科技(600601)</w:t>
            </w:r>
          </w:p>
        </w:tc>
        <w:tc>
          <w:tcPr/>
          <w:p>
            <w:pPr>
              <w:pStyle w:val="Compact"/>
              <w:jc w:val="right"/>
            </w:pPr>
            <w:r>
              <w:rPr>
                <w:rFonts w:hint="eastAsia"/>
              </w:rPr>
              <w:t xml:space="preserve">-3.71亿</w:t>
            </w:r>
          </w:p>
        </w:tc>
      </w:tr>
    </w:tbl>
    <w:bookmarkEnd w:id="14"/>
    <w:bookmarkStart w:id="15" w:name="流入top10板块"/>
    <w:p>
      <w:pPr>
        <w:pStyle w:val="Heading3"/>
      </w:pPr>
      <w:r>
        <w:t xml:space="preserve">💰 </w:t>
      </w:r>
      <w:r>
        <w:rPr>
          <w:rFonts w:hint="eastAsia"/>
        </w:rPr>
        <w:t xml:space="preserve">流入TOP10板块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电力设备</w:t>
            </w:r>
          </w:p>
        </w:tc>
        <w:tc>
          <w:tcPr/>
          <w:p>
            <w:pPr>
              <w:pStyle w:val="Compact"/>
              <w:jc w:val="right"/>
            </w:pPr>
            <w:r>
              <w:rPr>
                <w:rFonts w:hint="eastAsia"/>
              </w:rPr>
              <w:t xml:space="preserve">+43.83亿元</w:t>
            </w:r>
          </w:p>
        </w:tc>
      </w:tr>
      <w:tr>
        <w:tc>
          <w:tcPr/>
          <w:p>
            <w:pPr>
              <w:pStyle w:val="Compact"/>
              <w:jc w:val="right"/>
            </w:pPr>
            <w:r>
              <w:t xml:space="preserve">2</w:t>
            </w:r>
          </w:p>
        </w:tc>
        <w:tc>
          <w:tcPr/>
          <w:p>
            <w:pPr>
              <w:pStyle w:val="Compact"/>
            </w:pPr>
            <w:r>
              <w:rPr>
                <w:rFonts w:hint="eastAsia"/>
              </w:rPr>
              <w:t xml:space="preserve">电池</w:t>
            </w:r>
          </w:p>
        </w:tc>
        <w:tc>
          <w:tcPr/>
          <w:p>
            <w:pPr>
              <w:pStyle w:val="Compact"/>
              <w:jc w:val="right"/>
            </w:pPr>
            <w:r>
              <w:rPr>
                <w:rFonts w:hint="eastAsia"/>
              </w:rPr>
              <w:t xml:space="preserve">+24.81亿元</w:t>
            </w:r>
          </w:p>
        </w:tc>
      </w:tr>
      <w:tr>
        <w:tc>
          <w:tcPr/>
          <w:p>
            <w:pPr>
              <w:pStyle w:val="Compact"/>
              <w:jc w:val="right"/>
            </w:pPr>
            <w:r>
              <w:t xml:space="preserve">3</w:t>
            </w:r>
          </w:p>
        </w:tc>
        <w:tc>
          <w:tcPr/>
          <w:p>
            <w:pPr>
              <w:pStyle w:val="Compact"/>
            </w:pPr>
            <w:r>
              <w:rPr>
                <w:rFonts w:hint="eastAsia"/>
              </w:rPr>
              <w:t xml:space="preserve">有色金属</w:t>
            </w:r>
          </w:p>
        </w:tc>
        <w:tc>
          <w:tcPr/>
          <w:p>
            <w:pPr>
              <w:pStyle w:val="Compact"/>
              <w:jc w:val="right"/>
            </w:pPr>
            <w:r>
              <w:rPr>
                <w:rFonts w:hint="eastAsia"/>
              </w:rPr>
              <w:t xml:space="preserve">+16.19亿元</w:t>
            </w:r>
          </w:p>
        </w:tc>
      </w:tr>
      <w:tr>
        <w:tc>
          <w:tcPr/>
          <w:p>
            <w:pPr>
              <w:pStyle w:val="Compact"/>
              <w:jc w:val="right"/>
            </w:pPr>
            <w:r>
              <w:t xml:space="preserve">4</w:t>
            </w:r>
          </w:p>
        </w:tc>
        <w:tc>
          <w:tcPr/>
          <w:p>
            <w:pPr>
              <w:pStyle w:val="Compact"/>
            </w:pPr>
            <w:r>
              <w:rPr>
                <w:rFonts w:hint="eastAsia"/>
              </w:rPr>
              <w:t xml:space="preserve">锂电池</w:t>
            </w:r>
          </w:p>
        </w:tc>
        <w:tc>
          <w:tcPr/>
          <w:p>
            <w:pPr>
              <w:pStyle w:val="Compact"/>
              <w:jc w:val="right"/>
            </w:pPr>
            <w:r>
              <w:rPr>
                <w:rFonts w:hint="eastAsia"/>
              </w:rPr>
              <w:t xml:space="preserve">+10.74亿元</w:t>
            </w:r>
          </w:p>
        </w:tc>
      </w:tr>
      <w:tr>
        <w:tc>
          <w:tcPr/>
          <w:p>
            <w:pPr>
              <w:pStyle w:val="Compact"/>
              <w:jc w:val="right"/>
            </w:pPr>
            <w:r>
              <w:t xml:space="preserve">5</w:t>
            </w:r>
          </w:p>
        </w:tc>
        <w:tc>
          <w:tcPr/>
          <w:p>
            <w:pPr>
              <w:pStyle w:val="Compact"/>
            </w:pPr>
            <w:r>
              <w:rPr>
                <w:rFonts w:hint="eastAsia"/>
              </w:rPr>
              <w:t xml:space="preserve">光伏设备</w:t>
            </w:r>
          </w:p>
        </w:tc>
        <w:tc>
          <w:tcPr/>
          <w:p>
            <w:pPr>
              <w:pStyle w:val="Compact"/>
              <w:jc w:val="right"/>
            </w:pPr>
            <w:r>
              <w:rPr>
                <w:rFonts w:hint="eastAsia"/>
              </w:rPr>
              <w:t xml:space="preserve">+10.69亿元</w:t>
            </w:r>
          </w:p>
        </w:tc>
      </w:tr>
      <w:tr>
        <w:tc>
          <w:tcPr/>
          <w:p>
            <w:pPr>
              <w:pStyle w:val="Compact"/>
              <w:jc w:val="right"/>
            </w:pPr>
            <w:r>
              <w:t xml:space="preserve">6</w:t>
            </w:r>
          </w:p>
        </w:tc>
        <w:tc>
          <w:tcPr/>
          <w:p>
            <w:pPr>
              <w:pStyle w:val="Compact"/>
            </w:pPr>
            <w:r>
              <w:rPr>
                <w:rFonts w:hint="eastAsia"/>
              </w:rPr>
              <w:t xml:space="preserve">电池化学品</w:t>
            </w:r>
          </w:p>
        </w:tc>
        <w:tc>
          <w:tcPr/>
          <w:p>
            <w:pPr>
              <w:pStyle w:val="Compact"/>
              <w:jc w:val="right"/>
            </w:pPr>
            <w:r>
              <w:rPr>
                <w:rFonts w:hint="eastAsia"/>
              </w:rPr>
              <w:t xml:space="preserve">+8.60亿元</w:t>
            </w:r>
          </w:p>
        </w:tc>
      </w:tr>
      <w:tr>
        <w:tc>
          <w:tcPr/>
          <w:p>
            <w:pPr>
              <w:pStyle w:val="Compact"/>
              <w:jc w:val="right"/>
            </w:pPr>
            <w:r>
              <w:t xml:space="preserve">7</w:t>
            </w:r>
          </w:p>
        </w:tc>
        <w:tc>
          <w:tcPr/>
          <w:p>
            <w:pPr>
              <w:pStyle w:val="Compact"/>
            </w:pPr>
            <w:r>
              <w:rPr>
                <w:rFonts w:hint="eastAsia"/>
              </w:rPr>
              <w:t xml:space="preserve">工业金属</w:t>
            </w:r>
          </w:p>
        </w:tc>
        <w:tc>
          <w:tcPr/>
          <w:p>
            <w:pPr>
              <w:pStyle w:val="Compact"/>
              <w:jc w:val="right"/>
            </w:pPr>
            <w:r>
              <w:rPr>
                <w:rFonts w:hint="eastAsia"/>
              </w:rPr>
              <w:t xml:space="preserve">+8.43亿元</w:t>
            </w:r>
          </w:p>
        </w:tc>
      </w:tr>
      <w:tr>
        <w:tc>
          <w:tcPr/>
          <w:p>
            <w:pPr>
              <w:pStyle w:val="Compact"/>
              <w:jc w:val="right"/>
            </w:pPr>
            <w:r>
              <w:t xml:space="preserve">8</w:t>
            </w:r>
          </w:p>
        </w:tc>
        <w:tc>
          <w:tcPr/>
          <w:p>
            <w:pPr>
              <w:pStyle w:val="Compact"/>
            </w:pPr>
            <w:r>
              <w:rPr>
                <w:rFonts w:hint="eastAsia"/>
              </w:rPr>
              <w:t xml:space="preserve">化学制品</w:t>
            </w:r>
          </w:p>
        </w:tc>
        <w:tc>
          <w:tcPr/>
          <w:p>
            <w:pPr>
              <w:pStyle w:val="Compact"/>
              <w:jc w:val="right"/>
            </w:pPr>
            <w:r>
              <w:rPr>
                <w:rFonts w:hint="eastAsia"/>
              </w:rPr>
              <w:t xml:space="preserve">+8.19亿元</w:t>
            </w:r>
          </w:p>
        </w:tc>
      </w:tr>
      <w:tr>
        <w:tc>
          <w:tcPr/>
          <w:p>
            <w:pPr>
              <w:pStyle w:val="Compact"/>
              <w:jc w:val="right"/>
            </w:pPr>
            <w:r>
              <w:t xml:space="preserve">9</w:t>
            </w:r>
          </w:p>
        </w:tc>
        <w:tc>
          <w:tcPr/>
          <w:p>
            <w:pPr>
              <w:pStyle w:val="Compact"/>
            </w:pPr>
            <w:r>
              <w:rPr>
                <w:rFonts w:hint="eastAsia"/>
              </w:rPr>
              <w:t xml:space="preserve">电网设备</w:t>
            </w:r>
          </w:p>
        </w:tc>
        <w:tc>
          <w:tcPr/>
          <w:p>
            <w:pPr>
              <w:pStyle w:val="Compact"/>
              <w:jc w:val="right"/>
            </w:pPr>
            <w:r>
              <w:rPr>
                <w:rFonts w:hint="eastAsia"/>
              </w:rPr>
              <w:t xml:space="preserve">+6.50亿元</w:t>
            </w:r>
          </w:p>
        </w:tc>
      </w:tr>
      <w:tr>
        <w:tc>
          <w:tcPr/>
          <w:p>
            <w:pPr>
              <w:pStyle w:val="Compact"/>
              <w:jc w:val="right"/>
            </w:pPr>
            <w:r>
              <w:t xml:space="preserve">10</w:t>
            </w:r>
          </w:p>
        </w:tc>
        <w:tc>
          <w:tcPr/>
          <w:p>
            <w:pPr>
              <w:pStyle w:val="Compact"/>
            </w:pPr>
            <w:r>
              <w:rPr>
                <w:rFonts w:hint="eastAsia"/>
              </w:rPr>
              <w:t xml:space="preserve">逆变器</w:t>
            </w:r>
          </w:p>
        </w:tc>
        <w:tc>
          <w:tcPr/>
          <w:p>
            <w:pPr>
              <w:pStyle w:val="Compact"/>
              <w:jc w:val="right"/>
            </w:pPr>
            <w:r>
              <w:rPr>
                <w:rFonts w:hint="eastAsia"/>
              </w:rPr>
              <w:t xml:space="preserve">+6.23亿元</w:t>
            </w:r>
          </w:p>
        </w:tc>
      </w:tr>
    </w:tbl>
    <w:bookmarkEnd w:id="15"/>
    <w:bookmarkStart w:id="16" w:name="流入top10个股"/>
    <w:p>
      <w:pPr>
        <w:pStyle w:val="Heading3"/>
      </w:pPr>
      <w:r>
        <w:t xml:space="preserve">💰 </w:t>
      </w:r>
      <w:r>
        <w:rPr>
          <w:rFonts w:hint="eastAsia"/>
        </w:rPr>
        <w:t xml:space="preserve">流入TOP10个股</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宁德时代(300750)</w:t>
            </w:r>
          </w:p>
        </w:tc>
        <w:tc>
          <w:tcPr/>
          <w:p>
            <w:pPr>
              <w:pStyle w:val="Compact"/>
              <w:jc w:val="right"/>
            </w:pPr>
            <w:r>
              <w:rPr>
                <w:rFonts w:hint="eastAsia"/>
              </w:rPr>
              <w:t xml:space="preserve">+11.75亿</w:t>
            </w:r>
          </w:p>
        </w:tc>
      </w:tr>
      <w:tr>
        <w:tc>
          <w:tcPr/>
          <w:p>
            <w:pPr>
              <w:pStyle w:val="Compact"/>
              <w:jc w:val="right"/>
            </w:pPr>
            <w:r>
              <w:t xml:space="preserve">2</w:t>
            </w:r>
          </w:p>
        </w:tc>
        <w:tc>
          <w:tcPr/>
          <w:p>
            <w:pPr>
              <w:pStyle w:val="Compact"/>
            </w:pPr>
            <w:r>
              <w:rPr>
                <w:rFonts w:hint="eastAsia"/>
              </w:rPr>
              <w:t xml:space="preserve">阳光电源(300274)</w:t>
            </w:r>
          </w:p>
        </w:tc>
        <w:tc>
          <w:tcPr/>
          <w:p>
            <w:pPr>
              <w:pStyle w:val="Compact"/>
              <w:jc w:val="right"/>
            </w:pPr>
            <w:r>
              <w:rPr>
                <w:rFonts w:hint="eastAsia"/>
              </w:rPr>
              <w:t xml:space="preserve">+4.67亿</w:t>
            </w:r>
          </w:p>
        </w:tc>
      </w:tr>
      <w:tr>
        <w:tc>
          <w:tcPr/>
          <w:p>
            <w:pPr>
              <w:pStyle w:val="Compact"/>
              <w:jc w:val="right"/>
            </w:pPr>
            <w:r>
              <w:t xml:space="preserve">3</w:t>
            </w:r>
          </w:p>
        </w:tc>
        <w:tc>
          <w:tcPr/>
          <w:p>
            <w:pPr>
              <w:pStyle w:val="Compact"/>
            </w:pPr>
            <w:r>
              <w:rPr>
                <w:rFonts w:hint="eastAsia"/>
              </w:rPr>
              <w:t xml:space="preserve">N皇冠(001381)</w:t>
            </w:r>
          </w:p>
        </w:tc>
        <w:tc>
          <w:tcPr/>
          <w:p>
            <w:pPr>
              <w:pStyle w:val="Compact"/>
              <w:jc w:val="right"/>
            </w:pPr>
            <w:r>
              <w:rPr>
                <w:rFonts w:hint="eastAsia"/>
              </w:rPr>
              <w:t xml:space="preserve">+4.53亿</w:t>
            </w:r>
          </w:p>
        </w:tc>
      </w:tr>
      <w:tr>
        <w:tc>
          <w:tcPr/>
          <w:p>
            <w:pPr>
              <w:pStyle w:val="Compact"/>
              <w:jc w:val="right"/>
            </w:pPr>
            <w:r>
              <w:t xml:space="preserve">4</w:t>
            </w:r>
          </w:p>
        </w:tc>
        <w:tc>
          <w:tcPr/>
          <w:p>
            <w:pPr>
              <w:pStyle w:val="Compact"/>
            </w:pPr>
            <w:r>
              <w:rPr>
                <w:rFonts w:hint="eastAsia"/>
              </w:rPr>
              <w:t xml:space="preserve">慈文传媒(002343)</w:t>
            </w:r>
          </w:p>
        </w:tc>
        <w:tc>
          <w:tcPr/>
          <w:p>
            <w:pPr>
              <w:pStyle w:val="Compact"/>
              <w:jc w:val="right"/>
            </w:pPr>
            <w:r>
              <w:rPr>
                <w:rFonts w:hint="eastAsia"/>
              </w:rPr>
              <w:t xml:space="preserve">+3.64亿</w:t>
            </w:r>
          </w:p>
        </w:tc>
      </w:tr>
      <w:tr>
        <w:tc>
          <w:tcPr/>
          <w:p>
            <w:pPr>
              <w:pStyle w:val="Compact"/>
              <w:jc w:val="right"/>
            </w:pPr>
            <w:r>
              <w:t xml:space="preserve">5</w:t>
            </w:r>
          </w:p>
        </w:tc>
        <w:tc>
          <w:tcPr/>
          <w:p>
            <w:pPr>
              <w:pStyle w:val="Compact"/>
            </w:pPr>
            <w:r>
              <w:rPr>
                <w:rFonts w:hint="eastAsia"/>
              </w:rPr>
              <w:t xml:space="preserve">圣阳股份(002580)</w:t>
            </w:r>
          </w:p>
        </w:tc>
        <w:tc>
          <w:tcPr/>
          <w:p>
            <w:pPr>
              <w:pStyle w:val="Compact"/>
              <w:jc w:val="right"/>
            </w:pPr>
            <w:r>
              <w:rPr>
                <w:rFonts w:hint="eastAsia"/>
              </w:rPr>
              <w:t xml:space="preserve">+3.33亿</w:t>
            </w:r>
          </w:p>
        </w:tc>
      </w:tr>
      <w:tr>
        <w:tc>
          <w:tcPr/>
          <w:p>
            <w:pPr>
              <w:pStyle w:val="Compact"/>
              <w:jc w:val="right"/>
            </w:pPr>
            <w:r>
              <w:t xml:space="preserve">6</w:t>
            </w:r>
          </w:p>
        </w:tc>
        <w:tc>
          <w:tcPr/>
          <w:p>
            <w:pPr>
              <w:pStyle w:val="Compact"/>
            </w:pPr>
            <w:r>
              <w:rPr>
                <w:rFonts w:hint="eastAsia"/>
              </w:rPr>
              <w:t xml:space="preserve">紫金矿业(601899)</w:t>
            </w:r>
          </w:p>
        </w:tc>
        <w:tc>
          <w:tcPr/>
          <w:p>
            <w:pPr>
              <w:pStyle w:val="Compact"/>
              <w:jc w:val="right"/>
            </w:pPr>
            <w:r>
              <w:rPr>
                <w:rFonts w:hint="eastAsia"/>
              </w:rPr>
              <w:t xml:space="preserve">+2.66亿</w:t>
            </w:r>
          </w:p>
        </w:tc>
      </w:tr>
      <w:tr>
        <w:tc>
          <w:tcPr/>
          <w:p>
            <w:pPr>
              <w:pStyle w:val="Compact"/>
              <w:jc w:val="right"/>
            </w:pPr>
            <w:r>
              <w:t xml:space="preserve">7</w:t>
            </w:r>
          </w:p>
        </w:tc>
        <w:tc>
          <w:tcPr/>
          <w:p>
            <w:pPr>
              <w:pStyle w:val="Compact"/>
            </w:pPr>
            <w:r>
              <w:rPr>
                <w:rFonts w:hint="eastAsia"/>
              </w:rPr>
              <w:t xml:space="preserve">太阳电缆(002300)</w:t>
            </w:r>
          </w:p>
        </w:tc>
        <w:tc>
          <w:tcPr/>
          <w:p>
            <w:pPr>
              <w:pStyle w:val="Compact"/>
              <w:jc w:val="right"/>
            </w:pPr>
            <w:r>
              <w:rPr>
                <w:rFonts w:hint="eastAsia"/>
              </w:rPr>
              <w:t xml:space="preserve">+2.62亿</w:t>
            </w:r>
          </w:p>
        </w:tc>
      </w:tr>
      <w:tr>
        <w:tc>
          <w:tcPr/>
          <w:p>
            <w:pPr>
              <w:pStyle w:val="Compact"/>
              <w:jc w:val="right"/>
            </w:pPr>
            <w:r>
              <w:t xml:space="preserve">8</w:t>
            </w:r>
          </w:p>
        </w:tc>
        <w:tc>
          <w:tcPr/>
          <w:p>
            <w:pPr>
              <w:pStyle w:val="Compact"/>
            </w:pPr>
            <w:r>
              <w:rPr>
                <w:rFonts w:hint="eastAsia"/>
              </w:rPr>
              <w:t xml:space="preserve">太阳能(000591)</w:t>
            </w:r>
          </w:p>
        </w:tc>
        <w:tc>
          <w:tcPr/>
          <w:p>
            <w:pPr>
              <w:pStyle w:val="Compact"/>
              <w:jc w:val="right"/>
            </w:pPr>
            <w:r>
              <w:rPr>
                <w:rFonts w:hint="eastAsia"/>
              </w:rPr>
              <w:t xml:space="preserve">+2.50亿</w:t>
            </w:r>
          </w:p>
        </w:tc>
      </w:tr>
      <w:tr>
        <w:tc>
          <w:tcPr/>
          <w:p>
            <w:pPr>
              <w:pStyle w:val="Compact"/>
              <w:jc w:val="right"/>
            </w:pPr>
            <w:r>
              <w:t xml:space="preserve">9</w:t>
            </w:r>
          </w:p>
        </w:tc>
        <w:tc>
          <w:tcPr/>
          <w:p>
            <w:pPr>
              <w:pStyle w:val="Compact"/>
            </w:pPr>
            <w:r>
              <w:rPr>
                <w:rFonts w:hint="eastAsia"/>
              </w:rPr>
              <w:t xml:space="preserve">百洋股份(002696)</w:t>
            </w:r>
          </w:p>
        </w:tc>
        <w:tc>
          <w:tcPr/>
          <w:p>
            <w:pPr>
              <w:pStyle w:val="Compact"/>
              <w:jc w:val="right"/>
            </w:pPr>
            <w:r>
              <w:rPr>
                <w:rFonts w:hint="eastAsia"/>
              </w:rPr>
              <w:t xml:space="preserve">+2.46亿</w:t>
            </w:r>
          </w:p>
        </w:tc>
      </w:tr>
      <w:tr>
        <w:tc>
          <w:tcPr/>
          <w:p>
            <w:pPr>
              <w:pStyle w:val="Compact"/>
              <w:jc w:val="right"/>
            </w:pPr>
            <w:r>
              <w:t xml:space="preserve">10</w:t>
            </w:r>
          </w:p>
        </w:tc>
        <w:tc>
          <w:tcPr/>
          <w:p>
            <w:pPr>
              <w:pStyle w:val="Compact"/>
            </w:pPr>
            <w:r>
              <w:rPr>
                <w:rFonts w:hint="eastAsia"/>
              </w:rPr>
              <w:t xml:space="preserve">盟固利(301487)</w:t>
            </w:r>
          </w:p>
        </w:tc>
        <w:tc>
          <w:tcPr/>
          <w:p>
            <w:pPr>
              <w:pStyle w:val="Compact"/>
              <w:jc w:val="right"/>
            </w:pPr>
            <w:r>
              <w:rPr>
                <w:rFonts w:hint="eastAsia"/>
              </w:rPr>
              <w:t xml:space="preserve">+2.39亿</w:t>
            </w:r>
          </w:p>
        </w:tc>
      </w:tr>
    </w:tbl>
    <w:bookmarkEnd w:id="16"/>
    <w:bookmarkEnd w:id="17"/>
    <w:bookmarkStart w:id="18" w:name="资金流出预警"/>
    <w:p>
      <w:pPr>
        <w:pStyle w:val="Heading2"/>
      </w:pPr>
      <w:r>
        <w:t xml:space="preserve">⚠️ </w:t>
      </w:r>
      <w:r>
        <w:rPr>
          <w:rFonts w:hint="eastAsia"/>
        </w:rPr>
        <w:t xml:space="preserve">资金流出预警</w:t>
      </w:r>
    </w:p>
    <w:p>
      <w:pPr>
        <w:pStyle w:val="Compact"/>
        <w:numPr>
          <w:ilvl w:val="0"/>
          <w:numId w:val="1005"/>
        </w:numPr>
      </w:pPr>
      <w:r>
        <w:t xml:space="preserve">📉</w:t>
      </w:r>
      <w:r>
        <w:t xml:space="preserve"> </w:t>
      </w:r>
      <w:r>
        <w:rPr>
          <w:rFonts w:hint="eastAsia"/>
          <w:b/>
          <w:bCs/>
        </w:rPr>
        <w:t xml:space="preserve">半导体净流出51.35亿元</w:t>
      </w:r>
      <w:r>
        <w:rPr>
          <w:rFonts w:hint="eastAsia"/>
        </w:rPr>
        <w:t xml:space="preserve">，长鑫科技、寒武纪、兆易创新同时进入个股流出榜，说明板块下跌并非单一个股扰动。</w:t>
      </w:r>
    </w:p>
    <w:p>
      <w:pPr>
        <w:pStyle w:val="Compact"/>
        <w:numPr>
          <w:ilvl w:val="0"/>
          <w:numId w:val="1005"/>
        </w:numPr>
      </w:pPr>
      <w:r>
        <w:t xml:space="preserve">📉</w:t>
      </w:r>
      <w:r>
        <w:t xml:space="preserve"> </w:t>
      </w:r>
      <w:r>
        <w:rPr>
          <w:rFonts w:hint="eastAsia"/>
          <w:b/>
          <w:bCs/>
        </w:rPr>
        <w:t xml:space="preserve">通信设备净流出41.04亿元</w:t>
      </w:r>
      <w:r>
        <w:rPr>
          <w:rFonts w:hint="eastAsia"/>
        </w:rPr>
        <w:t xml:space="preserve">，中际旭创净流出10.87亿元、天孚通信净流出5.72亿元，光模块仍是上午最集中的亏钱方向。</w:t>
      </w:r>
    </w:p>
    <w:p>
      <w:pPr>
        <w:pStyle w:val="Compact"/>
        <w:numPr>
          <w:ilvl w:val="0"/>
          <w:numId w:val="1005"/>
        </w:numPr>
      </w:pPr>
      <w:r>
        <w:t xml:space="preserve">📉</w:t>
      </w:r>
      <w:r>
        <w:t xml:space="preserve"> </w:t>
      </w:r>
      <w:r>
        <w:rPr>
          <w:rFonts w:hint="eastAsia"/>
          <w:b/>
          <w:bCs/>
        </w:rPr>
        <w:t xml:space="preserve">银行Ⅱ净流出27.55亿元</w:t>
      </w:r>
      <w:r>
        <w:rPr>
          <w:rFonts w:hint="eastAsia"/>
        </w:rPr>
        <w:t xml:space="preserve">，招商银行与农业银行合计净流出9.64亿元，解释了上证指数弱于沪深300内部部分权重的表现。</w:t>
      </w:r>
    </w:p>
    <w:p>
      <w:pPr>
        <w:pStyle w:val="Compact"/>
        <w:numPr>
          <w:ilvl w:val="0"/>
          <w:numId w:val="1005"/>
        </w:numPr>
      </w:pPr>
      <w:r>
        <w:t xml:space="preserve">⚠️ </w:t>
      </w:r>
      <w:r>
        <w:rPr>
          <w:rFonts w:hint="eastAsia"/>
        </w:rPr>
        <w:t xml:space="preserve">阳光照明虽然4连板，但主力净流出4.14亿元，属于“价格强、资金弱”的高位背离，不宜用涨停状态掩盖资金撤离。</w:t>
      </w:r>
    </w:p>
    <w:p>
      <w:pPr>
        <w:pStyle w:val="Compact"/>
        <w:numPr>
          <w:ilvl w:val="0"/>
          <w:numId w:val="1005"/>
        </w:numPr>
      </w:pPr>
      <w:r>
        <w:t xml:space="preserve">⚠️ </w:t>
      </w:r>
      <w:r>
        <w:rPr>
          <w:rFonts w:hint="eastAsia"/>
        </w:rPr>
        <w:t xml:space="preserve">昨日半导体、通信设备、元件分别属于主要流入方向，今日全部转为大额流出，科技硬件出现明确的一日反转。</w:t>
      </w:r>
    </w:p>
    <w:bookmarkEnd w:id="18"/>
    <w:bookmarkStart w:id="19" w:name="盘前预判-vs-上午实盘"/>
    <w:p>
      <w:pPr>
        <w:pStyle w:val="Heading2"/>
      </w:pPr>
      <w:r>
        <w:t xml:space="preserve">🔍 </w:t>
      </w:r>
      <w:r>
        <w:rPr>
          <w:rFonts w:hint="eastAsia"/>
        </w:rPr>
        <w:t xml:space="preserve">盘前预判</w:t>
      </w:r>
      <w:r>
        <w:t xml:space="preserve"> vs </w:t>
      </w:r>
      <w:r>
        <w:rPr>
          <w:rFonts w:hint="eastAsia"/>
        </w:rPr>
        <w:t xml:space="preserve">上午实盘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盘前预判</w:t>
            </w:r>
          </w:p>
        </w:tc>
        <w:tc>
          <w:tcPr/>
          <w:p>
            <w:pPr>
              <w:pStyle w:val="Compact"/>
            </w:pPr>
            <w:r>
              <w:rPr>
                <w:rFonts w:hint="eastAsia"/>
              </w:rPr>
              <w:t xml:space="preserve">上午实盘</w:t>
            </w:r>
          </w:p>
        </w:tc>
        <w:tc>
          <w:tcPr/>
          <w:p>
            <w:pPr>
              <w:pStyle w:val="Compact"/>
            </w:pPr>
            <w:r>
              <w:rPr>
                <w:rFonts w:hint="eastAsia"/>
              </w:rPr>
              <w:t xml:space="preserve">核对</w:t>
            </w:r>
          </w:p>
        </w:tc>
      </w:tr>
      <w:tr>
        <w:tc>
          <w:tcPr/>
          <w:p>
            <w:pPr>
              <w:pStyle w:val="Compact"/>
            </w:pPr>
            <w:r>
              <w:rPr>
                <w:rFonts w:hint="eastAsia"/>
              </w:rPr>
              <w:t xml:space="preserve">科技成长由普涨转向分化</w:t>
            </w:r>
          </w:p>
        </w:tc>
        <w:tc>
          <w:tcPr/>
          <w:p>
            <w:pPr>
              <w:pStyle w:val="Compact"/>
            </w:pPr>
            <w:r>
              <w:rPr>
                <w:rFonts w:hint="eastAsia"/>
              </w:rPr>
              <w:t xml:space="preserve">科创50跌2.5359%，半导体、通信设备和元件集中流出</w:t>
            </w:r>
          </w:p>
        </w:tc>
        <w:tc>
          <w:tcPr/>
          <w:p>
            <w:pPr>
              <w:pStyle w:val="Compact"/>
            </w:pPr>
            <w:r>
              <w:t xml:space="preserve">✅ </w:t>
            </w:r>
            <w:r>
              <w:rPr>
                <w:rFonts w:hint="eastAsia"/>
              </w:rPr>
              <w:t xml:space="preserve">命中</w:t>
            </w:r>
          </w:p>
        </w:tc>
      </w:tr>
      <w:tr>
        <w:tc>
          <w:tcPr/>
          <w:p>
            <w:pPr>
              <w:pStyle w:val="Compact"/>
            </w:pPr>
            <w:r>
              <w:rPr>
                <w:rFonts w:hint="eastAsia"/>
              </w:rPr>
              <w:t xml:space="preserve">隔夜半导体下跌提高兑现风险</w:t>
            </w:r>
          </w:p>
        </w:tc>
        <w:tc>
          <w:tcPr/>
          <w:p>
            <w:pPr>
              <w:pStyle w:val="Compact"/>
            </w:pPr>
            <w:r>
              <w:rPr>
                <w:rFonts w:hint="eastAsia"/>
              </w:rPr>
              <w:t xml:space="preserve">中际旭创跌8.51%、寒武纪跌7.86%、天孚通信跌8.00%</w:t>
            </w:r>
          </w:p>
        </w:tc>
        <w:tc>
          <w:tcPr/>
          <w:p>
            <w:pPr>
              <w:pStyle w:val="Compact"/>
            </w:pPr>
            <w:r>
              <w:t xml:space="preserve">✅ </w:t>
            </w:r>
            <w:r>
              <w:rPr>
                <w:rFonts w:hint="eastAsia"/>
              </w:rPr>
              <w:t xml:space="preserve">命中</w:t>
            </w:r>
          </w:p>
        </w:tc>
      </w:tr>
      <w:tr>
        <w:tc>
          <w:tcPr/>
          <w:p>
            <w:pPr>
              <w:pStyle w:val="Compact"/>
            </w:pPr>
            <w:r>
              <w:rPr>
                <w:rFonts w:hint="eastAsia"/>
              </w:rPr>
              <w:t xml:space="preserve">证券与宽基提供稳定支撑</w:t>
            </w:r>
          </w:p>
        </w:tc>
        <w:tc>
          <w:tcPr/>
          <w:p>
            <w:pPr>
              <w:pStyle w:val="Compact"/>
            </w:pPr>
            <w:r>
              <w:rPr>
                <w:rFonts w:hint="eastAsia"/>
              </w:rPr>
              <w:t xml:space="preserve">沪深300仅跌0.0755%，证券ETF涨0.7952%，但证券Ⅱ净流出6.21亿元</w:t>
            </w:r>
          </w:p>
        </w:tc>
        <w:tc>
          <w:tcPr/>
          <w:p>
            <w:pPr>
              <w:pStyle w:val="Compact"/>
            </w:pPr>
            <w:r>
              <w:t xml:space="preserve">🟡 </w:t>
            </w:r>
            <w:r>
              <w:rPr>
                <w:rFonts w:hint="eastAsia"/>
              </w:rPr>
              <w:t xml:space="preserve">部分命中</w:t>
            </w:r>
          </w:p>
        </w:tc>
      </w:tr>
      <w:tr>
        <w:tc>
          <w:tcPr/>
          <w:p>
            <w:pPr>
              <w:pStyle w:val="Compact"/>
            </w:pPr>
            <w:r>
              <w:rPr>
                <w:rFonts w:hint="eastAsia"/>
              </w:rPr>
              <w:t xml:space="preserve">白酒龙头相对占优</w:t>
            </w:r>
          </w:p>
        </w:tc>
        <w:tc>
          <w:tcPr/>
          <w:p>
            <w:pPr>
              <w:pStyle w:val="Compact"/>
            </w:pPr>
            <w:r>
              <w:rPr>
                <w:rFonts w:hint="eastAsia"/>
              </w:rPr>
              <w:t xml:space="preserve">贵州茅台涨1.29%，皇台酒业3连板</w:t>
            </w:r>
          </w:p>
        </w:tc>
        <w:tc>
          <w:tcPr/>
          <w:p>
            <w:pPr>
              <w:pStyle w:val="Compact"/>
            </w:pPr>
            <w:r>
              <w:t xml:space="preserve">✅ </w:t>
            </w:r>
            <w:r>
              <w:rPr>
                <w:rFonts w:hint="eastAsia"/>
              </w:rPr>
              <w:t xml:space="preserve">命中</w:t>
            </w:r>
          </w:p>
        </w:tc>
      </w:tr>
      <w:tr>
        <w:tc>
          <w:tcPr/>
          <w:p>
            <w:pPr>
              <w:pStyle w:val="Compact"/>
            </w:pPr>
            <w:r>
              <w:rPr>
                <w:rFonts w:hint="eastAsia"/>
              </w:rPr>
              <w:t xml:space="preserve">不追逐昨日传媒游戏高开品种</w:t>
            </w:r>
          </w:p>
        </w:tc>
        <w:tc>
          <w:tcPr/>
          <w:p>
            <w:pPr>
              <w:pStyle w:val="Compact"/>
            </w:pPr>
            <w:r>
              <w:rPr>
                <w:rFonts w:hint="eastAsia"/>
              </w:rPr>
              <w:t xml:space="preserve">AI漫剧继续走强，部分连板成功，但板块内部存在炸板</w:t>
            </w:r>
          </w:p>
        </w:tc>
        <w:tc>
          <w:tcPr/>
          <w:p>
            <w:pPr>
              <w:pStyle w:val="Compact"/>
            </w:pPr>
            <w:r>
              <w:t xml:space="preserve">🟡 </w:t>
            </w:r>
            <w:r>
              <w:rPr>
                <w:rFonts w:hint="eastAsia"/>
              </w:rPr>
              <w:t xml:space="preserve">防守有效但低估延续强度</w:t>
            </w:r>
          </w:p>
        </w:tc>
      </w:tr>
      <w:tr>
        <w:tc>
          <w:tcPr/>
          <w:p>
            <w:pPr>
              <w:pStyle w:val="Compact"/>
            </w:pPr>
            <w:r>
              <w:rPr>
                <w:rFonts w:hint="eastAsia"/>
              </w:rPr>
              <w:t xml:space="preserve">黄河治理、水利环保等待成交确认</w:t>
            </w:r>
          </w:p>
        </w:tc>
        <w:tc>
          <w:tcPr/>
          <w:p>
            <w:pPr>
              <w:pStyle w:val="Compact"/>
            </w:pPr>
            <w:r>
              <w:rPr>
                <w:rFonts w:hint="eastAsia"/>
              </w:rPr>
              <w:t xml:space="preserve">上午未形成可确认的资金主线</w:t>
            </w:r>
          </w:p>
        </w:tc>
        <w:tc>
          <w:tcPr/>
          <w:p>
            <w:pPr>
              <w:pStyle w:val="Compact"/>
            </w:pPr>
            <w:r>
              <w:t xml:space="preserve">✅ </w:t>
            </w:r>
            <w:r>
              <w:rPr>
                <w:rFonts w:hint="eastAsia"/>
              </w:rPr>
              <w:t xml:space="preserve">纪律有效</w:t>
            </w:r>
          </w:p>
        </w:tc>
      </w:tr>
    </w:tbl>
    <w:p>
      <w:pPr>
        <w:pStyle w:val="Compact"/>
        <w:numPr>
          <w:ilvl w:val="0"/>
          <w:numId w:val="1006"/>
        </w:numPr>
      </w:pPr>
      <w:r>
        <w:t xml:space="preserve">📌 </w:t>
      </w:r>
      <w:r>
        <w:rPr>
          <w:rFonts w:hint="eastAsia"/>
        </w:rPr>
        <w:t xml:space="preserve">最大超预期来自电池、电力设备和光伏，盘前未将其列为核心参与方向。</w:t>
      </w:r>
    </w:p>
    <w:p>
      <w:pPr>
        <w:pStyle w:val="Compact"/>
        <w:numPr>
          <w:ilvl w:val="0"/>
          <w:numId w:val="1006"/>
        </w:numPr>
      </w:pPr>
      <w:r>
        <w:t xml:space="preserve">📌 </w:t>
      </w:r>
      <w:r>
        <w:rPr>
          <w:rFonts w:hint="eastAsia"/>
        </w:rPr>
        <w:t xml:space="preserve">宁德时代上涨4.16%、阳光电源上涨5.63%，但最近完整TickFlow日K仍为D级；上午反弹不等于右侧趋势已经完成确认。</w:t>
      </w:r>
    </w:p>
    <w:bookmarkEnd w:id="19"/>
    <w:bookmarkStart w:id="20" w:name="宽基etf成交额恐慌联合信号"/>
    <w:p>
      <w:pPr>
        <w:pStyle w:val="Heading2"/>
      </w:pPr>
      <w:r>
        <w:t xml:space="preserve">💧 </w:t>
      </w:r>
      <w:r>
        <w:rPr>
          <w:rFonts w:hint="eastAsia"/>
        </w:rPr>
        <w:t xml:space="preserve">宽基ETF·成交额·恐慌联合信号</w:t>
      </w:r>
    </w:p>
    <w:p>
      <w:pPr>
        <w:pStyle w:val="Compact"/>
        <w:numPr>
          <w:ilvl w:val="0"/>
          <w:numId w:val="1007"/>
        </w:numPr>
      </w:pPr>
      <w:r>
        <w:rPr>
          <w:rFonts w:hint="eastAsia"/>
        </w:rPr>
        <w:t xml:space="preserve">宽基ETF份额最新结算日为2026年11月2日，8只跟踪宽基指数的ETF均保持连续净申购。</w:t>
      </w:r>
    </w:p>
    <w:p>
      <w:pPr>
        <w:pStyle w:val="Compact"/>
        <w:numPr>
          <w:ilvl w:val="0"/>
          <w:numId w:val="1007"/>
        </w:numPr>
      </w:pPr>
      <w:r>
        <w:rPr>
          <w:rFonts w:hint="eastAsia"/>
        </w:rPr>
        <w:t xml:space="preserve">沪深300ETF最新估算净申购103.606272亿元，中证500ETF66.186912亿元，科创50ETF68.412960亿元，创业板ETF28.614840亿元。</w:t>
      </w:r>
    </w:p>
    <w:p>
      <w:pPr>
        <w:pStyle w:val="Compact"/>
        <w:numPr>
          <w:ilvl w:val="0"/>
          <w:numId w:val="1007"/>
        </w:numPr>
      </w:pPr>
      <w:r>
        <w:rPr>
          <w:rFonts w:hint="eastAsia"/>
        </w:rPr>
        <w:t xml:space="preserve">上午沪深300ETF上涨0.0734%，但科创50ETF下跌2.0635%、创业板ETF下跌0.8492%，长线申购尚未转化为成长指数同步走强。</w:t>
      </w:r>
    </w:p>
    <w:p>
      <w:pPr>
        <w:pStyle w:val="Compact"/>
        <w:numPr>
          <w:ilvl w:val="0"/>
          <w:numId w:val="1007"/>
        </w:numPr>
      </w:pPr>
      <w:r>
        <w:rPr>
          <w:rFonts w:hint="eastAsia"/>
        </w:rPr>
        <w:t xml:space="preserve">全市场半日成交额9996.24亿元，预测全天15639.62亿元，预测较昨日缩量12.88%，量能不支持全面提高风险仓位。</w:t>
      </w:r>
    </w:p>
    <w:p>
      <w:pPr>
        <w:pStyle w:val="Compact"/>
        <w:numPr>
          <w:ilvl w:val="0"/>
          <w:numId w:val="1007"/>
        </w:numPr>
      </w:pPr>
      <w:r>
        <w:rPr>
          <w:rFonts w:hint="eastAsia"/>
        </w:rPr>
        <w:t xml:space="preserve">QVIX恐慌代理采集在30秒时限内超时，无法确认恐慌是否高位降温；该数据不估算、不纳入确认。</w:t>
      </w:r>
    </w:p>
    <w:p>
      <w:pPr>
        <w:pStyle w:val="Compact"/>
        <w:numPr>
          <w:ilvl w:val="0"/>
          <w:numId w:val="1007"/>
        </w:numPr>
      </w:pPr>
      <w:r>
        <w:rPr>
          <w:rFonts w:hint="eastAsia"/>
          <w:b/>
          <w:bCs/>
        </w:rPr>
        <w:t xml:space="preserve">联合信号状态：不可判定。</w:t>
      </w:r>
      <w:r>
        <w:rPr>
          <w:rFonts w:hint="eastAsia"/>
        </w:rPr>
        <w:t xml:space="preserve">宽基ETF持续流入已确认，但缺少当日有效恐慌代理，不能写作“恐慌高位降温且宽基ETF持续流入已确认”。</w:t>
      </w:r>
    </w:p>
    <w:bookmarkEnd w:id="20"/>
    <w:bookmarkStart w:id="21" w:name="市场风格仪表盘"/>
    <w:p>
      <w:pPr>
        <w:pStyle w:val="Heading2"/>
      </w:pPr>
      <w:r>
        <w:t xml:space="preserve">🎨 </w:t>
      </w:r>
      <w:r>
        <w:rPr>
          <w:rFonts w:hint="eastAsia"/>
        </w:rPr>
        <w:t xml:space="preserve">市场风格仪表盘</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维度</w:t>
            </w:r>
          </w:p>
        </w:tc>
        <w:tc>
          <w:tcPr/>
          <w:p>
            <w:pPr>
              <w:pStyle w:val="Compact"/>
            </w:pPr>
            <w:r>
              <w:rPr>
                <w:rFonts w:hint="eastAsia"/>
              </w:rPr>
              <w:t xml:space="preserve">午盘状态</w:t>
            </w:r>
          </w:p>
        </w:tc>
        <w:tc>
          <w:tcPr/>
          <w:p>
            <w:pPr>
              <w:pStyle w:val="Compact"/>
            </w:pPr>
            <w:r>
              <w:rPr>
                <w:rFonts w:hint="eastAsia"/>
              </w:rPr>
              <w:t xml:space="preserve">主要证据</w:t>
            </w:r>
          </w:p>
        </w:tc>
      </w:tr>
      <w:tr>
        <w:tc>
          <w:tcPr/>
          <w:p>
            <w:pPr>
              <w:pStyle w:val="Compact"/>
            </w:pPr>
            <w:r>
              <w:rPr>
                <w:rFonts w:hint="eastAsia"/>
              </w:rPr>
              <w:t xml:space="preserve">大盘</w:t>
            </w:r>
            <w:r>
              <w:t xml:space="preserve"> vs </w:t>
            </w:r>
            <w:r>
              <w:rPr>
                <w:rFonts w:hint="eastAsia"/>
              </w:rPr>
              <w:t xml:space="preserve">小盘</w:t>
            </w:r>
          </w:p>
        </w:tc>
        <w:tc>
          <w:tcPr/>
          <w:p>
            <w:pPr>
              <w:pStyle w:val="Compact"/>
            </w:pPr>
            <w:r>
              <w:rPr>
                <w:rFonts w:hint="eastAsia"/>
              </w:rPr>
              <w:t xml:space="preserve">偏权重</w:t>
            </w:r>
          </w:p>
        </w:tc>
        <w:tc>
          <w:tcPr/>
          <w:p>
            <w:pPr>
              <w:pStyle w:val="Compact"/>
            </w:pPr>
            <w:r>
              <w:rPr>
                <w:rFonts w:hint="eastAsia"/>
              </w:rPr>
              <w:t xml:space="preserve">沪深300跌0.0755%，科创50跌2.5359%</w:t>
            </w:r>
          </w:p>
        </w:tc>
      </w:tr>
      <w:tr>
        <w:tc>
          <w:tcPr/>
          <w:p>
            <w:pPr>
              <w:pStyle w:val="Compact"/>
            </w:pPr>
            <w:r>
              <w:rPr>
                <w:rFonts w:hint="eastAsia"/>
              </w:rPr>
              <w:t xml:space="preserve">成长</w:t>
            </w:r>
            <w:r>
              <w:t xml:space="preserve"> vs </w:t>
            </w:r>
            <w:r>
              <w:rPr>
                <w:rFonts w:hint="eastAsia"/>
              </w:rPr>
              <w:t xml:space="preserve">价值</w:t>
            </w:r>
          </w:p>
        </w:tc>
        <w:tc>
          <w:tcPr/>
          <w:p>
            <w:pPr>
              <w:pStyle w:val="Compact"/>
            </w:pPr>
            <w:r>
              <w:rPr>
                <w:rFonts w:hint="eastAsia"/>
              </w:rPr>
              <w:t xml:space="preserve">偏价值/权重</w:t>
            </w:r>
          </w:p>
        </w:tc>
        <w:tc>
          <w:tcPr/>
          <w:p>
            <w:pPr>
              <w:pStyle w:val="Compact"/>
            </w:pPr>
            <w:r>
              <w:rPr>
                <w:rFonts w:hint="eastAsia"/>
              </w:rPr>
              <w:t xml:space="preserve">科技硬件集中流出，贵州茅台逆势上涨</w:t>
            </w:r>
          </w:p>
        </w:tc>
      </w:tr>
      <w:tr>
        <w:tc>
          <w:tcPr/>
          <w:p>
            <w:pPr>
              <w:pStyle w:val="Compact"/>
            </w:pPr>
            <w:r>
              <w:rPr>
                <w:rFonts w:hint="eastAsia"/>
              </w:rPr>
              <w:t xml:space="preserve">题材</w:t>
            </w:r>
            <w:r>
              <w:t xml:space="preserve"> vs </w:t>
            </w:r>
            <w:r>
              <w:rPr>
                <w:rFonts w:hint="eastAsia"/>
              </w:rPr>
              <w:t xml:space="preserve">机构</w:t>
            </w:r>
          </w:p>
        </w:tc>
        <w:tc>
          <w:tcPr/>
          <w:p>
            <w:pPr>
              <w:pStyle w:val="Compact"/>
            </w:pPr>
            <w:r>
              <w:rPr>
                <w:rFonts w:hint="eastAsia"/>
              </w:rPr>
              <w:t xml:space="preserve">杠铃分化</w:t>
            </w:r>
          </w:p>
        </w:tc>
        <w:tc>
          <w:tcPr/>
          <w:p>
            <w:pPr>
              <w:pStyle w:val="Compact"/>
            </w:pPr>
            <w:r>
              <w:rPr>
                <w:rFonts w:hint="eastAsia"/>
              </w:rPr>
              <w:t xml:space="preserve">电池、AI漫剧涨停扩散，权重指数相对抗跌</w:t>
            </w:r>
          </w:p>
        </w:tc>
      </w:tr>
      <w:tr>
        <w:tc>
          <w:tcPr/>
          <w:p>
            <w:pPr>
              <w:pStyle w:val="Compact"/>
            </w:pPr>
            <w:r>
              <w:rPr>
                <w:rFonts w:hint="eastAsia"/>
              </w:rPr>
              <w:t xml:space="preserve">进攻</w:t>
            </w:r>
            <w:r>
              <w:t xml:space="preserve"> vs </w:t>
            </w:r>
            <w:r>
              <w:rPr>
                <w:rFonts w:hint="eastAsia"/>
              </w:rPr>
              <w:t xml:space="preserve">防守</w:t>
            </w:r>
          </w:p>
        </w:tc>
        <w:tc>
          <w:tcPr/>
          <w:p>
            <w:pPr>
              <w:pStyle w:val="Compact"/>
            </w:pPr>
            <w:r>
              <w:rPr>
                <w:rFonts w:hint="eastAsia"/>
              </w:rPr>
              <w:t xml:space="preserve">结构性进攻</w:t>
            </w:r>
          </w:p>
        </w:tc>
        <w:tc>
          <w:tcPr/>
          <w:p>
            <w:pPr>
              <w:pStyle w:val="Compact"/>
            </w:pPr>
            <w:r>
              <w:rPr>
                <w:rFonts w:hint="eastAsia"/>
              </w:rPr>
              <w:t xml:space="preserve">55家涨停、仅4家跌停，但指数整体下跌</w:t>
            </w:r>
          </w:p>
        </w:tc>
      </w:tr>
      <w:tr>
        <w:tc>
          <w:tcPr/>
          <w:p>
            <w:pPr>
              <w:pStyle w:val="Compact"/>
            </w:pPr>
            <w:r>
              <w:rPr>
                <w:rFonts w:hint="eastAsia"/>
              </w:rPr>
              <w:t xml:space="preserve">成交质量</w:t>
            </w:r>
          </w:p>
        </w:tc>
        <w:tc>
          <w:tcPr/>
          <w:p>
            <w:pPr>
              <w:pStyle w:val="Compact"/>
            </w:pPr>
            <w:r>
              <w:rPr>
                <w:rFonts w:hint="eastAsia"/>
              </w:rPr>
              <w:t xml:space="preserve">明显缩量</w:t>
            </w:r>
          </w:p>
        </w:tc>
        <w:tc>
          <w:tcPr/>
          <w:p>
            <w:pPr>
              <w:pStyle w:val="Compact"/>
            </w:pPr>
            <w:r>
              <w:rPr>
                <w:rFonts w:hint="eastAsia"/>
              </w:rPr>
              <w:t xml:space="preserve">预测全天成交额较昨日减少12.88%</w:t>
            </w:r>
          </w:p>
        </w:tc>
      </w:tr>
      <w:tr>
        <w:tc>
          <w:tcPr/>
          <w:p>
            <w:pPr>
              <w:pStyle w:val="Compact"/>
            </w:pPr>
            <w:r>
              <w:rPr>
                <w:rFonts w:hint="eastAsia"/>
              </w:rPr>
              <w:t xml:space="preserve">行为金融</w:t>
            </w:r>
          </w:p>
        </w:tc>
        <w:tc>
          <w:tcPr/>
          <w:p>
            <w:pPr>
              <w:pStyle w:val="Compact"/>
            </w:pPr>
            <w:r>
              <w:rPr>
                <w:rFonts w:hint="eastAsia"/>
              </w:rPr>
              <w:t xml:space="preserve">中等拥挤</w:t>
            </w:r>
          </w:p>
        </w:tc>
        <w:tc>
          <w:tcPr/>
          <w:p>
            <w:pPr>
              <w:pStyle w:val="Compact"/>
            </w:pPr>
            <w:r>
              <w:rPr>
                <w:rFonts w:hint="eastAsia"/>
              </w:rPr>
              <w:t xml:space="preserve">重点股高PE不少于80倍共3只，风险分2</w:t>
            </w:r>
          </w:p>
        </w:tc>
      </w:tr>
    </w:tbl>
    <w:p>
      <w:pPr>
        <w:pStyle w:val="Compact"/>
        <w:numPr>
          <w:ilvl w:val="0"/>
          <w:numId w:val="1008"/>
        </w:numPr>
      </w:pPr>
      <w:r>
        <w:t xml:space="preserve">🧠 </w:t>
      </w:r>
      <w:r>
        <w:rPr>
          <w:rFonts w:hint="eastAsia"/>
        </w:rPr>
        <w:t xml:space="preserve">FOMO风险集中在盟固利、皇台酒业、东方海洋等高涨幅或高连板品种。</w:t>
      </w:r>
    </w:p>
    <w:p>
      <w:pPr>
        <w:pStyle w:val="Compact"/>
        <w:numPr>
          <w:ilvl w:val="0"/>
          <w:numId w:val="1008"/>
        </w:numPr>
      </w:pPr>
      <w:r>
        <w:t xml:space="preserve">🧠 </w:t>
      </w:r>
      <w:r>
        <w:rPr>
          <w:rFonts w:hint="eastAsia"/>
        </w:rPr>
        <w:t xml:space="preserve">亏损厌恶正在光模块、半导体中扩散，昨日流入资金今日集中撤退，下午不宜因跌幅较大直接抄底。</w:t>
      </w:r>
    </w:p>
    <w:p>
      <w:pPr>
        <w:pStyle w:val="Compact"/>
        <w:numPr>
          <w:ilvl w:val="0"/>
          <w:numId w:val="1008"/>
        </w:numPr>
      </w:pPr>
      <w:r>
        <w:t xml:space="preserve">🧠 </w:t>
      </w:r>
      <w:r>
        <w:rPr>
          <w:rFonts w:hint="eastAsia"/>
        </w:rPr>
        <w:t xml:space="preserve">重点股样本16只中仅3只为A级、13只为D级；该比例仅代表重点股日K样本，严禁表述为全A股趋势宽度。</w:t>
      </w:r>
    </w:p>
    <w:bookmarkEnd w:id="21"/>
    <w:bookmarkStart w:id="23" w:name="盘前策略复盘评分"/>
    <w:p>
      <w:pPr>
        <w:pStyle w:val="Heading2"/>
      </w:pPr>
      <w:r>
        <w:t xml:space="preserve">🧮 </w:t>
      </w:r>
      <w:r>
        <w:rPr>
          <w:rFonts w:hint="eastAsia"/>
        </w:rPr>
        <w:t xml:space="preserve">盘前策略复盘评分</w:t>
      </w:r>
    </w:p>
    <w:bookmarkStart w:id="22" w:name="证据核对评分510"/>
    <w:p>
      <w:pPr>
        <w:pStyle w:val="Heading3"/>
      </w:pPr>
      <w:r>
        <w:t xml:space="preserve">📊 </w:t>
      </w:r>
      <w:r>
        <w:rPr>
          <w:rFonts w:hint="eastAsia"/>
        </w:rPr>
        <w:t xml:space="preserve">证据核对评分：5/10</w:t>
      </w:r>
    </w:p>
    <w:p>
      <w:pPr>
        <w:pStyle w:val="Compact"/>
        <w:numPr>
          <w:ilvl w:val="0"/>
          <w:numId w:val="1009"/>
        </w:numPr>
      </w:pPr>
      <w:r>
        <w:rPr>
          <w:rFonts w:hint="eastAsia"/>
          <w:b/>
          <w:bCs/>
        </w:rPr>
        <w:t xml:space="preserve">加分项</w:t>
      </w:r>
      <w:r>
        <w:rPr>
          <w:rFonts w:hint="eastAsia"/>
        </w:rPr>
        <w:t xml:space="preserve">：正确提示科技硬件分化风险、半导体低开兑现风险、白酒相对强势及禁止追逐D级趋势股。</w:t>
      </w:r>
    </w:p>
    <w:p>
      <w:pPr>
        <w:pStyle w:val="Compact"/>
        <w:numPr>
          <w:ilvl w:val="0"/>
          <w:numId w:val="1009"/>
        </w:numPr>
      </w:pPr>
      <w:r>
        <w:rPr>
          <w:rFonts w:hint="eastAsia"/>
          <w:b/>
          <w:bCs/>
        </w:rPr>
        <w:t xml:space="preserve">部分命中</w:t>
      </w:r>
      <w:r>
        <w:rPr>
          <w:rFonts w:hint="eastAsia"/>
        </w:rPr>
        <w:t xml:space="preserve">：证券ETF上涨、沪深300相对抗跌，但证券Ⅱ主力净流出6.21亿元，政策预期未形成行业资金共振。</w:t>
      </w:r>
    </w:p>
    <w:p>
      <w:pPr>
        <w:pStyle w:val="Compact"/>
        <w:numPr>
          <w:ilvl w:val="0"/>
          <w:numId w:val="1009"/>
        </w:numPr>
      </w:pPr>
      <w:r>
        <w:rPr>
          <w:rFonts w:hint="eastAsia"/>
          <w:b/>
          <w:bCs/>
        </w:rPr>
        <w:t xml:space="preserve">失分项</w:t>
      </w:r>
      <w:r>
        <w:rPr>
          <w:rFonts w:hint="eastAsia"/>
        </w:rPr>
        <w:t xml:space="preserve">：未提前识别电池、电力设备、光伏成为上午主线；宁德时代、阳光电源出现显著反弹。</w:t>
      </w:r>
    </w:p>
    <w:p>
      <w:pPr>
        <w:pStyle w:val="Compact"/>
        <w:numPr>
          <w:ilvl w:val="0"/>
          <w:numId w:val="1009"/>
        </w:numPr>
      </w:pPr>
      <w:r>
        <w:rPr>
          <w:rFonts w:hint="eastAsia"/>
          <w:b/>
          <w:bCs/>
        </w:rPr>
        <w:t xml:space="preserve">纪律有效</w:t>
      </w:r>
      <w:r>
        <w:rPr>
          <w:rFonts w:hint="eastAsia"/>
        </w:rPr>
        <w:t xml:space="preserve">：上午热点轮动快速且成交缩量，盘前50%仓位上限避免了在科技硬件集中下跌时扩大回撤。</w:t>
      </w:r>
    </w:p>
    <w:p>
      <w:pPr>
        <w:pStyle w:val="Compact"/>
        <w:numPr>
          <w:ilvl w:val="0"/>
          <w:numId w:val="1009"/>
        </w:numPr>
      </w:pPr>
      <w:r>
        <w:rPr>
          <w:rFonts w:hint="eastAsia"/>
        </w:rPr>
        <w:t xml:space="preserve">本评分仅针对盘前简报中的方向、触发条件和风险控制进行午盘证据核对，不代表收益率或策略命中率；最终结果需等待收盘确认。</w:t>
      </w:r>
    </w:p>
    <w:bookmarkEnd w:id="22"/>
    <w:bookmarkEnd w:id="23"/>
    <w:bookmarkStart w:id="24" w:name="下午操作建议"/>
    <w:p>
      <w:pPr>
        <w:pStyle w:val="Heading2"/>
      </w:pPr>
      <w:r>
        <w:t xml:space="preserve">💡 </w:t>
      </w:r>
      <w:r>
        <w:rPr>
          <w:rFonts w:hint="eastAsia"/>
        </w:rPr>
        <w:t xml:space="preserve">下午操作建议</w:t>
      </w:r>
    </w:p>
    <w:p>
      <w:pPr>
        <w:pStyle w:val="Compact"/>
        <w:numPr>
          <w:ilvl w:val="0"/>
          <w:numId w:val="1010"/>
        </w:numPr>
      </w:pPr>
      <w:r>
        <w:t xml:space="preserve">💡</w:t>
      </w:r>
      <w:r>
        <w:t xml:space="preserve"> </w:t>
      </w:r>
      <w:r>
        <w:rPr>
          <w:rFonts w:hint="eastAsia"/>
          <w:b/>
          <w:bCs/>
        </w:rPr>
        <w:t xml:space="preserve">不追高电池涨停集群</w:t>
      </w:r>
      <w:r>
        <w:rPr>
          <w:rFonts w:hint="eastAsia"/>
        </w:rPr>
        <w:t xml:space="preserve">：电池板块资金与涨停家数共振，但已进入加速阶段，只等待分歧后仍能维持主力净流入和至少3只涨停的再确认。</w:t>
      </w:r>
    </w:p>
    <w:p>
      <w:pPr>
        <w:pStyle w:val="Compact"/>
        <w:numPr>
          <w:ilvl w:val="0"/>
          <w:numId w:val="1010"/>
        </w:numPr>
      </w:pPr>
      <w:r>
        <w:t xml:space="preserve">💡</w:t>
      </w:r>
      <w:r>
        <w:t xml:space="preserve"> </w:t>
      </w:r>
      <w:r>
        <w:rPr>
          <w:rFonts w:hint="eastAsia"/>
          <w:b/>
          <w:bCs/>
        </w:rPr>
        <w:t xml:space="preserve">科技硬件不做左侧抄底</w:t>
      </w:r>
      <w:r>
        <w:rPr>
          <w:rFonts w:hint="eastAsia"/>
        </w:rPr>
        <w:t xml:space="preserve">：半导体、通信设备、元件合计净流出118.93亿元，须等待资金流出明显收窄及核心股重新站稳分时均价。</w:t>
      </w:r>
    </w:p>
    <w:p>
      <w:pPr>
        <w:pStyle w:val="Compact"/>
        <w:numPr>
          <w:ilvl w:val="0"/>
          <w:numId w:val="1010"/>
        </w:numPr>
      </w:pPr>
      <w:r>
        <w:t xml:space="preserve">💡</w:t>
      </w:r>
      <w:r>
        <w:t xml:space="preserve"> </w:t>
      </w:r>
      <w:r>
        <w:rPr>
          <w:rFonts w:hint="eastAsia"/>
          <w:b/>
          <w:bCs/>
        </w:rPr>
        <w:t xml:space="preserve">宽基以承接而非进攻看待</w:t>
      </w:r>
      <w:r>
        <w:rPr>
          <w:rFonts w:hint="eastAsia"/>
        </w:rPr>
        <w:t xml:space="preserve">：沪深300相对抗跌，但全市场预测缩量12.88%，下午若量能继续下降，不因指数翻红提高仓位。</w:t>
      </w:r>
    </w:p>
    <w:p>
      <w:pPr>
        <w:pStyle w:val="Compact"/>
        <w:numPr>
          <w:ilvl w:val="0"/>
          <w:numId w:val="1010"/>
        </w:numPr>
      </w:pPr>
      <w:r>
        <w:t xml:space="preserve">💡</w:t>
      </w:r>
      <w:r>
        <w:t xml:space="preserve"> </w:t>
      </w:r>
      <w:r>
        <w:rPr>
          <w:rFonts w:hint="eastAsia"/>
          <w:b/>
          <w:bCs/>
        </w:rPr>
        <w:t xml:space="preserve">白酒只观察右侧龙头</w:t>
      </w:r>
      <w:r>
        <w:rPr>
          <w:rFonts w:hint="eastAsia"/>
        </w:rPr>
        <w:t xml:space="preserve">：贵州茅台为TickFlow</w:t>
      </w:r>
      <w:r>
        <w:t xml:space="preserve"> </w:t>
      </w:r>
      <w:r>
        <w:rPr>
          <w:rFonts w:hint="eastAsia"/>
        </w:rPr>
        <w:t xml:space="preserve">A级，但同样禁止追涨；皇台酒业估值和业绩风险突出，不参与高位接力。</w:t>
      </w:r>
    </w:p>
    <w:p>
      <w:pPr>
        <w:pStyle w:val="Compact"/>
        <w:numPr>
          <w:ilvl w:val="0"/>
          <w:numId w:val="1010"/>
        </w:numPr>
      </w:pPr>
      <w:r>
        <w:t xml:space="preserve">💡</w:t>
      </w:r>
      <w:r>
        <w:t xml:space="preserve"> </w:t>
      </w:r>
      <w:r>
        <w:rPr>
          <w:rFonts w:hint="eastAsia"/>
          <w:b/>
          <w:bCs/>
        </w:rPr>
        <w:t xml:space="preserve">AI漫剧重节奏、轻追价</w:t>
      </w:r>
      <w:r>
        <w:rPr>
          <w:rFonts w:hint="eastAsia"/>
        </w:rPr>
        <w:t xml:space="preserve">：产业催化明确，但大晟文化等部分核心股技术评级为D，只观察换手后的承接，不在一致加速阶段追入。</w:t>
      </w:r>
    </w:p>
    <w:bookmarkEnd w:id="24"/>
    <w:bookmarkStart w:id="29" w:name="下午投资方向分层"/>
    <w:p>
      <w:pPr>
        <w:pStyle w:val="Heading2"/>
      </w:pPr>
      <w:r>
        <w:t xml:space="preserve">🧭 </w:t>
      </w:r>
      <w:r>
        <w:rPr>
          <w:rFonts w:hint="eastAsia"/>
        </w:rPr>
        <w:t xml:space="preserve">下午投资方向分层</w:t>
      </w:r>
    </w:p>
    <w:bookmarkStart w:id="25" w:name="第一层等待分歧确认后参与"/>
    <w:p>
      <w:pPr>
        <w:pStyle w:val="Heading3"/>
      </w:pPr>
      <w:r>
        <w:t xml:space="preserve">🔴 </w:t>
      </w:r>
      <w:r>
        <w:rPr>
          <w:rFonts w:hint="eastAsia"/>
        </w:rPr>
        <w:t xml:space="preserve">第一层：等待分歧确认后参与</w:t>
      </w:r>
    </w:p>
    <w:p>
      <w:pPr>
        <w:pStyle w:val="Compact"/>
        <w:numPr>
          <w:ilvl w:val="0"/>
          <w:numId w:val="1011"/>
        </w:numPr>
      </w:pPr>
      <w:r>
        <w:rPr>
          <w:rFonts w:hint="eastAsia"/>
          <w:b/>
          <w:bCs/>
        </w:rPr>
        <w:t xml:space="preserve">电池与电力设备</w:t>
      </w:r>
      <w:r>
        <w:rPr>
          <w:rFonts w:hint="eastAsia"/>
        </w:rPr>
        <w:t xml:space="preserve">：板块主力净流入43.83亿元和24.81亿元，圣阳股份、盟固利形成涨停集群。</w:t>
      </w:r>
    </w:p>
    <w:p>
      <w:pPr>
        <w:pStyle w:val="Compact"/>
        <w:numPr>
          <w:ilvl w:val="0"/>
          <w:numId w:val="1011"/>
        </w:numPr>
      </w:pPr>
      <w:r>
        <w:rPr>
          <w:rFonts w:hint="eastAsia"/>
        </w:rPr>
        <w:t xml:space="preserve">触发条件：午后板块资金继续净流入、涨停家数不低于3家、炸板率保持在30%以下。</w:t>
      </w:r>
    </w:p>
    <w:p>
      <w:pPr>
        <w:pStyle w:val="Compact"/>
        <w:numPr>
          <w:ilvl w:val="0"/>
          <w:numId w:val="1011"/>
        </w:numPr>
      </w:pPr>
      <w:r>
        <w:rPr>
          <w:rFonts w:hint="eastAsia"/>
        </w:rPr>
        <w:t xml:space="preserve">失效条件：宁德时代或阳光电源冲高回落，电池主力资金转为流出，科力远跌停风险向同板块扩散。</w:t>
      </w:r>
    </w:p>
    <w:p>
      <w:pPr>
        <w:pStyle w:val="Compact"/>
        <w:numPr>
          <w:ilvl w:val="0"/>
          <w:numId w:val="1011"/>
        </w:numPr>
      </w:pPr>
      <w:r>
        <w:rPr>
          <w:rFonts w:hint="eastAsia"/>
        </w:rPr>
        <w:t xml:space="preserve">宁德时代、阳光电源最近完整日K评级均为D级，上午上涨不得描述为日K右侧确认。</w:t>
      </w:r>
    </w:p>
    <w:bookmarkEnd w:id="25"/>
    <w:bookmarkStart w:id="26" w:name="第二层低吸观察不追涨"/>
    <w:p>
      <w:pPr>
        <w:pStyle w:val="Heading3"/>
      </w:pPr>
      <w:r>
        <w:t xml:space="preserve">🟡 </w:t>
      </w:r>
      <w:r>
        <w:rPr>
          <w:rFonts w:hint="eastAsia"/>
        </w:rPr>
        <w:t xml:space="preserve">第二层：低吸观察，不追涨</w:t>
      </w:r>
    </w:p>
    <w:p>
      <w:pPr>
        <w:pStyle w:val="Compact"/>
        <w:numPr>
          <w:ilvl w:val="0"/>
          <w:numId w:val="1012"/>
        </w:numPr>
      </w:pPr>
      <w:r>
        <w:rPr>
          <w:rFonts w:hint="eastAsia"/>
          <w:b/>
          <w:bCs/>
        </w:rPr>
        <w:t xml:space="preserve">电网设备</w:t>
      </w:r>
      <w:r>
        <w:rPr>
          <w:rFonts w:hint="eastAsia"/>
        </w:rPr>
        <w:t xml:space="preserve">：板块净流入6.50亿元，太阳电缆净流入2.62亿元并涨停，远程股份、三变科技同步封板。</w:t>
      </w:r>
    </w:p>
    <w:p>
      <w:pPr>
        <w:pStyle w:val="Compact"/>
        <w:numPr>
          <w:ilvl w:val="0"/>
          <w:numId w:val="1012"/>
        </w:numPr>
      </w:pPr>
      <w:r>
        <w:rPr>
          <w:rFonts w:hint="eastAsia"/>
          <w:b/>
          <w:bCs/>
        </w:rPr>
        <w:t xml:space="preserve">光伏设备</w:t>
      </w:r>
      <w:r>
        <w:rPr>
          <w:rFonts w:hint="eastAsia"/>
        </w:rPr>
        <w:t xml:space="preserve">：板块净流入10.69亿元，阳光电源上涨5.63%，但清源股份出现炸板。</w:t>
      </w:r>
    </w:p>
    <w:p>
      <w:pPr>
        <w:pStyle w:val="Compact"/>
        <w:numPr>
          <w:ilvl w:val="0"/>
          <w:numId w:val="1012"/>
        </w:numPr>
      </w:pPr>
      <w:r>
        <w:rPr>
          <w:rFonts w:hint="eastAsia"/>
        </w:rPr>
        <w:t xml:space="preserve">触发条件：回踩后资金净流入保持为正，龙头不出现连续开板。</w:t>
      </w:r>
    </w:p>
    <w:p>
      <w:pPr>
        <w:pStyle w:val="Compact"/>
        <w:numPr>
          <w:ilvl w:val="0"/>
          <w:numId w:val="1012"/>
        </w:numPr>
      </w:pPr>
      <w:r>
        <w:rPr>
          <w:rFonts w:hint="eastAsia"/>
        </w:rPr>
        <w:t xml:space="preserve">失效条件：涨停集群缩减至单一个股或主力资金快速转负。</w:t>
      </w:r>
    </w:p>
    <w:bookmarkEnd w:id="26"/>
    <w:bookmarkStart w:id="27" w:name="第三层仅观察"/>
    <w:p>
      <w:pPr>
        <w:pStyle w:val="Heading3"/>
      </w:pPr>
      <w:r>
        <w:t xml:space="preserve">👀 </w:t>
      </w:r>
      <w:r>
        <w:rPr>
          <w:rFonts w:hint="eastAsia"/>
        </w:rPr>
        <w:t xml:space="preserve">第三层：仅观察</w:t>
      </w:r>
    </w:p>
    <w:p>
      <w:pPr>
        <w:pStyle w:val="Compact"/>
        <w:numPr>
          <w:ilvl w:val="0"/>
          <w:numId w:val="1013"/>
        </w:numPr>
      </w:pPr>
      <w:r>
        <w:rPr>
          <w:rFonts w:hint="eastAsia"/>
          <w:b/>
          <w:bCs/>
        </w:rPr>
        <w:t xml:space="preserve">AI漫剧、游戏和文化传媒</w:t>
      </w:r>
      <w:r>
        <w:rPr>
          <w:rFonts w:hint="eastAsia"/>
        </w:rPr>
        <w:t xml:space="preserve">：产业催化与连板梯队仍在，但部分核心股缺乏盈利和技术趋势支撑。</w:t>
      </w:r>
    </w:p>
    <w:p>
      <w:pPr>
        <w:pStyle w:val="Compact"/>
        <w:numPr>
          <w:ilvl w:val="0"/>
          <w:numId w:val="1013"/>
        </w:numPr>
      </w:pPr>
      <w:r>
        <w:rPr>
          <w:rFonts w:hint="eastAsia"/>
          <w:b/>
          <w:bCs/>
        </w:rPr>
        <w:t xml:space="preserve">贵州茅台</w:t>
      </w:r>
      <w:r>
        <w:rPr>
          <w:rFonts w:hint="eastAsia"/>
        </w:rPr>
        <w:t xml:space="preserve">：TickFlow</w:t>
      </w:r>
      <w:r>
        <w:t xml:space="preserve"> </w:t>
      </w:r>
      <w:r>
        <w:rPr>
          <w:rFonts w:hint="eastAsia"/>
        </w:rPr>
        <w:t xml:space="preserve">A级，最近完整日K站上MA20和MA60；等待站稳60日高点或缩量回踩后的再放量，不追涨。</w:t>
      </w:r>
    </w:p>
    <w:p>
      <w:pPr>
        <w:pStyle w:val="Compact"/>
        <w:numPr>
          <w:ilvl w:val="0"/>
          <w:numId w:val="1013"/>
        </w:numPr>
      </w:pPr>
      <w:r>
        <w:rPr>
          <w:rFonts w:hint="eastAsia"/>
          <w:b/>
          <w:bCs/>
        </w:rPr>
        <w:t xml:space="preserve">妙想选股候选</w:t>
      </w:r>
      <w:r>
        <w:rPr>
          <w:rFonts w:hint="eastAsia"/>
        </w:rPr>
        <w:t xml:space="preserve">：明阳电气、东方电缆、国电南瑞、平高电气等仅为只读候选池，尚未全部经过奇迹早知道情绪、资金及TickFlow评级确认，不直接作为买入结论。</w:t>
      </w:r>
    </w:p>
    <w:bookmarkEnd w:id="27"/>
    <w:bookmarkStart w:id="28" w:name="第四层回避"/>
    <w:p>
      <w:pPr>
        <w:pStyle w:val="Heading3"/>
      </w:pPr>
      <w:r>
        <w:t xml:space="preserve">🟢 </w:t>
      </w:r>
      <w:r>
        <w:rPr>
          <w:rFonts w:hint="eastAsia"/>
        </w:rPr>
        <w:t xml:space="preserve">第四层：回避</w:t>
      </w:r>
    </w:p>
    <w:p>
      <w:pPr>
        <w:pStyle w:val="Compact"/>
        <w:numPr>
          <w:ilvl w:val="0"/>
          <w:numId w:val="1014"/>
        </w:numPr>
      </w:pPr>
      <w:r>
        <w:rPr>
          <w:rFonts w:hint="eastAsia"/>
        </w:rPr>
        <w:t xml:space="preserve">半导体、通信设备、元件的弱势反抽。</w:t>
      </w:r>
    </w:p>
    <w:p>
      <w:pPr>
        <w:pStyle w:val="Compact"/>
        <w:numPr>
          <w:ilvl w:val="0"/>
          <w:numId w:val="1014"/>
        </w:numPr>
      </w:pPr>
      <w:r>
        <w:rPr>
          <w:rFonts w:hint="eastAsia"/>
        </w:rPr>
        <w:t xml:space="preserve">高位连板且资金流出的阳光照明。</w:t>
      </w:r>
    </w:p>
    <w:p>
      <w:pPr>
        <w:pStyle w:val="Compact"/>
        <w:numPr>
          <w:ilvl w:val="0"/>
          <w:numId w:val="1014"/>
        </w:numPr>
      </w:pPr>
      <w:r>
        <w:t xml:space="preserve">TickFlow </w:t>
      </w:r>
      <w:r>
        <w:rPr>
          <w:rFonts w:hint="eastAsia"/>
        </w:rPr>
        <w:t xml:space="preserve">D级且上午继续放量下跌的中际旭创、寒武纪、天孚通信、兆易创新、长鑫科技。</w:t>
      </w:r>
    </w:p>
    <w:p>
      <w:pPr>
        <w:pStyle w:val="Compact"/>
        <w:numPr>
          <w:ilvl w:val="0"/>
          <w:numId w:val="1014"/>
        </w:numPr>
      </w:pPr>
      <w:r>
        <w:rPr>
          <w:rFonts w:hint="eastAsia"/>
        </w:rPr>
        <w:t xml:space="preserve">跌停股及其同题材弱势跟随品种。</w:t>
      </w:r>
    </w:p>
    <w:bookmarkEnd w:id="28"/>
    <w:bookmarkEnd w:id="29"/>
    <w:bookmarkStart w:id="31" w:name="下午仓位模型"/>
    <w:p>
      <w:pPr>
        <w:pStyle w:val="Heading2"/>
      </w:pPr>
      <w:r>
        <w:t xml:space="preserve">🧮 </w:t>
      </w:r>
      <w:r>
        <w:rPr>
          <w:rFonts w:hint="eastAsia"/>
        </w:rPr>
        <w:t xml:space="preserve">下午仓位模型</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rPr>
                <w:rFonts w:hint="eastAsia"/>
              </w:rPr>
              <w:t xml:space="preserve">风格</w:t>
            </w:r>
          </w:p>
        </w:tc>
        <w:tc>
          <w:tcPr/>
          <w:p>
            <w:pPr>
              <w:pStyle w:val="Compact"/>
              <w:jc w:val="right"/>
            </w:pPr>
            <w:r>
              <w:rPr>
                <w:rFonts w:hint="eastAsia"/>
              </w:rPr>
              <w:t xml:space="preserve">建议仓位</w:t>
            </w:r>
          </w:p>
        </w:tc>
        <w:tc>
          <w:tcPr/>
          <w:p>
            <w:pPr>
              <w:pStyle w:val="Compact"/>
            </w:pPr>
            <w:r>
              <w:rPr>
                <w:rFonts w:hint="eastAsia"/>
              </w:rPr>
              <w:t xml:space="preserve">执行条件</w:t>
            </w:r>
          </w:p>
        </w:tc>
      </w:tr>
      <w:tr>
        <w:tc>
          <w:tcPr/>
          <w:p>
            <w:pPr>
              <w:pStyle w:val="Compact"/>
            </w:pPr>
            <w:r>
              <w:rPr>
                <w:rFonts w:hint="eastAsia"/>
              </w:rPr>
              <w:t xml:space="preserve">保守档</w:t>
            </w:r>
          </w:p>
        </w:tc>
        <w:tc>
          <w:tcPr/>
          <w:p>
            <w:pPr>
              <w:pStyle w:val="Compact"/>
              <w:jc w:val="right"/>
            </w:pPr>
            <w:r>
              <w:t xml:space="preserve">27%</w:t>
            </w:r>
          </w:p>
        </w:tc>
        <w:tc>
          <w:tcPr/>
          <w:p>
            <w:pPr>
              <w:pStyle w:val="Compact"/>
            </w:pPr>
            <w:r>
              <w:rPr>
                <w:rFonts w:hint="eastAsia"/>
              </w:rPr>
              <w:t xml:space="preserve">指数继续回落、科技资金流出扩大、电池涨停集群松动</w:t>
            </w:r>
          </w:p>
        </w:tc>
      </w:tr>
      <w:tr>
        <w:tc>
          <w:tcPr/>
          <w:p>
            <w:pPr>
              <w:pStyle w:val="Compact"/>
            </w:pPr>
            <w:r>
              <w:rPr>
                <w:rFonts w:hint="eastAsia"/>
              </w:rPr>
              <w:t xml:space="preserve">平衡档</w:t>
            </w:r>
          </w:p>
        </w:tc>
        <w:tc>
          <w:tcPr/>
          <w:p>
            <w:pPr>
              <w:pStyle w:val="Compact"/>
              <w:jc w:val="right"/>
            </w:pPr>
            <w:r>
              <w:t xml:space="preserve">42%</w:t>
            </w:r>
          </w:p>
        </w:tc>
        <w:tc>
          <w:tcPr/>
          <w:p>
            <w:pPr>
              <w:pStyle w:val="Compact"/>
            </w:pPr>
            <w:r>
              <w:rPr>
                <w:rFonts w:hint="eastAsia"/>
              </w:rPr>
              <w:t xml:space="preserve">涨跌比维持1以上，沪深300稳定，电池与电网资金保持流入</w:t>
            </w:r>
          </w:p>
        </w:tc>
      </w:tr>
      <w:tr>
        <w:tc>
          <w:tcPr/>
          <w:p>
            <w:pPr>
              <w:pStyle w:val="Compact"/>
            </w:pPr>
            <w:r>
              <w:rPr>
                <w:rFonts w:hint="eastAsia"/>
              </w:rPr>
              <w:t xml:space="preserve">进取档</w:t>
            </w:r>
          </w:p>
        </w:tc>
        <w:tc>
          <w:tcPr/>
          <w:p>
            <w:pPr>
              <w:pStyle w:val="Compact"/>
              <w:jc w:val="right"/>
            </w:pPr>
            <w:r>
              <w:rPr>
                <w:rFonts w:hint="eastAsia"/>
              </w:rPr>
              <w:t xml:space="preserve">最高50%</w:t>
            </w:r>
          </w:p>
        </w:tc>
        <w:tc>
          <w:tcPr/>
          <w:p>
            <w:pPr>
              <w:pStyle w:val="Compact"/>
            </w:pPr>
            <w:r>
              <w:rPr>
                <w:rFonts w:hint="eastAsia"/>
              </w:rPr>
              <w:t xml:space="preserve">指数放量修复、炸板率下降、核心主线分歧转强同时成立</w:t>
            </w:r>
          </w:p>
        </w:tc>
      </w:tr>
    </w:tbl>
    <w:bookmarkStart w:id="30" w:name="量化依据"/>
    <w:p>
      <w:pPr>
        <w:pStyle w:val="Heading3"/>
      </w:pPr>
      <w:r>
        <w:t xml:space="preserve">🧮 </w:t>
      </w:r>
      <w:r>
        <w:rPr>
          <w:rFonts w:hint="eastAsia"/>
        </w:rPr>
        <w:t xml:space="preserve">量化依据</w:t>
      </w:r>
    </w:p>
    <w:p>
      <w:pPr>
        <w:pStyle w:val="Compact"/>
        <w:numPr>
          <w:ilvl w:val="0"/>
          <w:numId w:val="1015"/>
        </w:numPr>
      </w:pPr>
      <w:r>
        <w:rPr>
          <w:rFonts w:hint="eastAsia"/>
        </w:rPr>
        <w:t xml:space="preserve">基础仓位模型上限为50%。</w:t>
      </w:r>
    </w:p>
    <w:p>
      <w:pPr>
        <w:pStyle w:val="Compact"/>
        <w:numPr>
          <w:ilvl w:val="0"/>
          <w:numId w:val="1015"/>
        </w:numPr>
      </w:pPr>
      <w:r>
        <w:rPr>
          <w:rFonts w:hint="eastAsia"/>
        </w:rPr>
        <w:t xml:space="preserve">涨跌比1.547，对仓位贡献+10个百分点。</w:t>
      </w:r>
    </w:p>
    <w:p>
      <w:pPr>
        <w:pStyle w:val="Compact"/>
        <w:numPr>
          <w:ilvl w:val="0"/>
          <w:numId w:val="1015"/>
        </w:numPr>
      </w:pPr>
      <w:r>
        <w:rPr>
          <w:rFonts w:hint="eastAsia"/>
        </w:rPr>
        <w:t xml:space="preserve">炸板率22.4%，不加分也不减分。</w:t>
      </w:r>
    </w:p>
    <w:p>
      <w:pPr>
        <w:pStyle w:val="Compact"/>
        <w:numPr>
          <w:ilvl w:val="0"/>
          <w:numId w:val="1015"/>
        </w:numPr>
      </w:pPr>
      <w:r>
        <w:rPr>
          <w:rFonts w:hint="eastAsia"/>
        </w:rPr>
        <w:t xml:space="preserve">跌停4家，极端亏钱效应尚未扩散，不额外减分。</w:t>
      </w:r>
    </w:p>
    <w:p>
      <w:pPr>
        <w:pStyle w:val="Compact"/>
        <w:numPr>
          <w:ilvl w:val="0"/>
          <w:numId w:val="1015"/>
        </w:numPr>
      </w:pPr>
      <w:r>
        <w:rPr>
          <w:rFonts w:hint="eastAsia"/>
        </w:rPr>
        <w:t xml:space="preserve">半日成交额9996.24亿元，与昨日全天17951.83亿元机械比较为-44.32%，自动模型减8个百分点；预测全天缩量12.88%，实际执行继续按缩量约束。</w:t>
      </w:r>
    </w:p>
    <w:p>
      <w:pPr>
        <w:pStyle w:val="Compact"/>
        <w:numPr>
          <w:ilvl w:val="0"/>
          <w:numId w:val="1015"/>
        </w:numPr>
      </w:pPr>
      <w:r>
        <w:rPr>
          <w:rFonts w:hint="eastAsia"/>
        </w:rPr>
        <w:t xml:space="preserve">QVIX数据超时导致联合信号不可判定，不因宽基ETF持续流入单独突破50%仓位上限。</w:t>
      </w:r>
    </w:p>
    <w:p>
      <w:pPr>
        <w:pStyle w:val="Compact"/>
        <w:numPr>
          <w:ilvl w:val="0"/>
          <w:numId w:val="1015"/>
        </w:numPr>
      </w:pPr>
      <w:r>
        <w:rPr>
          <w:rFonts w:hint="eastAsia"/>
        </w:rPr>
        <w:t xml:space="preserve">行为金融风险分为2，维持原模型，不扩大无依据仓位。</w:t>
      </w:r>
    </w:p>
    <w:bookmarkEnd w:id="30"/>
    <w:bookmarkEnd w:id="31"/>
    <w:bookmarkStart w:id="32" w:name="下午回避清单"/>
    <w:p>
      <w:pPr>
        <w:pStyle w:val="Heading2"/>
      </w:pPr>
      <w:r>
        <w:t xml:space="preserve">🚫 </w:t>
      </w:r>
      <w:r>
        <w:rPr>
          <w:rFonts w:hint="eastAsia"/>
        </w:rPr>
        <w:t xml:space="preserve">下午回避清单</w:t>
      </w:r>
    </w:p>
    <w:p>
      <w:pPr>
        <w:pStyle w:val="Compact"/>
        <w:numPr>
          <w:ilvl w:val="0"/>
          <w:numId w:val="1016"/>
        </w:numPr>
      </w:pPr>
      <w:r>
        <w:t xml:space="preserve">⚠️</w:t>
      </w:r>
      <w:r>
        <w:t xml:space="preserve"> </w:t>
      </w:r>
      <w:r>
        <w:rPr>
          <w:rFonts w:hint="eastAsia"/>
          <w:b/>
          <w:bCs/>
        </w:rPr>
        <w:t xml:space="preserve">半导体</w:t>
      </w:r>
      <w:r>
        <w:rPr>
          <w:rFonts w:hint="eastAsia"/>
        </w:rPr>
        <w:t xml:space="preserve">：板块净流出51.35亿元，晶华微20%跌停，寒武纪、长鑫科技、兆易创新同步流出。</w:t>
      </w:r>
    </w:p>
    <w:p>
      <w:pPr>
        <w:pStyle w:val="Compact"/>
        <w:numPr>
          <w:ilvl w:val="0"/>
          <w:numId w:val="1016"/>
        </w:numPr>
      </w:pPr>
      <w:r>
        <w:t xml:space="preserve">⚠️</w:t>
      </w:r>
      <w:r>
        <w:t xml:space="preserve"> </w:t>
      </w:r>
      <w:r>
        <w:rPr>
          <w:rFonts w:hint="eastAsia"/>
          <w:b/>
          <w:bCs/>
        </w:rPr>
        <w:t xml:space="preserve">通信设备及光模块</w:t>
      </w:r>
      <w:r>
        <w:rPr>
          <w:rFonts w:hint="eastAsia"/>
        </w:rPr>
        <w:t xml:space="preserve">：板块净流出41.04亿元，中际旭创和天孚通信合计净流出16.59亿元。</w:t>
      </w:r>
    </w:p>
    <w:p>
      <w:pPr>
        <w:pStyle w:val="Compact"/>
        <w:numPr>
          <w:ilvl w:val="0"/>
          <w:numId w:val="1016"/>
        </w:numPr>
      </w:pPr>
      <w:r>
        <w:t xml:space="preserve">⚠️</w:t>
      </w:r>
      <w:r>
        <w:t xml:space="preserve"> </w:t>
      </w:r>
      <w:r>
        <w:rPr>
          <w:rFonts w:hint="eastAsia"/>
          <w:b/>
          <w:bCs/>
        </w:rPr>
        <w:t xml:space="preserve">阳光照明</w:t>
      </w:r>
      <w:r>
        <w:rPr>
          <w:rFonts w:hint="eastAsia"/>
        </w:rPr>
        <w:t xml:space="preserve">：4连板但净流出4.14亿元、上午开板5次，并已有公司风险提示公告。</w:t>
      </w:r>
    </w:p>
    <w:p>
      <w:pPr>
        <w:pStyle w:val="Compact"/>
        <w:numPr>
          <w:ilvl w:val="0"/>
          <w:numId w:val="1016"/>
        </w:numPr>
      </w:pPr>
      <w:r>
        <w:t xml:space="preserve">⚠️</w:t>
      </w:r>
      <w:r>
        <w:t xml:space="preserve"> </w:t>
      </w:r>
      <w:r>
        <w:rPr>
          <w:rFonts w:hint="eastAsia"/>
          <w:b/>
          <w:bCs/>
        </w:rPr>
        <w:t xml:space="preserve">晶华微、科力远</w:t>
      </w:r>
      <w:r>
        <w:rPr>
          <w:rFonts w:hint="eastAsia"/>
        </w:rPr>
        <w:t xml:space="preserve">：分别跌20.02%和9.90%，盘前立案风险已转化为跌停表现。</w:t>
      </w:r>
    </w:p>
    <w:p>
      <w:pPr>
        <w:pStyle w:val="Compact"/>
        <w:numPr>
          <w:ilvl w:val="0"/>
          <w:numId w:val="1016"/>
        </w:numPr>
      </w:pPr>
      <w:r>
        <w:t xml:space="preserve">⚠️</w:t>
      </w:r>
      <w:r>
        <w:t xml:space="preserve"> </w:t>
      </w:r>
      <w:r>
        <w:rPr>
          <w:rFonts w:hint="eastAsia"/>
          <w:b/>
          <w:bCs/>
        </w:rPr>
        <w:t xml:space="preserve">奥精医疗、华丰股份</w:t>
      </w:r>
      <w:r>
        <w:rPr>
          <w:rFonts w:hint="eastAsia"/>
        </w:rPr>
        <w:t xml:space="preserve">：分别跌19.97%和10.00%，不参与跌停板博弈。</w:t>
      </w:r>
    </w:p>
    <w:p>
      <w:pPr>
        <w:pStyle w:val="Compact"/>
        <w:numPr>
          <w:ilvl w:val="0"/>
          <w:numId w:val="1016"/>
        </w:numPr>
      </w:pPr>
      <w:r>
        <w:t xml:space="preserve">⚠️</w:t>
      </w:r>
      <w:r>
        <w:t xml:space="preserve"> </w:t>
      </w:r>
      <w:r>
        <w:rPr>
          <w:rFonts w:hint="eastAsia"/>
          <w:b/>
          <w:bCs/>
        </w:rPr>
        <w:t xml:space="preserve">皇台酒业、东方海洋</w:t>
      </w:r>
      <w:r>
        <w:rPr>
          <w:rFonts w:hint="eastAsia"/>
        </w:rPr>
        <w:t xml:space="preserve">：均处高位连板，前者业绩大幅下降且估值高，后者亏损且换手率13.95%。</w:t>
      </w:r>
    </w:p>
    <w:p>
      <w:pPr>
        <w:pStyle w:val="Compact"/>
        <w:numPr>
          <w:ilvl w:val="0"/>
          <w:numId w:val="1016"/>
        </w:numPr>
      </w:pPr>
      <w:r>
        <w:t xml:space="preserve">⚠️</w:t>
      </w:r>
      <w:r>
        <w:t xml:space="preserve"> </w:t>
      </w:r>
      <w:r>
        <w:rPr>
          <w:rFonts w:hint="eastAsia"/>
          <w:b/>
          <w:bCs/>
        </w:rPr>
        <w:t xml:space="preserve">D级趋势股</w:t>
      </w:r>
      <w:r>
        <w:rPr>
          <w:rFonts w:hint="eastAsia"/>
        </w:rPr>
        <w:t xml:space="preserve">：最近完整日K未重新站回MA20和MA60前，不因午后单次反抽改变回避结论。</w:t>
      </w:r>
    </w:p>
    <w:p>
      <w:pPr>
        <w:pStyle w:val="Compact"/>
        <w:numPr>
          <w:ilvl w:val="0"/>
          <w:numId w:val="1016"/>
        </w:numPr>
      </w:pPr>
      <w:r>
        <w:t xml:space="preserve">⚠️</w:t>
      </w:r>
      <w:r>
        <w:t xml:space="preserve"> </w:t>
      </w:r>
      <w:r>
        <w:rPr>
          <w:rFonts w:hint="eastAsia"/>
          <w:b/>
          <w:bCs/>
        </w:rPr>
        <w:t xml:space="preserve">明显缩量环境中的追涨交易</w:t>
      </w:r>
      <w:r>
        <w:rPr>
          <w:rFonts w:hint="eastAsia"/>
        </w:rPr>
        <w:t xml:space="preserve">：预测全天成交额较昨日下降12.88%，热点持续性和封板稳定性均需打折。</w:t>
      </w:r>
    </w:p>
    <w:p>
      <w:pPr>
        <w:pStyle w:val="BlockText"/>
      </w:pPr>
      <w:r>
        <w:t xml:space="preserve">📊 </w:t>
      </w:r>
      <w:r>
        <w:rPr>
          <w:rFonts w:hint="eastAsia"/>
        </w:rPr>
        <w:t xml:space="preserve">生成时间：2026-11-03</w:t>
      </w:r>
      <w:r>
        <w:t xml:space="preserve"> 11:45:49</w:t>
      </w:r>
      <w:r>
        <w:t xml:space="preserve"> </w:t>
      </w:r>
      <w:r>
        <w:t xml:space="preserve">🦞 </w:t>
      </w:r>
      <w:r>
        <w:rPr>
          <w:rFonts w:hint="eastAsia"/>
        </w:rPr>
        <w:t xml:space="preserve">by：奇迹早知道</w:t>
      </w:r>
      <w:r>
        <w:t xml:space="preserve"> v4.1</w:t>
      </w:r>
      <w:r>
        <w:t xml:space="preserve"> </w:t>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t xml:space="preserve"> </w:t>
      </w:r>
      <w:r>
        <w:t xml:space="preserve">🔴 </w:t>
      </w:r>
      <w:r>
        <w:rPr>
          <w:rFonts w:hint="eastAsia"/>
        </w:rPr>
        <w:t xml:space="preserve">分析+写稿模型：GPT-5.6</w:t>
      </w:r>
      <w:r>
        <w:t xml:space="preserve"> Sol (openai-codex)</w:t>
      </w:r>
      <w:r>
        <w:t xml:space="preserve"> </w:t>
      </w:r>
      <w:r>
        <w:t xml:space="preserve">📄 </w:t>
      </w:r>
      <w:r>
        <w:rPr>
          <w:rFonts w:hint="eastAsia"/>
        </w:rPr>
        <w:t xml:space="preserve">文档生成：pandoc</w:t>
      </w:r>
      <w:r>
        <w:t xml:space="preserve"> (markdown → docx)</w:t>
      </w:r>
    </w:p>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2026-11-03T03:52:43Z</dcterms:created>
  <dcterms:modified xsi:type="dcterms:W3CDTF">2026-11-03T03:52:43Z</dcterms:modified>
</cp:coreProperties>
</file>

<file path=docProps/custom.xml><?xml version="1.0" encoding="utf-8"?>
<Properties xmlns="http://schemas.openxmlformats.org/officeDocument/2006/custom-properties" xmlns:vt="http://schemas.openxmlformats.org/officeDocument/2006/docPropsVTypes"/>
</file>