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奇迹早知道2026年10月21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奇迹早知道｜2026年10月21日午盘总结</w:t>
      </w:r>
    </w:p>
    <w:bookmarkStart w:id="12" w:name="上午行情概览"/>
    <w:p>
      <w:pPr>
        <w:pStyle w:val="Heading2"/>
      </w:pPr>
      <w:r>
        <w:t xml:space="preserve">📊 </w:t>
      </w:r>
      <w:r>
        <w:rPr>
          <w:rFonts w:hint="eastAsia"/>
        </w:rPr>
        <w:t xml:space="preserve">上午行情概览</w:t>
      </w:r>
    </w:p>
    <w:bookmarkStart w:id="9" w:name="三大指数与核心宽基"/>
    <w:p>
      <w:pPr>
        <w:pStyle w:val="Heading3"/>
      </w:pPr>
      <w:r>
        <w:t xml:space="preserve">📈🔴 </w:t>
      </w:r>
      <w:r>
        <w:rPr>
          <w:rFonts w:hint="eastAsia"/>
        </w:rPr>
        <w:t xml:space="preserve">三大指数与核心宽基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3723.9518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-0.3057%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11764.9710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-0.3078%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2709.9570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-1.0677%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1349.5364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+0.5298%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4125.2248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-0.6474%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指数呈现明显分化：创业板指跌幅最大，科创50逆势上涨，科技内部并非普涨，而是资金向电子、通信、数据要素等细分方向集中。</w:t>
      </w:r>
    </w:p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沪深300弱于上证指数，权重端承压；宁德时代午盘下跌10.32%、成交216.05亿元，是创业板和权重指数的重要拖累。</w:t>
      </w:r>
    </w:p>
    <w:p>
      <w:pPr>
        <w:pStyle w:val="Compact"/>
        <w:numPr>
          <w:ilvl w:val="0"/>
          <w:numId w:val="1001"/>
        </w:numPr>
      </w:pPr>
      <w:r>
        <w:t xml:space="preserve">📈 </w:t>
      </w:r>
      <w:r>
        <w:rPr>
          <w:rFonts w:hint="eastAsia"/>
        </w:rPr>
        <w:t xml:space="preserve">科创50上涨0.5298%，半导体ETF上涨0.7238%、芯片ETF上涨0.5537%，但部分高成交科技股仍处于日K破位状态，不能把指数走强直接等同于个股右侧反转。</w:t>
      </w:r>
    </w:p>
    <w:bookmarkEnd w:id="9"/>
    <w:bookmarkStart w:id="10" w:name="半日成交额与市场宽度"/>
    <w:p>
      <w:pPr>
        <w:pStyle w:val="Heading3"/>
      </w:pPr>
      <w:r>
        <w:t xml:space="preserve">💰 </w:t>
      </w:r>
      <w:r>
        <w:rPr>
          <w:rFonts w:hint="eastAsia"/>
        </w:rPr>
        <w:t xml:space="preserve">半日成交额与市场宽度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全市场半日成交额：</w:t>
      </w:r>
      <w:r>
        <w:rPr>
          <w:rFonts w:hint="eastAsia"/>
          <w:b/>
          <w:bCs/>
        </w:rPr>
        <w:t xml:space="preserve">9485.91亿元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预测全天成交额：</w:t>
      </w:r>
      <w:r>
        <w:rPr>
          <w:rFonts w:hint="eastAsia"/>
          <w:b/>
          <w:bCs/>
        </w:rPr>
        <w:t xml:space="preserve">14775.58亿元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上一交易日成交额：</w:t>
      </w:r>
      <w:r>
        <w:rPr>
          <w:rFonts w:hint="eastAsia"/>
          <w:b/>
          <w:bCs/>
        </w:rPr>
        <w:t xml:space="preserve">14715.24亿元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成交额模型变化率：</w:t>
      </w:r>
      <w:r>
        <w:rPr>
          <w:b/>
          <w:bCs/>
        </w:rPr>
        <w:t xml:space="preserve">-35.54%</w:t>
      </w:r>
      <w:r>
        <w:rPr>
          <w:rFonts w:hint="eastAsia"/>
        </w:rPr>
        <w:t xml:space="preserve">，状态标记为“明显缩量”；但该变化率包含半日值与上一交易日全天值的时段差异，下午应以最终全天成交额验证。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上涨</w:t>
      </w:r>
      <w:r>
        <w:t xml:space="preserve"> </w:t>
      </w:r>
      <w:r>
        <w:rPr>
          <w:rFonts w:hint="eastAsia"/>
          <w:b/>
          <w:bCs/>
        </w:rPr>
        <w:t xml:space="preserve">2859家</w:t>
      </w:r>
      <w:r>
        <w:rPr>
          <w:rFonts w:hint="eastAsia"/>
        </w:rPr>
        <w:t xml:space="preserve">，下跌</w:t>
      </w:r>
      <w:r>
        <w:t xml:space="preserve"> </w:t>
      </w:r>
      <w:r>
        <w:rPr>
          <w:rFonts w:hint="eastAsia"/>
          <w:b/>
          <w:bCs/>
        </w:rPr>
        <w:t xml:space="preserve">2475家</w:t>
      </w:r>
      <w:r>
        <w:rPr>
          <w:rFonts w:hint="eastAsia"/>
        </w:rPr>
        <w:t xml:space="preserve">，平盘</w:t>
      </w:r>
      <w:r>
        <w:t xml:space="preserve"> </w:t>
      </w:r>
      <w:r>
        <w:rPr>
          <w:rFonts w:hint="eastAsia"/>
          <w:b/>
          <w:bCs/>
        </w:rPr>
        <w:t xml:space="preserve">234家</w:t>
      </w:r>
      <w:r>
        <w:rPr>
          <w:rFonts w:hint="eastAsia"/>
        </w:rPr>
        <w:t xml:space="preserve">，涨跌比</w:t>
      </w:r>
      <w:r>
        <w:t xml:space="preserve"> </w:t>
      </w:r>
      <w:r>
        <w:rPr>
          <w:b/>
          <w:bCs/>
        </w:rPr>
        <w:t xml:space="preserve">1.155:1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涨停</w:t>
      </w:r>
      <w:r>
        <w:t xml:space="preserve"> </w:t>
      </w:r>
      <w:r>
        <w:rPr>
          <w:rFonts w:hint="eastAsia"/>
          <w:b/>
          <w:bCs/>
        </w:rPr>
        <w:t xml:space="preserve">44家</w:t>
      </w:r>
      <w:r>
        <w:rPr>
          <w:rFonts w:hint="eastAsia"/>
        </w:rPr>
        <w:t xml:space="preserve">，跌停</w:t>
      </w:r>
      <w:r>
        <w:t xml:space="preserve"> </w:t>
      </w:r>
      <w:r>
        <w:rPr>
          <w:rFonts w:hint="eastAsia"/>
          <w:b/>
          <w:bCs/>
        </w:rPr>
        <w:t xml:space="preserve">0家</w:t>
      </w:r>
      <w:r>
        <w:rPr>
          <w:rFonts w:hint="eastAsia"/>
        </w:rPr>
        <w:t xml:space="preserve">；炸板</w:t>
      </w:r>
      <w:r>
        <w:t xml:space="preserve"> </w:t>
      </w:r>
      <w:r>
        <w:rPr>
          <w:rFonts w:hint="eastAsia"/>
          <w:b/>
          <w:bCs/>
        </w:rPr>
        <w:t xml:space="preserve">17家</w:t>
      </w:r>
      <w:r>
        <w:rPr>
          <w:rFonts w:hint="eastAsia"/>
        </w:rPr>
        <w:t xml:space="preserve">，炸板率</w:t>
      </w:r>
      <w:r>
        <w:t xml:space="preserve"> </w:t>
      </w:r>
      <w:r>
        <w:rPr>
          <w:b/>
          <w:bCs/>
        </w:rPr>
        <w:t xml:space="preserve">27.9%</w:t>
      </w:r>
      <w:r>
        <w:rPr>
          <w:rFonts w:hint="eastAsia"/>
        </w:rPr>
        <w:t xml:space="preserve">，封板率</w:t>
      </w:r>
      <w:r>
        <w:t xml:space="preserve"> </w:t>
      </w:r>
      <w:r>
        <w:rPr>
          <w:b/>
          <w:bCs/>
        </w:rPr>
        <w:t xml:space="preserve">72.1%</w:t>
      </w:r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连板高度</w:t>
      </w:r>
      <w:r>
        <w:t xml:space="preserve"> </w:t>
      </w:r>
      <w:r>
        <w:rPr>
          <w:rFonts w:hint="eastAsia"/>
          <w:b/>
          <w:bCs/>
        </w:rPr>
        <w:t xml:space="preserve">4板</w:t>
      </w:r>
      <w:r>
        <w:rPr>
          <w:rFonts w:hint="eastAsia"/>
        </w:rPr>
        <w:t xml:space="preserve">：4板3家、3板1家、2板11家、首板29家。</w:t>
      </w:r>
    </w:p>
    <w:bookmarkEnd w:id="10"/>
    <w:bookmarkStart w:id="11" w:name="情绪周期量化判断正常偏回暖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情绪周期量化判断：正常偏回暖</w:t>
      </w:r>
    </w:p>
    <w:p>
      <w:pPr>
        <w:pStyle w:val="Compact"/>
        <w:numPr>
          <w:ilvl w:val="0"/>
          <w:numId w:val="1003"/>
        </w:numPr>
      </w:pPr>
      <w:r>
        <w:t xml:space="preserve">🔴 </w:t>
      </w:r>
      <w:r>
        <w:rPr>
          <w:rFonts w:hint="eastAsia"/>
        </w:rPr>
        <w:t xml:space="preserve">支撑项：涨跌比高于1、44只涨停、0只跌停、封板率72.1%、最高连板达到4板。</w:t>
      </w:r>
    </w:p>
    <w:p>
      <w:pPr>
        <w:pStyle w:val="Compact"/>
        <w:numPr>
          <w:ilvl w:val="0"/>
          <w:numId w:val="1003"/>
        </w:numPr>
      </w:pPr>
      <w:r>
        <w:t xml:space="preserve">🟡 </w:t>
      </w:r>
      <w:r>
        <w:rPr>
          <w:rFonts w:hint="eastAsia"/>
        </w:rPr>
        <w:t xml:space="preserve">分歧项：炸板率27.9%，接力意愿仅为“一般/分歧”；指数多数收绿，高位股与权重股波动较大。</w:t>
      </w:r>
    </w:p>
    <w:p>
      <w:pPr>
        <w:pStyle w:val="Compact"/>
        <w:numPr>
          <w:ilvl w:val="0"/>
          <w:numId w:val="1003"/>
        </w:numPr>
      </w:pPr>
      <w:r>
        <w:t xml:space="preserve">⚠️ </w:t>
      </w:r>
      <w:r>
        <w:rPr>
          <w:rFonts w:hint="eastAsia"/>
        </w:rPr>
        <w:t xml:space="preserve">结论：市场已脱离冰点，但尚未达到全面过热，当前属于</w:t>
      </w:r>
      <w:r>
        <w:rPr>
          <w:rFonts w:hint="eastAsia"/>
          <w:b/>
          <w:bCs/>
        </w:rPr>
        <w:t xml:space="preserve">正常偏回暖、结构性赚钱效应</w:t>
      </w:r>
      <w:r>
        <w:rPr>
          <w:rFonts w:hint="eastAsia"/>
        </w:rPr>
        <w:t xml:space="preserve">。下午若炸板率升至30%以上并伴随涨跌比跌破1，情绪将重新转向分歧。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4" w:name="领涨板块top10与龙头线索"/>
    <w:p>
      <w:pPr>
        <w:pStyle w:val="Heading2"/>
      </w:pPr>
      <w:r>
        <w:t xml:space="preserve">🚀 </w:t>
      </w:r>
      <w:r>
        <w:rPr>
          <w:rFonts w:hint="eastAsia"/>
        </w:rPr>
        <w:t xml:space="preserve">领涨板块TOP10与龙头线索</w:t>
      </w:r>
    </w:p>
    <w:p>
      <w:pPr>
        <w:pStyle w:val="FirstParagraph"/>
      </w:pPr>
      <w:r>
        <w:rPr>
          <w:rFonts w:hint="eastAsia"/>
        </w:rPr>
        <w:t xml:space="preserve">以下为KPL精选概念盘中排名，属于概念口径，不替代申万行业资金四榜。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龙头/代表线索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AI应用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+1.403%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海量数据、南威软件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数字经济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+1.071%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南威软件、太极股份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+0.667%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昂利康、中恒集团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海峡两岸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+1.105%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+1.009%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海量数据、润建股份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龙头/代表线索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+0.754%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百洋股份、东方海洋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+0.685%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润建股份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机器人概念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+0.171%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泰尔股份、大业股份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文化传媒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+1.719%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粤传媒、出版传媒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+2.014%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文投控股</w:t>
            </w:r>
          </w:p>
        </w:tc>
      </w:tr>
    </w:tbl>
    <w:bookmarkStart w:id="13" w:name="涨停集群强度"/>
    <w:p>
      <w:pPr>
        <w:pStyle w:val="Heading3"/>
      </w:pPr>
      <w:r>
        <w:t xml:space="preserve">🔥 </w:t>
      </w:r>
      <w:r>
        <w:rPr>
          <w:rFonts w:hint="eastAsia"/>
        </w:rPr>
        <w:t xml:space="preserve">涨停集群强度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IT服务Ⅱ</w:t>
      </w:r>
      <w:r>
        <w:rPr>
          <w:rFonts w:hint="eastAsia"/>
        </w:rPr>
        <w:t xml:space="preserve">：6只涨停，处于启动/扩散阶段。海量数据涨停，南威软件2连板，航天信息、太极股份、久远银海跟随。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通用设备</w:t>
      </w:r>
      <w:r>
        <w:rPr>
          <w:rFonts w:hint="eastAsia"/>
        </w:rPr>
        <w:t xml:space="preserve">：4只涨停。大业股份4连板、泰尔股份2连板，雪人集团、哈空调首板。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通信设备</w:t>
      </w:r>
      <w:r>
        <w:rPr>
          <w:rFonts w:hint="eastAsia"/>
        </w:rPr>
        <w:t xml:space="preserve">：日海智能2连板，通宇通讯涨停；移远通信一度触板，午盘涨9.14%但已炸板。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高标梯队</w:t>
      </w:r>
      <w:r>
        <w:rPr>
          <w:rFonts w:hint="eastAsia"/>
        </w:rPr>
        <w:t xml:space="preserve">：海洋王、东安动力、大业股份均为4连板；润建股份3连板。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龙头线索来自涨停池和板块集群，不代表可直接追涨。高标中仅海洋王、大业股份获得重点股日K</w:t>
      </w:r>
      <w:r>
        <w:t xml:space="preserve"> </w:t>
      </w:r>
      <w:r>
        <w:rPr>
          <w:rFonts w:hint="eastAsia"/>
        </w:rPr>
        <w:t xml:space="preserve">A级评价，且技术数据截至10月19日，不是午盘实时分时确认。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9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口径说明：交易日2026-10-21，2026-10-21</w:t>
      </w:r>
      <w:r>
        <w:t xml:space="preserve"> </w:t>
      </w:r>
      <w:r>
        <w:rPr>
          <w:rFonts w:hint="eastAsia"/>
        </w:rPr>
        <w:t xml:space="preserve">11:45，scope=intraday，申万二级行业；来源：huatai。</w:t>
      </w:r>
    </w:p>
    <w:bookmarkStart w:id="15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-46.34亿元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锂电池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-11.95亿元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电池化学品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家用电器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-8.95亿元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逆变器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光伏设备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-6.15亿元</w:t>
            </w:r>
          </w:p>
        </w:tc>
      </w:tr>
    </w:tbl>
    <w:bookmarkEnd w:id="15"/>
    <w:bookmarkStart w:id="16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-142.39亿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-68.70亿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-54.22亿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-37.94亿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-25.76亿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-21.11亿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-19.69亿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-18.80亿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亨通光电(600487)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-17.73亿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移远通信(603236)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-17.44亿</w:t>
            </w:r>
          </w:p>
        </w:tc>
      </w:tr>
    </w:tbl>
    <w:bookmarkEnd w:id="16"/>
    <w:bookmarkStart w:id="17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+77.46亿元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+30.46亿元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印制电路板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数字芯片设计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通信网络设备及器件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机械设备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+12.33亿元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农林牧渔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+11.25亿元</w:t>
            </w:r>
          </w:p>
        </w:tc>
      </w:tr>
    </w:tbl>
    <w:bookmarkEnd w:id="17"/>
    <w:bookmarkStart w:id="18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+127.25亿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+69.78亿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+47.70亿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+38.84亿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+27.18亿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+26.11亿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生益科技(600183)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+23.90亿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+22.19亿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澜起科技(688008)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+21.22亿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沪电股份(002463)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+20.61亿</w:t>
            </w:r>
          </w:p>
        </w:tc>
      </w:tr>
    </w:tbl>
    <w:bookmarkEnd w:id="18"/>
    <w:bookmarkEnd w:id="19"/>
    <w:bookmarkStart w:id="23" w:name="资金流出预警"/>
    <w:p>
      <w:pPr>
        <w:pStyle w:val="Heading2"/>
      </w:pPr>
      <w:r>
        <w:t xml:space="preserve">⚠️ </w:t>
      </w:r>
      <w:r>
        <w:rPr>
          <w:rFonts w:hint="eastAsia"/>
        </w:rPr>
        <w:t xml:space="preserve">资金流出预警</w:t>
      </w:r>
    </w:p>
    <w:bookmarkStart w:id="20" w:name="新能源链流出最集中"/>
    <w:p>
      <w:pPr>
        <w:pStyle w:val="Heading3"/>
      </w:pPr>
      <w:r>
        <w:t xml:space="preserve">🟢 </w:t>
      </w:r>
      <w:r>
        <w:rPr>
          <w:rFonts w:hint="eastAsia"/>
        </w:rPr>
        <w:t xml:space="preserve">新能源链：流出最集中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电力设备净流出46.34亿元、电池净流出38.92亿元、锂电池净流出23.46亿元、电池化学品净流出10.66亿元。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宁德时代成交216.05亿元、午盘跌10.32%，主力卖出金额142.39亿元，虽然同时有127.25亿元买入金额，但抛压仍处于极高水平。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TickFlow日K截至10月19日将宁德时代评为D级：收盘267.02元，MA20为295.30元、MA60为350.60元，距60日高点-34.10%。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下午新能源链只看止跌，不做左侧抢反弹。宁德时代未重新形成稳定承接前，不把业绩增长当作价格右侧确认。</w:t>
      </w:r>
    </w:p>
    <w:bookmarkEnd w:id="20"/>
    <w:bookmarkStart w:id="21" w:name="光模块与高成交科技强分歧而非一致主升"/>
    <w:p>
      <w:pPr>
        <w:pStyle w:val="Heading3"/>
      </w:pPr>
      <w:r>
        <w:t xml:space="preserve">🟢 </w:t>
      </w:r>
      <w:r>
        <w:rPr>
          <w:rFonts w:hint="eastAsia"/>
        </w:rPr>
        <w:t xml:space="preserve">光模块与高成交科技：强分歧而非一致主升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中际旭创卖出68.70亿元、新易盛卖出54.22亿元，同时分别有69.78亿元、47.70亿元买入。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中际旭创午盘下跌0.02%，新易盛下跌2.29%，天孚通信上涨4.32%，沪电股份上涨3.64%，同一产业链强弱明显分化。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日K技术校验中，中际旭创、新易盛、天孚通信、沪电股份均为D级，技术日期截至10月19日。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板块资金流入不等于所有高成交个股都已修复。下午只能观察是否放量站回关键均线，禁止追逐脉冲反弹。</w:t>
      </w:r>
    </w:p>
    <w:bookmarkEnd w:id="21"/>
    <w:bookmarkStart w:id="22" w:name="高位题材股炸板风险上升"/>
    <w:p>
      <w:pPr>
        <w:pStyle w:val="Heading3"/>
      </w:pPr>
      <w:r>
        <w:t xml:space="preserve">🟢 </w:t>
      </w:r>
      <w:r>
        <w:rPr>
          <w:rFonts w:hint="eastAsia"/>
        </w:rPr>
        <w:t xml:space="preserve">高位题材股：炸板风险上升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移远通信午盘涨9.14%，但已进入炸板池，炸板2次，主力卖出金额17.44亿元。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兴民智通触板后回落至涨4.76%，振幅10.39%。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盛洋科技触板后回落至涨4.98%，振幅10.47%。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东安动力虽为4连板，但公司风险提示显示飞行汽车业务2026年前9个月尚未形成收入，且2026年上半年归母净利润为-893.47万元。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盘前预判与上午实盘对照"/>
    <w:p>
      <w:pPr>
        <w:pStyle w:val="Heading2"/>
      </w:pPr>
      <w:r>
        <w:t xml:space="preserve">🧾 </w:t>
      </w:r>
      <w:r>
        <w:rPr>
          <w:rFonts w:hint="eastAsia"/>
        </w:rPr>
        <w:t xml:space="preserve">盘前预判与上午实盘对照</w:t>
      </w:r>
    </w:p>
    <w:bookmarkStart w:id="24" w:name="已验证方向"/>
    <w:p>
      <w:pPr>
        <w:pStyle w:val="Heading3"/>
      </w:pPr>
      <w:r>
        <w:t xml:space="preserve">✅ </w:t>
      </w:r>
      <w:r>
        <w:rPr>
          <w:rFonts w:hint="eastAsia"/>
        </w:rPr>
        <w:t xml:space="preserve">已验证方向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数据要素由观察方向升级为上午强线索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国家数据集团政策催化得到盘面响应。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IT服务Ⅱ形成6只涨停集群，南威软件、海量数据、航天信息、太极股份等走强。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盘前要求“不追高、等待板块扩散”，实盘确实出现扩散，但南威软件已有异常波动公告，下午仍不宜追板。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自动化、机器人、通用设备获得验证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通用设备出现4只涨停，大业股份4连板、泰尔股份2连板。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机械设备主力净流入12.33亿元，政策与盘面形成局部共振。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电力设备、电池弱资金方向判断正确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电力设备、电池、锂电池分别成为流出前三方向。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宁德时代大幅下跌，说明基本面利好未能抵消资金兑现压力。</w:t>
      </w:r>
    </w:p>
    <w:bookmarkEnd w:id="24"/>
    <w:bookmarkStart w:id="25" w:name="出现偏差的方向"/>
    <w:p>
      <w:pPr>
        <w:pStyle w:val="Heading3"/>
      </w:pPr>
      <w:r>
        <w:t xml:space="preserve">⚠️ </w:t>
      </w:r>
      <w:r>
        <w:rPr>
          <w:rFonts w:hint="eastAsia"/>
        </w:rPr>
        <w:t xml:space="preserve">出现偏差的方向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半导体与通信强于盘前谨慎预期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半导体净流入26.37亿元，通信设备净流入30.46亿元，科创50上涨0.5298%。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盘前将半导体、光模块高成交破位股列入回避清单，对个股右侧纪律仍有效，但对行业整体修复强度估计偏保守。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消费电子未成为最强主线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上午资金主线扩展到通信、PCB、数字芯片设计和数据要素。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消费电子没有进入本轮华泰行业流入TOP10，盘前第一优先级未得到资金榜强化。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指数强势路径未兑现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三大指数全部收绿，创业板指跌1.0677%，市场属于结构行情，而非指数与主线共振的全面进攻。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市场风格仪表盘"/>
    <w:p>
      <w:pPr>
        <w:pStyle w:val="Heading2"/>
      </w:pPr>
      <w:r>
        <w:t xml:space="preserve">🎛️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大盘/小盘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偏结构、非单一市值风格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沪深300跌0.6474%，涨跌比仍为1.155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成长/价值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科技成长局部占优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科创50涨0.5298%，电子净流入77.46亿元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高位/低位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4板3家，但炸板率27.9%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题材/机构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题材与成交额核心并存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数据要素涨停扩散，高成交科技股双向博弈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进攻/防守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震荡偏进攻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44只涨停、0只跌停，但指数多数下跌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行为金融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风险评分1，未触发FOMO、拥挤或亏损厌恶阈值</w:t>
            </w:r>
          </w:p>
        </w:tc>
      </w:tr>
    </w:tbl>
    <w:bookmarkStart w:id="27" w:name="行为金融观察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行为金融观察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当前没有达到全市场FOMO阈值，但4连板高标与通信设备局部快速拉升容易产生追涨锚定。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宁德时代的大幅下跌可能放大新能源持仓者的亏损厌恶，下午若板块继续流出，容易出现被动止损扩散。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高位股封板率72.1%尚可，但炸板率接近30%，不适合把上午涨停数量机械外推为下午继续加速。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盘前策略复盘评分"/>
    <w:p>
      <w:pPr>
        <w:pStyle w:val="Heading2"/>
      </w:pPr>
      <w:r>
        <w:t xml:space="preserve">📝 </w:t>
      </w:r>
      <w:r>
        <w:rPr>
          <w:rFonts w:hint="eastAsia"/>
        </w:rPr>
        <w:t xml:space="preserve">盘前策略复盘评分</w:t>
      </w:r>
    </w:p>
    <w:bookmarkStart w:id="29" w:name="综合评分6分-10分"/>
    <w:p>
      <w:pPr>
        <w:pStyle w:val="Heading3"/>
      </w:pPr>
      <w:r>
        <w:t xml:space="preserve">🎯 </w:t>
      </w:r>
      <w:r>
        <w:rPr>
          <w:rFonts w:hint="eastAsia"/>
        </w:rPr>
        <w:t xml:space="preserve">综合评分：6分</w:t>
      </w:r>
      <w:r>
        <w:t xml:space="preserve"> / </w:t>
      </w:r>
      <w:r>
        <w:rPr>
          <w:rFonts w:hint="eastAsia"/>
        </w:rPr>
        <w:t xml:space="preserve">10分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+2分</w:t>
      </w:r>
      <w:r>
        <w:rPr>
          <w:rFonts w:hint="eastAsia"/>
        </w:rPr>
        <w:t xml:space="preserve">：准确回避电力设备、电池等弱资金方向。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+2分</w:t>
      </w:r>
      <w:r>
        <w:rPr>
          <w:rFonts w:hint="eastAsia"/>
        </w:rPr>
        <w:t xml:space="preserve">：数据要素、机器人和通用设备观察方向得到实盘扩散验证。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+1分</w:t>
      </w:r>
      <w:r>
        <w:rPr>
          <w:rFonts w:hint="eastAsia"/>
        </w:rPr>
        <w:t xml:space="preserve">：坚持D级破位股不追反弹，宁德时代、新易盛等继续体现高波动风险。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+1分</w:t>
      </w:r>
      <w:r>
        <w:rPr>
          <w:rFonts w:hint="eastAsia"/>
        </w:rPr>
        <w:t xml:space="preserve">：盘前仓位上限控制在50%，符合上午指数弱、结构强的环境。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-2分</w:t>
      </w:r>
      <w:r>
        <w:rPr>
          <w:rFonts w:hint="eastAsia"/>
        </w:rPr>
        <w:t xml:space="preserve">：低估半导体、通信设备和PCB的行业资金修复力度。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-1分</w:t>
      </w:r>
      <w:r>
        <w:rPr>
          <w:rFonts w:hint="eastAsia"/>
        </w:rPr>
        <w:t xml:space="preserve">：消费电子未成为上午最强资金主线。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-1分</w:t>
      </w:r>
      <w:r>
        <w:rPr>
          <w:rFonts w:hint="eastAsia"/>
        </w:rPr>
        <w:t xml:space="preserve">：盘前强势路径要求指数和成交额共振，上午未兑现。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评分结论：风险控制有效，主线排序需要根据上午资金榜调整。下午应把通信设备、数据要素、PCB提升至观察优先级，但不能因此放松右侧技术门槛。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40" w:name="下午投资方向分层"/>
    <w:p>
      <w:pPr>
        <w:pStyle w:val="Heading2"/>
      </w:pPr>
      <w:r>
        <w:t xml:space="preserve">🧱 </w:t>
      </w:r>
      <w:r>
        <w:rPr>
          <w:rFonts w:hint="eastAsia"/>
        </w:rPr>
        <w:t xml:space="preserve">下午投资方向分层</w:t>
      </w:r>
    </w:p>
    <w:bookmarkStart w:id="33" w:name="第一层可跟踪不追高"/>
    <w:p>
      <w:pPr>
        <w:pStyle w:val="Heading3"/>
      </w:pPr>
      <w:r>
        <w:t xml:space="preserve">🅰️ </w:t>
      </w:r>
      <w:r>
        <w:rPr>
          <w:rFonts w:hint="eastAsia"/>
        </w:rPr>
        <w:t xml:space="preserve">第一层：可跟踪，不追高</w:t>
      </w:r>
    </w:p>
    <w:bookmarkStart w:id="31" w:name="数据要素与it服务"/>
    <w:p>
      <w:pPr>
        <w:pStyle w:val="Heading4"/>
      </w:pPr>
      <w:r>
        <w:t xml:space="preserve">🔴 </w:t>
      </w:r>
      <w:r>
        <w:rPr>
          <w:rFonts w:hint="eastAsia"/>
        </w:rPr>
        <w:t xml:space="preserve">数据要素与IT服务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证据：IT服务Ⅱ共6只涨停，板块处于启动/扩散阶段。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核心观察：南威软件、海量数据、太极股份、航天信息。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确认条件：午后涨停集群维持3家以上，龙头不开板或开板后快速回封，板块成交额继续扩张。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失效条件：南威软件高位炸板、后排批量回落、板块炸板率快速升高。</w:t>
      </w:r>
    </w:p>
    <w:bookmarkEnd w:id="31"/>
    <w:bookmarkStart w:id="32" w:name="通信设备与通信网络器件"/>
    <w:p>
      <w:pPr>
        <w:pStyle w:val="Heading4"/>
      </w:pPr>
      <w:r>
        <w:t xml:space="preserve">🔴 </w:t>
      </w:r>
      <w:r>
        <w:rPr>
          <w:rFonts w:hint="eastAsia"/>
        </w:rPr>
        <w:t xml:space="preserve">通信设备与通信网络器件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证据：通信净流入31.80亿元、通信设备净流入30.46亿元、通信网络设备及器件净流入23.08亿元。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核心观察：日海智能、润建股份、移远通信。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风险约束：日海智能日K评级为D；移远通信已经炸板且主力卖出金额17.44亿元。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行动：只看回踩承接和再次转强，不追午前高点。</w:t>
      </w:r>
    </w:p>
    <w:bookmarkEnd w:id="32"/>
    <w:bookmarkEnd w:id="33"/>
    <w:bookmarkStart w:id="35" w:name="第二层右侧确认后参与"/>
    <w:p>
      <w:pPr>
        <w:pStyle w:val="Heading3"/>
      </w:pPr>
      <w:r>
        <w:t xml:space="preserve">🅱️ </w:t>
      </w:r>
      <w:r>
        <w:rPr>
          <w:rFonts w:hint="eastAsia"/>
        </w:rPr>
        <w:t xml:space="preserve">第二层：右侧确认后参与</w:t>
      </w:r>
    </w:p>
    <w:bookmarkStart w:id="34" w:name="pcb元件与数字芯片设计"/>
    <w:p>
      <w:pPr>
        <w:pStyle w:val="Heading4"/>
      </w:pPr>
      <w:r>
        <w:t xml:space="preserve">🔴 </w:t>
      </w:r>
      <w:r>
        <w:rPr>
          <w:rFonts w:hint="eastAsia"/>
        </w:rPr>
        <w:t xml:space="preserve">PCB、元件与数字芯片设计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元件净流入28.93亿元、PCB净流入26.31亿元、数字芯片设计净流入23.29亿元。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沪电股份午盘涨3.64%、主力买入20.61亿元，但截至10月19日仍为D级。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长鑫科技涨1.64%，但TickFlow因历史不足无法形成完整评级。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只有在个股站稳关键均线、回踩缩量且再度放量时，才从观察转为参与；行业资金流入不能替代个股趋势确认。</w:t>
      </w:r>
    </w:p>
    <w:bookmarkEnd w:id="34"/>
    <w:bookmarkEnd w:id="35"/>
    <w:bookmarkStart w:id="38" w:name="第三层只观察"/>
    <w:p>
      <w:pPr>
        <w:pStyle w:val="Heading3"/>
      </w:pPr>
      <w:r>
        <w:t xml:space="preserve">🅲 </w:t>
      </w:r>
      <w:r>
        <w:rPr>
          <w:rFonts w:hint="eastAsia"/>
        </w:rPr>
        <w:t xml:space="preserve">第三层：只观察</w:t>
      </w:r>
    </w:p>
    <w:bookmarkStart w:id="36" w:name="东安动力"/>
    <w:p>
      <w:pPr>
        <w:pStyle w:val="Heading4"/>
      </w:pPr>
      <w:r>
        <w:t xml:space="preserve">🟡 </w:t>
      </w:r>
      <w:r>
        <w:rPr>
          <w:rFonts w:hint="eastAsia"/>
        </w:rPr>
        <w:t xml:space="preserve">东安动力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午盘4连板，现价13.65元，换手率8.85%。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TickFlow截至10月19日评级C，仅为反弹修复/趋势未确认。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公司已提示飞行汽车业务尚未形成收入，基本面与题材热度存在落差。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行动：只观察，不开新仓。</w:t>
      </w:r>
    </w:p>
    <w:bookmarkEnd w:id="36"/>
    <w:bookmarkStart w:id="37" w:name="妙想候选池"/>
    <w:p>
      <w:pPr>
        <w:pStyle w:val="Heading4"/>
      </w:pPr>
      <w:r>
        <w:t xml:space="preserve">🟡 </w:t>
      </w:r>
      <w:r>
        <w:rPr>
          <w:rFonts w:hint="eastAsia"/>
        </w:rPr>
        <w:t xml:space="preserve">妙想候选池</w:t>
      </w:r>
    </w:p>
    <w:p>
      <w:pPr>
        <w:pStyle w:val="FirstParagraph"/>
      </w:pPr>
      <w:r>
        <w:rPr>
          <w:rFonts w:hint="eastAsia"/>
        </w:rPr>
        <w:t xml:space="preserve">光智科技、乐鑫科技、思特威-W、晶晨股份等满足妙想筛选中的价格高于MA20/MA60、MA20向上等初筛条件，但该名单只是候选池，尚未完成奇迹早知道的情绪、主线、资金、量价和TickFlow评级联合确认，不直接形成买入结论。</w:t>
      </w:r>
    </w:p>
    <w:bookmarkEnd w:id="37"/>
    <w:bookmarkEnd w:id="38"/>
    <w:bookmarkStart w:id="39" w:name="第四层回避"/>
    <w:p>
      <w:pPr>
        <w:pStyle w:val="Heading3"/>
      </w:pPr>
      <w:r>
        <w:t xml:space="preserve">⛔ </w:t>
      </w:r>
      <w:r>
        <w:rPr>
          <w:rFonts w:hint="eastAsia"/>
        </w:rPr>
        <w:t xml:space="preserve">第四层：回避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电力设备、电池、锂电池、电池化学品、逆变器、光伏设备。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宁德时代、中际旭创、新易盛、生益科技、天孚通信、亨通光电、东山精密、沪电股份、兆易创新等日K</w:t>
      </w:r>
      <w:r>
        <w:t xml:space="preserve"> </w:t>
      </w:r>
      <w:r>
        <w:rPr>
          <w:rFonts w:hint="eastAsia"/>
        </w:rPr>
        <w:t xml:space="preserve">D级标的。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已炸板且放量回落的高位题材股。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仅靠概念催化、缺少订单和业绩兑现的飞行汽车后排股。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重点股右侧评级与行动"/>
    <w:p>
      <w:pPr>
        <w:pStyle w:val="Heading2"/>
      </w:pPr>
      <w:r>
        <w:t xml:space="preserve">🔬 </w:t>
      </w:r>
      <w:r>
        <w:rPr>
          <w:rFonts w:hint="eastAsia"/>
        </w:rPr>
        <w:t xml:space="preserve">重点股右侧评级与行动</w:t>
      </w:r>
    </w:p>
    <w:p>
      <w:pPr>
        <w:pStyle w:val="FirstParagraph"/>
      </w:pPr>
      <w:r>
        <w:rPr>
          <w:rFonts w:hint="eastAsia"/>
        </w:rPr>
        <w:t xml:space="preserve">TickFlow数据截至2026年10月19日，仅为重点股样本的已完成日K校验，不代表2026年10月21日午盘实时分时；样本宽度不能表述为全市场趋势宽度。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508"/>
        <w:gridCol w:w="1508"/>
        <w:gridCol w:w="1508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 / 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量比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下午行动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7.165 / 6.412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0.159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4连板不追；等站稳前高或回踩再放量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大业股份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9.641 / 9.282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2.400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4连板不追；等待分歧承接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东安动力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9.822 / 9.647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1.718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只观察，趋势未完全确认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日海智能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8.514 / 8.376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-14.07%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1.073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回避；重新站回双均线后复评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泰尔股份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6.040 / 5.932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-8.94%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0.776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回避；不因2连板追涨</w:t>
            </w:r>
          </w:p>
        </w:tc>
      </w:tr>
    </w:tbl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海洋王PE为163.15倍，2026年中报净利润同比下降71.23%，当前价格强度与基本面存在明显张力。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大业股份虽然为A级右侧样本，但午盘已4连板，右侧评级不等于允许追涨。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日海智能当前PE为负、PB为42.11倍；泰尔股份PE为负，2026年中报ROE为-1.79%，题材强度不能替代盈利质量。</w:t>
      </w:r>
    </w:p>
    <w:p>
      <w:r>
        <w:pict>
          <v:rect style="width:0;height:1.5pt" o:hralign="center" o:hrstd="t" o:hr="t"/>
        </w:pict>
      </w:r>
    </w:p>
    <w:bookmarkEnd w:id="41"/>
    <w:bookmarkStart w:id="45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bookmarkStart w:id="42" w:name="宽基etf盘中表现"/>
    <w:p>
      <w:pPr>
        <w:pStyle w:val="Heading3"/>
      </w:pPr>
      <w:r>
        <w:t xml:space="preserve">📊 </w:t>
      </w:r>
      <w:r>
        <w:rPr>
          <w:rFonts w:hint="eastAsia"/>
        </w:rPr>
        <w:t xml:space="preserve">宽基ETF盘中表现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-0.5450%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20.6481亿元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+0.7057%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43.8687亿元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-1.0160%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58.0593亿元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-0.6148%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2.3595亿元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-0.0985%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6.8039亿元</w:t>
            </w:r>
          </w:p>
        </w:tc>
      </w:tr>
    </w:tbl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科创50ETF、半导体ETF、芯片ETF上涨，科技配置方向相对占优。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创业板ETF跌1.0160%，与宁德时代大跌形成共振，说明成长内部高度分化。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宽基ETF份额连续变化主源请求超时，当前无法核验午盘是否存在持续净申购。</w:t>
      </w:r>
    </w:p>
    <w:bookmarkEnd w:id="42"/>
    <w:bookmarkStart w:id="43" w:name="恐慌代理与成交额"/>
    <w:p>
      <w:pPr>
        <w:pStyle w:val="Heading3"/>
      </w:pPr>
      <w:r>
        <w:t xml:space="preserve">📉 </w:t>
      </w:r>
      <w:r>
        <w:rPr>
          <w:rFonts w:hint="eastAsia"/>
        </w:rPr>
        <w:t xml:space="preserve">恐慌代理与成交额</w:t>
      </w:r>
    </w:p>
    <w:p>
      <w:pPr>
        <w:pStyle w:val="Compact"/>
        <w:numPr>
          <w:ilvl w:val="0"/>
          <w:numId w:val="1025"/>
        </w:numPr>
      </w:pPr>
      <w:r>
        <w:t xml:space="preserve">300ETF </w:t>
      </w:r>
      <w:r>
        <w:rPr>
          <w:rFonts w:hint="eastAsia"/>
        </w:rPr>
        <w:t xml:space="preserve">QVIX：</w:t>
      </w:r>
      <w:r>
        <w:rPr>
          <w:b/>
          <w:bCs/>
        </w:rPr>
        <w:t xml:space="preserve">18.29</w:t>
      </w:r>
      <w:r>
        <w:t xml:space="preserve">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前收盘：</w:t>
      </w:r>
      <w:r>
        <w:rPr>
          <w:b/>
          <w:bCs/>
        </w:rPr>
        <w:t xml:space="preserve">18.71</w:t>
      </w:r>
      <w:r>
        <w:t xml:space="preserve">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盘中变化：</w:t>
      </w:r>
      <w:r>
        <w:rPr>
          <w:b/>
          <w:bCs/>
        </w:rPr>
        <w:t xml:space="preserve">-2.2448%</w:t>
      </w:r>
      <w:r>
        <w:t xml:space="preserve">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较10月15日峰值22.10回落：</w:t>
      </w:r>
      <w:r>
        <w:rPr>
          <w:b/>
          <w:bCs/>
        </w:rPr>
        <w:t xml:space="preserve">17.2398%</w:t>
      </w:r>
      <w:r>
        <w:t xml:space="preserve">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QVIX满足高位降温条件，并连续两个区间下降。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半日成交额9485.91亿元，预测全天14775.58亿元；成交额质量模型仍标记为“明显缩量”。</w:t>
      </w:r>
    </w:p>
    <w:bookmarkEnd w:id="43"/>
    <w:bookmarkStart w:id="44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insufficient_data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联合信号不可判定。</w:t>
      </w:r>
      <w:r>
        <w:t xml:space="preserve"> </w:t>
      </w:r>
      <w:r>
        <w:rPr>
          <w:rFonts w:hint="eastAsia"/>
        </w:rPr>
        <w:t xml:space="preserve">恐慌代理已经降温，但宽基ETF份额连续流入数据因主源超时缺失，不能确认“恐慌降温与宽基ETF持续流入”同时成立。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下午操作建议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先看13:00—13:30承接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观察上证指数能否收复上午跌幅；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观察科创50能否保持红盘；</w:t>
      </w:r>
    </w:p>
    <w:p>
      <w:pPr>
        <w:pStyle w:val="Compact"/>
        <w:numPr>
          <w:ilvl w:val="1"/>
          <w:numId w:val="1027"/>
        </w:numPr>
      </w:pPr>
      <w:r>
        <w:rPr>
          <w:rFonts w:hint="eastAsia"/>
        </w:rPr>
        <w:t xml:space="preserve">观察涨跌比能否继续高于1。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只做主线中的右侧确认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数据要素、通信设备、PCB若回踩后再放量，可进入观察仓；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不追4连板，不追已经大幅拉升并出现炸板的标的；</w:t>
      </w:r>
    </w:p>
    <w:p>
      <w:pPr>
        <w:pStyle w:val="Compact"/>
        <w:numPr>
          <w:ilvl w:val="1"/>
          <w:numId w:val="1028"/>
        </w:numPr>
      </w:pPr>
      <w:r>
        <w:rPr>
          <w:rFonts w:hint="eastAsia"/>
        </w:rPr>
        <w:t xml:space="preserve">A级标的也必须遵守“不追高”。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控制高成交科技股反弹冲动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中际旭创、新易盛、天孚通信等虽然处于行业资金主线，但日K仍为D级；</w:t>
      </w:r>
    </w:p>
    <w:p>
      <w:pPr>
        <w:pStyle w:val="Compact"/>
        <w:numPr>
          <w:ilvl w:val="1"/>
          <w:numId w:val="1029"/>
        </w:numPr>
      </w:pPr>
      <w:r>
        <w:rPr>
          <w:rFonts w:hint="eastAsia"/>
        </w:rPr>
        <w:t xml:space="preserve">只有重新站回MA20、MA60并完成回踩确认，才允许复评。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新能源链不抢跌停式反弹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宁德时代未止跌前，电池、电力设备和锂电池保持回避；</w:t>
      </w:r>
    </w:p>
    <w:p>
      <w:pPr>
        <w:pStyle w:val="Compact"/>
        <w:numPr>
          <w:ilvl w:val="1"/>
          <w:numId w:val="1030"/>
        </w:numPr>
      </w:pPr>
      <w:r>
        <w:rPr>
          <w:rFonts w:hint="eastAsia"/>
        </w:rPr>
        <w:t xml:space="preserve">若午后板块净流出继续扩大，已有仓位应优先降低波动敞口。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情绪失效条件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炸板率升至30%以上；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涨跌比跌破1；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数据要素或通信设备核心股批量炸板；</w:t>
      </w:r>
    </w:p>
    <w:p>
      <w:pPr>
        <w:pStyle w:val="Compact"/>
        <w:numPr>
          <w:ilvl w:val="1"/>
          <w:numId w:val="1031"/>
        </w:numPr>
      </w:pPr>
      <w:r>
        <w:rPr>
          <w:rFonts w:hint="eastAsia"/>
        </w:rPr>
        <w:t xml:space="preserve">科创50由红转绿且成交额没有同步放大。</w:t>
      </w:r>
    </w:p>
    <w:p>
      <w:r>
        <w:pict>
          <v:rect style="width:0;height:1.5pt" o:hralign="center" o:hrstd="t" o:hr="t"/>
        </w:pict>
      </w:r>
    </w:p>
    <w:bookmarkEnd w:id="46"/>
    <w:bookmarkStart w:id="50" w:name="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下午仓位模型</w:t>
      </w:r>
    </w:p>
    <w:bookmarkStart w:id="47" w:name="模型输入"/>
    <w:p>
      <w:pPr>
        <w:pStyle w:val="Heading3"/>
      </w:pPr>
      <w:r>
        <w:t xml:space="preserve">📐 </w:t>
      </w:r>
      <w:r>
        <w:rPr>
          <w:rFonts w:hint="eastAsia"/>
        </w:rPr>
        <w:t xml:space="preserve">模型输入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涨跌比：1.155，仓位不加不减。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炸板率：27.9%，分歧可控但接近警戒区。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跌停数：0，极端亏钱效应暂未扩散。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半日成交额：9485.91亿元。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成交额模型变化率：-35.54%，扣减8个百分点。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行为金融风险评分：1，不额外扣减，但不构成追涨理由。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联合信号状态：不可判定，不支持扩大进攻仓位。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TickFlow重点股评级：A</w:t>
      </w:r>
      <w:r>
        <w:t xml:space="preserve"> </w:t>
      </w:r>
      <w:r>
        <w:rPr>
          <w:rFonts w:hint="eastAsia"/>
        </w:rPr>
        <w:t xml:space="preserve">2只、B</w:t>
      </w:r>
      <w:r>
        <w:t xml:space="preserve"> </w:t>
      </w:r>
      <w:r>
        <w:rPr>
          <w:rFonts w:hint="eastAsia"/>
        </w:rPr>
        <w:t xml:space="preserve">0只、C</w:t>
      </w:r>
      <w:r>
        <w:t xml:space="preserve"> </w:t>
      </w:r>
      <w:r>
        <w:rPr>
          <w:rFonts w:hint="eastAsia"/>
        </w:rPr>
        <w:t xml:space="preserve">1只、D</w:t>
      </w:r>
      <w:r>
        <w:t xml:space="preserve"> </w:t>
      </w:r>
      <w:r>
        <w:rPr>
          <w:rFonts w:hint="eastAsia"/>
        </w:rPr>
        <w:t xml:space="preserve">12只，右侧可参与标的稀缺。</w:t>
      </w:r>
    </w:p>
    <w:bookmarkEnd w:id="47"/>
    <w:bookmarkStart w:id="48" w:name="下午仓位结论"/>
    <w:p>
      <w:pPr>
        <w:pStyle w:val="Heading3"/>
      </w:pPr>
      <w:r>
        <w:t xml:space="preserve">🎯 </w:t>
      </w:r>
      <w:r>
        <w:rPr>
          <w:rFonts w:hint="eastAsia"/>
        </w:rPr>
        <w:t xml:space="preserve">下午仓位结论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保守仓位：17%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均衡仓位：32%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积极仓位：42%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总仓位上限：50%</w:t>
      </w:r>
    </w:p>
    <w:bookmarkEnd w:id="48"/>
    <w:bookmarkStart w:id="49" w:name="执行方案"/>
    <w:p>
      <w:pPr>
        <w:pStyle w:val="Heading3"/>
      </w:pPr>
      <w:r>
        <w:t xml:space="preserve">🪜 </w:t>
      </w:r>
      <w:r>
        <w:rPr>
          <w:rFonts w:hint="eastAsia"/>
        </w:rPr>
        <w:t xml:space="preserve">执行方案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现有底仓控制在20%—30%，只保留主线中趋势未破的品种。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数据要素或通信设备回踩确认后，可增加10%观察仓。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只有指数修复、成交额放大、涨跌比继续高于1且核心股完成分歧转强，才允许提升至42%。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50%仅为模型上限，当前没有条件直接打满。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若涨跌比跌破1或炸板率超过30%，仓位降至17%—25%。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1" w:name="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下午回避清单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新能源高抛压方向</w:t>
      </w:r>
      <w:r>
        <w:rPr>
          <w:rFonts w:hint="eastAsia"/>
        </w:rPr>
        <w:t xml:space="preserve">：电力设备、电池、锂电池、电池化学品、逆变器、光伏设备。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D级趋势破位股</w:t>
      </w:r>
      <w:r>
        <w:rPr>
          <w:rFonts w:hint="eastAsia"/>
        </w:rPr>
        <w:t xml:space="preserve">：宁德时代、中际旭创、新易盛、生益科技、天孚通信、亨通光电、东山精密、沪电股份、兆易创新、日海智能、泰尔股份、同为股份。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高位加速股</w:t>
      </w:r>
      <w:r>
        <w:rPr>
          <w:rFonts w:hint="eastAsia"/>
        </w:rPr>
        <w:t xml:space="preserve">：海洋王、大业股份即使为A级，也已4连板，禁止追高。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题材与业绩错配股</w:t>
      </w:r>
      <w:r>
        <w:rPr>
          <w:rFonts w:hint="eastAsia"/>
        </w:rPr>
        <w:t xml:space="preserve">：东安动力仅观察；飞行汽车业务尚未形成收入，且半年度归母净利润亏损。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炸板回落股</w:t>
      </w:r>
      <w:r>
        <w:rPr>
          <w:rFonts w:hint="eastAsia"/>
        </w:rPr>
        <w:t xml:space="preserve">：移远通信、兴民智通、盛洋科技等未重新回封或未形成稳定承接前不参与。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指标不完整标的</w:t>
      </w:r>
      <w:r>
        <w:rPr>
          <w:rFonts w:hint="eastAsia"/>
        </w:rPr>
        <w:t xml:space="preserve">：长鑫科技缺少完整MA60历史，暂不形成右侧评级。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妙想初筛候选</w:t>
      </w:r>
      <w:r>
        <w:rPr>
          <w:rFonts w:hint="eastAsia"/>
        </w:rPr>
        <w:t xml:space="preserve">：未经资金、情绪和TickFlow联合确认，不直接买入。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缩量冲高后排股</w:t>
      </w:r>
      <w:r>
        <w:rPr>
          <w:rFonts w:hint="eastAsia"/>
        </w:rPr>
        <w:t xml:space="preserve">：只有题材标签、没有板块扩散和成交额支撑的后排品种。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生成时间：2026-10-21</w:t>
      </w:r>
      <w:r>
        <w:t xml:space="preserve"> 11:45:39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2026-10-21T04:17:27Z</dcterms:created>
  <dcterms:modified xsi:type="dcterms:W3CDTF">2026-10-21T04:17:27Z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