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奇迹早知道2026年9月30日午盘总结"/>
    <w:p>
      <w:pPr>
        <w:pStyle w:val="Heading1"/>
      </w:pPr>
      <w:r>
        <w:t xml:space="preserve">🌞 </w:t>
      </w:r>
      <w:r>
        <w:rPr>
          <w:rFonts w:hint="eastAsia"/>
        </w:rPr>
        <w:t xml:space="preserve">奇迹早知道｜2026年9月30日午盘总结</w:t>
      </w:r>
    </w:p>
    <w:bookmarkStart w:id="13" w:name="一上午行情概览"/>
    <w:p>
      <w:pPr>
        <w:pStyle w:val="Heading2"/>
      </w:pPr>
      <w:r>
        <w:t xml:space="preserve">📈 </w:t>
      </w:r>
      <w:r>
        <w:rPr>
          <w:rFonts w:hint="eastAsia"/>
        </w:rPr>
        <w:t xml:space="preserve">一、上午行情概览</w:t>
      </w:r>
    </w:p>
    <w:p>
      <w:pPr>
        <w:pStyle w:val="FirstParagraph"/>
      </w:pPr>
      <w:r>
        <w:rPr>
          <w:rFonts w:hint="eastAsia"/>
        </w:rPr>
        <w:t xml:space="preserve">截至2026年9月30日11:45，A股呈现指数分化、个股涨跌接近均衡的结构性行情。</w:t>
      </w:r>
    </w:p>
    <w:bookmarkStart w:id="9" w:name="主要指数"/>
    <w:p>
      <w:pPr>
        <w:pStyle w:val="Heading3"/>
      </w:pPr>
      <w:r>
        <w:t xml:space="preserve">📊 </w:t>
      </w:r>
      <w:r>
        <w:rPr>
          <w:rFonts w:hint="eastAsia"/>
        </w:rPr>
        <w:t xml:space="preserve">主要指数</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最新点位</w:t>
            </w:r>
          </w:p>
        </w:tc>
        <w:tc>
          <w:tcPr/>
          <w:p>
            <w:pPr>
              <w:pStyle w:val="Compact"/>
              <w:jc w:val="right"/>
            </w:pPr>
            <w:r>
              <w:rPr>
                <w:rFonts w:hint="eastAsia"/>
              </w:rPr>
              <w:t xml:space="preserve">涨跌点</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3840.8279</w:t>
            </w:r>
          </w:p>
        </w:tc>
        <w:tc>
          <w:tcPr/>
          <w:p>
            <w:pPr>
              <w:pStyle w:val="Compact"/>
              <w:jc w:val="right"/>
            </w:pPr>
            <w:r>
              <w:t xml:space="preserve">+10.3766</w:t>
            </w:r>
          </w:p>
        </w:tc>
        <w:tc>
          <w:tcPr/>
          <w:p>
            <w:pPr>
              <w:pStyle w:val="Compact"/>
              <w:jc w:val="right"/>
            </w:pPr>
            <w:r>
              <w:t xml:space="preserve">📈 +0.2709%</w:t>
            </w:r>
          </w:p>
        </w:tc>
      </w:tr>
      <w:tr>
        <w:tc>
          <w:tcPr/>
          <w:p>
            <w:pPr>
              <w:pStyle w:val="Compact"/>
            </w:pPr>
            <w:r>
              <w:rPr>
                <w:rFonts w:hint="eastAsia"/>
              </w:rPr>
              <w:t xml:space="preserve">深证成指</w:t>
            </w:r>
          </w:p>
        </w:tc>
        <w:tc>
          <w:tcPr/>
          <w:p>
            <w:pPr>
              <w:pStyle w:val="Compact"/>
              <w:jc w:val="right"/>
            </w:pPr>
            <w:r>
              <w:t xml:space="preserve">12894.6060</w:t>
            </w:r>
          </w:p>
        </w:tc>
        <w:tc>
          <w:tcPr/>
          <w:p>
            <w:pPr>
              <w:pStyle w:val="Compact"/>
              <w:jc w:val="right"/>
            </w:pPr>
            <w:r>
              <w:t xml:space="preserve">-7.3410</w:t>
            </w:r>
          </w:p>
        </w:tc>
        <w:tc>
          <w:tcPr/>
          <w:p>
            <w:pPr>
              <w:pStyle w:val="Compact"/>
              <w:jc w:val="right"/>
            </w:pPr>
            <w:r>
              <w:t xml:space="preserve">🔴 -0.0569%</w:t>
            </w:r>
          </w:p>
        </w:tc>
      </w:tr>
      <w:tr>
        <w:tc>
          <w:tcPr/>
          <w:p>
            <w:pPr>
              <w:pStyle w:val="Compact"/>
            </w:pPr>
            <w:r>
              <w:rPr>
                <w:rFonts w:hint="eastAsia"/>
              </w:rPr>
              <w:t xml:space="preserve">创业板指</w:t>
            </w:r>
          </w:p>
        </w:tc>
        <w:tc>
          <w:tcPr/>
          <w:p>
            <w:pPr>
              <w:pStyle w:val="Compact"/>
              <w:jc w:val="right"/>
            </w:pPr>
            <w:r>
              <w:t xml:space="preserve">3137.1140</w:t>
            </w:r>
          </w:p>
        </w:tc>
        <w:tc>
          <w:tcPr/>
          <w:p>
            <w:pPr>
              <w:pStyle w:val="Compact"/>
              <w:jc w:val="right"/>
            </w:pPr>
            <w:r>
              <w:t xml:space="preserve">-5.4490</w:t>
            </w:r>
          </w:p>
        </w:tc>
        <w:tc>
          <w:tcPr/>
          <w:p>
            <w:pPr>
              <w:pStyle w:val="Compact"/>
              <w:jc w:val="right"/>
            </w:pPr>
            <w:r>
              <w:t xml:space="preserve">🔴 -0.1734%</w:t>
            </w:r>
          </w:p>
        </w:tc>
      </w:tr>
      <w:tr>
        <w:tc>
          <w:tcPr/>
          <w:p>
            <w:pPr>
              <w:pStyle w:val="Compact"/>
            </w:pPr>
            <w:r>
              <w:rPr>
                <w:rFonts w:hint="eastAsia"/>
              </w:rPr>
              <w:t xml:space="preserve">科创50</w:t>
            </w:r>
          </w:p>
        </w:tc>
        <w:tc>
          <w:tcPr/>
          <w:p>
            <w:pPr>
              <w:pStyle w:val="Compact"/>
              <w:jc w:val="right"/>
            </w:pPr>
            <w:r>
              <w:t xml:space="preserve">1536.6117</w:t>
            </w:r>
          </w:p>
        </w:tc>
        <w:tc>
          <w:tcPr/>
          <w:p>
            <w:pPr>
              <w:pStyle w:val="Compact"/>
              <w:jc w:val="right"/>
            </w:pPr>
            <w:r>
              <w:t xml:space="preserve">-32.7267</w:t>
            </w:r>
          </w:p>
        </w:tc>
        <w:tc>
          <w:tcPr/>
          <w:p>
            <w:pPr>
              <w:pStyle w:val="Compact"/>
              <w:jc w:val="right"/>
            </w:pPr>
            <w:r>
              <w:t xml:space="preserve">📉 -2.0854%</w:t>
            </w:r>
          </w:p>
        </w:tc>
      </w:tr>
      <w:tr>
        <w:tc>
          <w:tcPr/>
          <w:p>
            <w:pPr>
              <w:pStyle w:val="Compact"/>
            </w:pPr>
            <w:r>
              <w:rPr>
                <w:rFonts w:hint="eastAsia"/>
              </w:rPr>
              <w:t xml:space="preserve">沪深300</w:t>
            </w:r>
          </w:p>
        </w:tc>
        <w:tc>
          <w:tcPr/>
          <w:p>
            <w:pPr>
              <w:pStyle w:val="Compact"/>
              <w:jc w:val="right"/>
            </w:pPr>
            <w:r>
              <w:t xml:space="preserve">4351.8770</w:t>
            </w:r>
          </w:p>
        </w:tc>
        <w:tc>
          <w:tcPr/>
          <w:p>
            <w:pPr>
              <w:pStyle w:val="Compact"/>
              <w:jc w:val="right"/>
            </w:pPr>
            <w:r>
              <w:t xml:space="preserve">+6.6682</w:t>
            </w:r>
          </w:p>
        </w:tc>
        <w:tc>
          <w:tcPr/>
          <w:p>
            <w:pPr>
              <w:pStyle w:val="Compact"/>
              <w:jc w:val="right"/>
            </w:pPr>
            <w:r>
              <w:t xml:space="preserve">📈 +0.1535%</w:t>
            </w:r>
          </w:p>
        </w:tc>
      </w:tr>
    </w:tbl>
    <w:p>
      <w:pPr>
        <w:pStyle w:val="Compact"/>
        <w:numPr>
          <w:ilvl w:val="0"/>
          <w:numId w:val="1001"/>
        </w:numPr>
      </w:pPr>
      <w:r>
        <w:rPr>
          <w:rFonts w:hint="eastAsia"/>
        </w:rPr>
        <w:t xml:space="preserve">上证指数和沪深300保持红盘，深证成指、创业板指小幅回落。</w:t>
      </w:r>
    </w:p>
    <w:p>
      <w:pPr>
        <w:pStyle w:val="Compact"/>
        <w:numPr>
          <w:ilvl w:val="0"/>
          <w:numId w:val="1001"/>
        </w:numPr>
      </w:pPr>
      <w:r>
        <w:rPr>
          <w:rFonts w:hint="eastAsia"/>
        </w:rPr>
        <w:t xml:space="preserve">科创50下跌2.0854%，明显弱于上证指数和沪深300，科技成长方向内部出现较大分化。</w:t>
      </w:r>
    </w:p>
    <w:p>
      <w:pPr>
        <w:pStyle w:val="Compact"/>
        <w:numPr>
          <w:ilvl w:val="0"/>
          <w:numId w:val="1001"/>
        </w:numPr>
      </w:pPr>
      <w:r>
        <w:rPr>
          <w:rFonts w:hint="eastAsia"/>
        </w:rPr>
        <w:t xml:space="preserve">上证指数最高3847.6757，最低3833.0863，盘中振幅有限，指数层面没有出现单边突破。</w:t>
      </w:r>
    </w:p>
    <w:bookmarkEnd w:id="9"/>
    <w:bookmarkStart w:id="10" w:name="半日成交额"/>
    <w:p>
      <w:pPr>
        <w:pStyle w:val="Heading3"/>
      </w:pPr>
      <w:r>
        <w:t xml:space="preserve">💰 </w:t>
      </w:r>
      <w:r>
        <w:rPr>
          <w:rFonts w:hint="eastAsia"/>
        </w:rPr>
        <w:t xml:space="preserve">半日成交额</w:t>
      </w:r>
    </w:p>
    <w:p>
      <w:pPr>
        <w:pStyle w:val="Compact"/>
        <w:numPr>
          <w:ilvl w:val="0"/>
          <w:numId w:val="1002"/>
        </w:numPr>
      </w:pPr>
      <w:r>
        <w:rPr>
          <w:rFonts w:hint="eastAsia"/>
        </w:rPr>
        <w:t xml:space="preserve">截至午盘，全市场成交额：9172.22亿元。</w:t>
      </w:r>
    </w:p>
    <w:p>
      <w:pPr>
        <w:pStyle w:val="Compact"/>
        <w:numPr>
          <w:ilvl w:val="0"/>
          <w:numId w:val="1002"/>
        </w:numPr>
      </w:pPr>
      <w:r>
        <w:rPr>
          <w:rFonts w:hint="eastAsia"/>
        </w:rPr>
        <w:t xml:space="preserve">昨日全天成交额：14215.97亿元。</w:t>
      </w:r>
    </w:p>
    <w:p>
      <w:pPr>
        <w:pStyle w:val="Compact"/>
        <w:numPr>
          <w:ilvl w:val="0"/>
          <w:numId w:val="1002"/>
        </w:numPr>
      </w:pPr>
      <w:r>
        <w:rPr>
          <w:rFonts w:hint="eastAsia"/>
        </w:rPr>
        <w:t xml:space="preserve">当前较昨日全天成交额减少5043.75亿元，不能直接视为全天同比缩量，因为午盘数据与昨日全天数据不在同一时段。</w:t>
      </w:r>
    </w:p>
    <w:p>
      <w:pPr>
        <w:pStyle w:val="Compact"/>
        <w:numPr>
          <w:ilvl w:val="0"/>
          <w:numId w:val="1002"/>
        </w:numPr>
      </w:pPr>
      <w:r>
        <w:rPr>
          <w:rFonts w:hint="eastAsia"/>
        </w:rPr>
        <w:t xml:space="preserve">同花顺预测全天成交额：14744.58亿元。</w:t>
      </w:r>
    </w:p>
    <w:p>
      <w:pPr>
        <w:pStyle w:val="Compact"/>
        <w:numPr>
          <w:ilvl w:val="0"/>
          <w:numId w:val="1002"/>
        </w:numPr>
      </w:pPr>
      <w:r>
        <w:rPr>
          <w:rFonts w:hint="eastAsia"/>
        </w:rPr>
        <w:t xml:space="preserve">预测全天成交额较昨日全天增加528.61亿元，预测数据仍需下午实际成交确认。</w:t>
      </w:r>
    </w:p>
    <w:p>
      <w:pPr>
        <w:pStyle w:val="Compact"/>
        <w:numPr>
          <w:ilvl w:val="0"/>
          <w:numId w:val="1002"/>
        </w:numPr>
      </w:pPr>
      <w:r>
        <w:rPr>
          <w:rFonts w:hint="eastAsia"/>
        </w:rPr>
        <w:t xml:space="preserve">成交额较昨日全天变动：+328.84亿元；相对变动率：-35.48%，该指标为采集源按盘中口径计算的当日进度指标，不能等同于全天收盘成交额变化。</w:t>
      </w:r>
    </w:p>
    <w:bookmarkEnd w:id="10"/>
    <w:bookmarkStart w:id="11" w:name="涨跌与涨跌停"/>
    <w:p>
      <w:pPr>
        <w:pStyle w:val="Heading3"/>
      </w:pPr>
      <w:r>
        <w:t xml:space="preserve">📊 </w:t>
      </w:r>
      <w:r>
        <w:rPr>
          <w:rFonts w:hint="eastAsia"/>
        </w:rPr>
        <w:t xml:space="preserve">涨跌与涨跌停</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指标</w:t>
            </w:r>
          </w:p>
        </w:tc>
        <w:tc>
          <w:tcPr/>
          <w:p>
            <w:pPr>
              <w:pStyle w:val="Compact"/>
              <w:jc w:val="right"/>
            </w:pPr>
            <w:r>
              <w:rPr>
                <w:rFonts w:hint="eastAsia"/>
              </w:rPr>
              <w:t xml:space="preserve">数值</w:t>
            </w:r>
          </w:p>
        </w:tc>
      </w:tr>
      <w:tr>
        <w:tc>
          <w:tcPr/>
          <w:p>
            <w:pPr>
              <w:pStyle w:val="Compact"/>
            </w:pPr>
            <w:r>
              <w:rPr>
                <w:rFonts w:hint="eastAsia"/>
              </w:rPr>
              <w:t xml:space="preserve">上涨家数</w:t>
            </w:r>
          </w:p>
        </w:tc>
        <w:tc>
          <w:tcPr/>
          <w:p>
            <w:pPr>
              <w:pStyle w:val="Compact"/>
              <w:jc w:val="right"/>
            </w:pPr>
            <w:r>
              <w:rPr>
                <w:rFonts w:hint="eastAsia"/>
              </w:rPr>
              <w:t xml:space="preserve">2623家</w:t>
            </w:r>
          </w:p>
        </w:tc>
      </w:tr>
      <w:tr>
        <w:tc>
          <w:tcPr/>
          <w:p>
            <w:pPr>
              <w:pStyle w:val="Compact"/>
            </w:pPr>
            <w:r>
              <w:rPr>
                <w:rFonts w:hint="eastAsia"/>
              </w:rPr>
              <w:t xml:space="preserve">下跌家数</w:t>
            </w:r>
          </w:p>
        </w:tc>
        <w:tc>
          <w:tcPr/>
          <w:p>
            <w:pPr>
              <w:pStyle w:val="Compact"/>
              <w:jc w:val="right"/>
            </w:pPr>
            <w:r>
              <w:rPr>
                <w:rFonts w:hint="eastAsia"/>
              </w:rPr>
              <w:t xml:space="preserve">2743家</w:t>
            </w:r>
          </w:p>
        </w:tc>
      </w:tr>
      <w:tr>
        <w:tc>
          <w:tcPr/>
          <w:p>
            <w:pPr>
              <w:pStyle w:val="Compact"/>
            </w:pPr>
            <w:r>
              <w:rPr>
                <w:rFonts w:hint="eastAsia"/>
              </w:rPr>
              <w:t xml:space="preserve">平盘家数</w:t>
            </w:r>
          </w:p>
        </w:tc>
        <w:tc>
          <w:tcPr/>
          <w:p>
            <w:pPr>
              <w:pStyle w:val="Compact"/>
              <w:jc w:val="right"/>
            </w:pPr>
            <w:r>
              <w:rPr>
                <w:rFonts w:hint="eastAsia"/>
              </w:rPr>
              <w:t xml:space="preserve">195家</w:t>
            </w:r>
          </w:p>
        </w:tc>
      </w:tr>
      <w:tr>
        <w:tc>
          <w:tcPr/>
          <w:p>
            <w:pPr>
              <w:pStyle w:val="Compact"/>
            </w:pPr>
            <w:r>
              <w:rPr>
                <w:rFonts w:hint="eastAsia"/>
              </w:rPr>
              <w:t xml:space="preserve">停牌家数</w:t>
            </w:r>
          </w:p>
        </w:tc>
        <w:tc>
          <w:tcPr/>
          <w:p>
            <w:pPr>
              <w:pStyle w:val="Compact"/>
              <w:jc w:val="right"/>
            </w:pPr>
            <w:r>
              <w:rPr>
                <w:rFonts w:hint="eastAsia"/>
              </w:rPr>
              <w:t xml:space="preserve">11家</w:t>
            </w:r>
          </w:p>
        </w:tc>
      </w:tr>
      <w:tr>
        <w:tc>
          <w:tcPr/>
          <w:p>
            <w:pPr>
              <w:pStyle w:val="Compact"/>
            </w:pPr>
            <w:r>
              <w:rPr>
                <w:rFonts w:hint="eastAsia"/>
              </w:rPr>
              <w:t xml:space="preserve">涨停家数</w:t>
            </w:r>
          </w:p>
        </w:tc>
        <w:tc>
          <w:tcPr/>
          <w:p>
            <w:pPr>
              <w:pStyle w:val="Compact"/>
              <w:jc w:val="right"/>
            </w:pPr>
            <w:r>
              <w:rPr>
                <w:rFonts w:hint="eastAsia"/>
              </w:rPr>
              <w:t xml:space="preserve">45家</w:t>
            </w:r>
          </w:p>
        </w:tc>
      </w:tr>
      <w:tr>
        <w:tc>
          <w:tcPr/>
          <w:p>
            <w:pPr>
              <w:pStyle w:val="Compact"/>
            </w:pPr>
            <w:r>
              <w:rPr>
                <w:rFonts w:hint="eastAsia"/>
              </w:rPr>
              <w:t xml:space="preserve">跌停家数</w:t>
            </w:r>
          </w:p>
        </w:tc>
        <w:tc>
          <w:tcPr/>
          <w:p>
            <w:pPr>
              <w:pStyle w:val="Compact"/>
              <w:jc w:val="right"/>
            </w:pPr>
            <w:r>
              <w:rPr>
                <w:rFonts w:hint="eastAsia"/>
              </w:rPr>
              <w:t xml:space="preserve">8家</w:t>
            </w:r>
          </w:p>
        </w:tc>
      </w:tr>
      <w:tr>
        <w:tc>
          <w:tcPr/>
          <w:p>
            <w:pPr>
              <w:pStyle w:val="Compact"/>
            </w:pPr>
            <w:r>
              <w:rPr>
                <w:rFonts w:hint="eastAsia"/>
              </w:rPr>
              <w:t xml:space="preserve">涨跌比</w:t>
            </w:r>
          </w:p>
        </w:tc>
        <w:tc>
          <w:tcPr/>
          <w:p>
            <w:pPr>
              <w:pStyle w:val="Compact"/>
              <w:jc w:val="right"/>
            </w:pPr>
            <w:r>
              <w:t xml:space="preserve">0.9563</w:t>
            </w:r>
          </w:p>
        </w:tc>
      </w:tr>
      <w:tr>
        <w:tc>
          <w:tcPr/>
          <w:p>
            <w:pPr>
              <w:pStyle w:val="Compact"/>
            </w:pPr>
            <w:r>
              <w:rPr>
                <w:rFonts w:hint="eastAsia"/>
              </w:rPr>
              <w:t xml:space="preserve">涨停打开家数</w:t>
            </w:r>
          </w:p>
        </w:tc>
        <w:tc>
          <w:tcPr/>
          <w:p>
            <w:pPr>
              <w:pStyle w:val="Compact"/>
              <w:jc w:val="right"/>
            </w:pPr>
            <w:r>
              <w:rPr>
                <w:rFonts w:hint="eastAsia"/>
              </w:rPr>
              <w:t xml:space="preserve">10家</w:t>
            </w:r>
          </w:p>
        </w:tc>
      </w:tr>
      <w:tr>
        <w:tc>
          <w:tcPr/>
          <w:p>
            <w:pPr>
              <w:pStyle w:val="Compact"/>
            </w:pPr>
            <w:r>
              <w:rPr>
                <w:rFonts w:hint="eastAsia"/>
              </w:rPr>
              <w:t xml:space="preserve">炸板率</w:t>
            </w:r>
          </w:p>
        </w:tc>
        <w:tc>
          <w:tcPr/>
          <w:p>
            <w:pPr>
              <w:pStyle w:val="Compact"/>
              <w:jc w:val="right"/>
            </w:pPr>
            <w:r>
              <w:t xml:space="preserve">18.2%</w:t>
            </w:r>
          </w:p>
        </w:tc>
      </w:tr>
      <w:tr>
        <w:tc>
          <w:tcPr/>
          <w:p>
            <w:pPr>
              <w:pStyle w:val="Compact"/>
            </w:pPr>
            <w:r>
              <w:rPr>
                <w:rFonts w:hint="eastAsia"/>
              </w:rPr>
              <w:t xml:space="preserve">连板最高高度</w:t>
            </w:r>
          </w:p>
        </w:tc>
        <w:tc>
          <w:tcPr/>
          <w:p>
            <w:pPr>
              <w:pStyle w:val="Compact"/>
              <w:jc w:val="right"/>
            </w:pPr>
            <w:r>
              <w:rPr>
                <w:rFonts w:hint="eastAsia"/>
              </w:rPr>
              <w:t xml:space="preserve">7板</w:t>
            </w:r>
          </w:p>
        </w:tc>
      </w:tr>
    </w:tbl>
    <w:p>
      <w:pPr>
        <w:pStyle w:val="Compact"/>
        <w:numPr>
          <w:ilvl w:val="0"/>
          <w:numId w:val="1003"/>
        </w:numPr>
      </w:pPr>
      <w:r>
        <w:rPr>
          <w:rFonts w:hint="eastAsia"/>
        </w:rPr>
        <w:t xml:space="preserve">下跌家数较上涨家数多120家，市场广度略偏弱。</w:t>
      </w:r>
    </w:p>
    <w:p>
      <w:pPr>
        <w:pStyle w:val="Compact"/>
        <w:numPr>
          <w:ilvl w:val="0"/>
          <w:numId w:val="1003"/>
        </w:numPr>
      </w:pPr>
      <w:r>
        <w:rPr>
          <w:rFonts w:hint="eastAsia"/>
        </w:rPr>
        <w:t xml:space="preserve">涨停45家、跌停8家，局部题材仍有赚钱效应，但并非普涨环境。</w:t>
      </w:r>
    </w:p>
    <w:p>
      <w:pPr>
        <w:pStyle w:val="Compact"/>
        <w:numPr>
          <w:ilvl w:val="0"/>
          <w:numId w:val="1003"/>
        </w:numPr>
      </w:pPr>
      <w:r>
        <w:rPr>
          <w:rFonts w:hint="eastAsia"/>
        </w:rPr>
        <w:t xml:space="preserve">炸板率18.2%，短线接力并未进入极端失控状态，但资金对高位股的承接并不稳定。</w:t>
      </w:r>
    </w:p>
    <w:p>
      <w:pPr>
        <w:pStyle w:val="Compact"/>
        <w:numPr>
          <w:ilvl w:val="0"/>
          <w:numId w:val="1003"/>
        </w:numPr>
      </w:pPr>
      <w:r>
        <w:rPr>
          <w:rFonts w:hint="eastAsia"/>
        </w:rPr>
        <w:t xml:space="preserve">连板高度为7板，新华传媒为7天7板；市场仍存在高度标杆，但高度集中于少数个股。</w:t>
      </w:r>
    </w:p>
    <w:bookmarkEnd w:id="11"/>
    <w:bookmarkStart w:id="12" w:name="情绪周期判断正常偏弱处于分化阶段"/>
    <w:p>
      <w:pPr>
        <w:pStyle w:val="Heading3"/>
      </w:pPr>
      <w:r>
        <w:t xml:space="preserve">🧭 </w:t>
      </w:r>
      <w:r>
        <w:rPr>
          <w:rFonts w:hint="eastAsia"/>
        </w:rPr>
        <w:t xml:space="preserve">情绪周期判断：正常偏弱，处于分化阶段</w:t>
      </w:r>
    </w:p>
    <w:p>
      <w:pPr>
        <w:pStyle w:val="FirstParagraph"/>
      </w:pPr>
      <w:r>
        <w:rPr>
          <w:rFonts w:hint="eastAsia"/>
        </w:rPr>
        <w:t xml:space="preserve">按照涨跌比、涨跌停、炸板率和连板高度综合判断：</w:t>
      </w:r>
    </w:p>
    <w:p>
      <w:pPr>
        <w:pStyle w:val="Compact"/>
        <w:numPr>
          <w:ilvl w:val="0"/>
          <w:numId w:val="1004"/>
        </w:numPr>
      </w:pPr>
      <w:r>
        <w:rPr>
          <w:rFonts w:hint="eastAsia"/>
        </w:rPr>
        <w:t xml:space="preserve">不是冰点：涨停45家，跌停8家，连板高度达到7板。</w:t>
      </w:r>
    </w:p>
    <w:p>
      <w:pPr>
        <w:pStyle w:val="Compact"/>
        <w:numPr>
          <w:ilvl w:val="0"/>
          <w:numId w:val="1004"/>
        </w:numPr>
      </w:pPr>
      <w:r>
        <w:rPr>
          <w:rFonts w:hint="eastAsia"/>
        </w:rPr>
        <w:t xml:space="preserve">不是回暖确认：上涨家数2623家，低于下跌家数2743家，科创50下跌2.0854%。</w:t>
      </w:r>
    </w:p>
    <w:p>
      <w:pPr>
        <w:pStyle w:val="Compact"/>
        <w:numPr>
          <w:ilvl w:val="0"/>
          <w:numId w:val="1004"/>
        </w:numPr>
      </w:pPr>
      <w:r>
        <w:rPr>
          <w:rFonts w:hint="eastAsia"/>
        </w:rPr>
        <w:t xml:space="preserve">不是过热：涨停数量有限，炸板率18.2%，市场没有形成全面一致性上涨。</w:t>
      </w:r>
    </w:p>
    <w:p>
      <w:pPr>
        <w:pStyle w:val="Compact"/>
        <w:numPr>
          <w:ilvl w:val="0"/>
          <w:numId w:val="1004"/>
        </w:numPr>
      </w:pPr>
      <w:r>
        <w:rPr>
          <w:rFonts w:hint="eastAsia"/>
        </w:rPr>
        <w:t xml:space="preserve">暂不判定为退潮：跌停数量为8家，炸板率尚未达到极端水平，短线高度仍在。</w:t>
      </w:r>
    </w:p>
    <w:p>
      <w:pPr>
        <w:pStyle w:val="FirstParagraph"/>
      </w:pPr>
      <w:r>
        <w:rPr>
          <w:rFonts w:hint="eastAsia"/>
          <w:b/>
          <w:bCs/>
        </w:rPr>
        <w:t xml:space="preserve">当前情绪定性：正常偏弱、结构性分化。</w:t>
      </w:r>
    </w:p>
    <w:bookmarkEnd w:id="12"/>
    <w:bookmarkEnd w:id="13"/>
    <w:bookmarkStart w:id="15" w:name="二领涨板块top10与龙头"/>
    <w:p>
      <w:pPr>
        <w:pStyle w:val="Heading2"/>
      </w:pPr>
      <w:r>
        <w:t xml:space="preserve">🟢 </w:t>
      </w:r>
      <w:r>
        <w:rPr>
          <w:rFonts w:hint="eastAsia"/>
        </w:rPr>
        <w:t xml:space="preserve">二、领涨板块TOP10与龙头</w:t>
      </w:r>
    </w:p>
    <w:p>
      <w:pPr>
        <w:pStyle w:val="FirstParagraph"/>
      </w:pPr>
      <w:r>
        <w:rPr>
          <w:rFonts w:hint="eastAsia"/>
        </w:rPr>
        <w:t xml:space="preserve">采集结果显示，上午领涨方向主要集中在房地产、传媒、有色金属、CPO、非金属材料、通信设备、教育、电子化学品、固态电池和PCB/电路板等方向。</w:t>
      </w:r>
    </w:p>
    <w:tbl>
      <w:tblPr>
        <w:tblStyle w:val="Table"/>
        <w:tblW w:type="pct" w:w="5000"/>
        <w:tblLayout w:type="fixed"/>
        <w:tblLook w:firstRow="1" w:lastRow="0" w:firstColumn="0" w:lastColumn="0" w:noHBand="0" w:noVBand="0" w:val="0020"/>
      </w:tblPr>
      <w:tblGrid>
        <w:gridCol w:w="2436"/>
        <w:gridCol w:w="1827"/>
        <w:gridCol w:w="1827"/>
        <w:gridCol w:w="1827"/>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pPr>
            <w:r>
              <w:rPr>
                <w:rFonts w:hint="eastAsia"/>
              </w:rPr>
              <w:t xml:space="preserve">盘面表现</w:t>
            </w:r>
          </w:p>
        </w:tc>
        <w:tc>
          <w:tcPr/>
          <w:p>
            <w:pPr>
              <w:pStyle w:val="Compact"/>
            </w:pPr>
            <w:r>
              <w:rPr>
                <w:rFonts w:hint="eastAsia"/>
              </w:rPr>
              <w:t xml:space="preserve">代表性强势个股/龙头线索</w:t>
            </w:r>
          </w:p>
        </w:tc>
      </w:tr>
      <w:tr>
        <w:tc>
          <w:tcPr/>
          <w:p>
            <w:pPr>
              <w:pStyle w:val="Compact"/>
              <w:jc w:val="right"/>
            </w:pPr>
            <w:r>
              <w:t xml:space="preserve">1</w:t>
            </w:r>
          </w:p>
        </w:tc>
        <w:tc>
          <w:tcPr/>
          <w:p>
            <w:pPr>
              <w:pStyle w:val="Compact"/>
            </w:pPr>
            <w:r>
              <w:rPr>
                <w:rFonts w:hint="eastAsia"/>
              </w:rPr>
              <w:t xml:space="preserve">房地产</w:t>
            </w:r>
          </w:p>
        </w:tc>
        <w:tc>
          <w:tcPr/>
          <w:p>
            <w:pPr>
              <w:pStyle w:val="Compact"/>
            </w:pPr>
            <w:r>
              <w:t xml:space="preserve">📈 +3.90%</w:t>
            </w:r>
          </w:p>
        </w:tc>
        <w:tc>
          <w:tcPr/>
          <w:p>
            <w:pPr>
              <w:pStyle w:val="Compact"/>
            </w:pPr>
            <w:r>
              <w:rPr>
                <w:rFonts w:hint="eastAsia"/>
              </w:rPr>
              <w:t xml:space="preserve">深物业A，3天3板</w:t>
            </w:r>
          </w:p>
        </w:tc>
      </w:tr>
      <w:tr>
        <w:tc>
          <w:tcPr/>
          <w:p>
            <w:pPr>
              <w:pStyle w:val="Compact"/>
              <w:jc w:val="right"/>
            </w:pPr>
            <w:r>
              <w:t xml:space="preserve">2</w:t>
            </w:r>
          </w:p>
        </w:tc>
        <w:tc>
          <w:tcPr/>
          <w:p>
            <w:pPr>
              <w:pStyle w:val="Compact"/>
            </w:pPr>
            <w:r>
              <w:rPr>
                <w:rFonts w:hint="eastAsia"/>
              </w:rPr>
              <w:t xml:space="preserve">CPO概念</w:t>
            </w:r>
          </w:p>
        </w:tc>
        <w:tc>
          <w:tcPr/>
          <w:p>
            <w:pPr>
              <w:pStyle w:val="Compact"/>
            </w:pPr>
            <w:r>
              <w:t xml:space="preserve">📈 +3.72%</w:t>
            </w:r>
          </w:p>
        </w:tc>
        <w:tc>
          <w:tcPr/>
          <w:p>
            <w:pPr>
              <w:pStyle w:val="Compact"/>
            </w:pPr>
            <w:r>
              <w:rPr>
                <w:rFonts w:hint="eastAsia"/>
              </w:rPr>
              <w:t xml:space="preserve">中际旭创、新易盛、天孚通信进入资金榜</w:t>
            </w:r>
          </w:p>
        </w:tc>
      </w:tr>
      <w:tr>
        <w:tc>
          <w:tcPr/>
          <w:p>
            <w:pPr>
              <w:pStyle w:val="Compact"/>
              <w:jc w:val="right"/>
            </w:pPr>
            <w:r>
              <w:t xml:space="preserve">3</w:t>
            </w:r>
          </w:p>
        </w:tc>
        <w:tc>
          <w:tcPr/>
          <w:p>
            <w:pPr>
              <w:pStyle w:val="Compact"/>
            </w:pPr>
            <w:r>
              <w:rPr>
                <w:rFonts w:hint="eastAsia"/>
              </w:rPr>
              <w:t xml:space="preserve">传媒</w:t>
            </w:r>
          </w:p>
        </w:tc>
        <w:tc>
          <w:tcPr/>
          <w:p>
            <w:pPr>
              <w:pStyle w:val="Compact"/>
            </w:pPr>
            <w:r>
              <w:t xml:space="preserve">📈 +1.70%</w:t>
            </w:r>
          </w:p>
        </w:tc>
        <w:tc>
          <w:tcPr/>
          <w:p>
            <w:pPr>
              <w:pStyle w:val="Compact"/>
            </w:pPr>
            <w:r>
              <w:rPr>
                <w:rFonts w:hint="eastAsia"/>
              </w:rPr>
              <w:t xml:space="preserve">新华传媒，7天7板；龙版传媒涨停</w:t>
            </w:r>
          </w:p>
        </w:tc>
      </w:tr>
      <w:tr>
        <w:tc>
          <w:tcPr/>
          <w:p>
            <w:pPr>
              <w:pStyle w:val="Compact"/>
              <w:jc w:val="right"/>
            </w:pPr>
            <w:r>
              <w:t xml:space="preserve">4</w:t>
            </w:r>
          </w:p>
        </w:tc>
        <w:tc>
          <w:tcPr/>
          <w:p>
            <w:pPr>
              <w:pStyle w:val="Compact"/>
            </w:pPr>
            <w:r>
              <w:rPr>
                <w:rFonts w:hint="eastAsia"/>
              </w:rPr>
              <w:t xml:space="preserve">有色金属</w:t>
            </w:r>
          </w:p>
        </w:tc>
        <w:tc>
          <w:tcPr/>
          <w:p>
            <w:pPr>
              <w:pStyle w:val="Compact"/>
            </w:pPr>
            <w:r>
              <w:t xml:space="preserve">📈 +1.33%</w:t>
            </w:r>
          </w:p>
        </w:tc>
        <w:tc>
          <w:tcPr/>
          <w:p>
            <w:pPr>
              <w:pStyle w:val="Compact"/>
            </w:pPr>
            <w:r>
              <w:rPr>
                <w:rFonts w:hint="eastAsia"/>
              </w:rPr>
              <w:t xml:space="preserve">镍方向主力净流入10.34亿元</w:t>
            </w:r>
          </w:p>
        </w:tc>
      </w:tr>
      <w:tr>
        <w:tc>
          <w:tcPr/>
          <w:p>
            <w:pPr>
              <w:pStyle w:val="Compact"/>
              <w:jc w:val="right"/>
            </w:pPr>
            <w:r>
              <w:t xml:space="preserve">5</w:t>
            </w:r>
          </w:p>
        </w:tc>
        <w:tc>
          <w:tcPr/>
          <w:p>
            <w:pPr>
              <w:pStyle w:val="Compact"/>
            </w:pPr>
            <w:r>
              <w:rPr>
                <w:rFonts w:hint="eastAsia"/>
              </w:rPr>
              <w:t xml:space="preserve">非金属材料</w:t>
            </w:r>
          </w:p>
        </w:tc>
        <w:tc>
          <w:tcPr/>
          <w:p>
            <w:pPr>
              <w:pStyle w:val="Compact"/>
            </w:pPr>
            <w:r>
              <w:rPr>
                <w:rFonts w:hint="eastAsia"/>
              </w:rPr>
              <w:t xml:space="preserve">领涨</w:t>
            </w:r>
          </w:p>
        </w:tc>
        <w:tc>
          <w:tcPr/>
          <w:p>
            <w:pPr>
              <w:pStyle w:val="Compact"/>
            </w:pPr>
            <w:r>
              <w:rPr>
                <w:rFonts w:hint="eastAsia"/>
              </w:rPr>
              <w:t xml:space="preserve">采集JSON未提供单一龙头涨幅，暂缺确认</w:t>
            </w:r>
          </w:p>
        </w:tc>
      </w:tr>
      <w:tr>
        <w:tc>
          <w:tcPr/>
          <w:p>
            <w:pPr>
              <w:pStyle w:val="Compact"/>
              <w:jc w:val="right"/>
            </w:pPr>
            <w:r>
              <w:t xml:space="preserve">6</w:t>
            </w:r>
          </w:p>
        </w:tc>
        <w:tc>
          <w:tcPr/>
          <w:p>
            <w:pPr>
              <w:pStyle w:val="Compact"/>
            </w:pPr>
            <w:r>
              <w:rPr>
                <w:rFonts w:hint="eastAsia"/>
              </w:rPr>
              <w:t xml:space="preserve">通信设备</w:t>
            </w:r>
          </w:p>
        </w:tc>
        <w:tc>
          <w:tcPr/>
          <w:p>
            <w:pPr>
              <w:pStyle w:val="Compact"/>
            </w:pPr>
            <w:r>
              <w:rPr>
                <w:rFonts w:hint="eastAsia"/>
              </w:rPr>
              <w:t xml:space="preserve">领涨</w:t>
            </w:r>
          </w:p>
        </w:tc>
        <w:tc>
          <w:tcPr/>
          <w:p>
            <w:pPr>
              <w:pStyle w:val="Compact"/>
            </w:pPr>
            <w:r>
              <w:rPr>
                <w:rFonts w:hint="eastAsia"/>
              </w:rPr>
              <w:t xml:space="preserve">采集JSON未提供板块龙头实时涨幅，暂缺确认</w:t>
            </w:r>
          </w:p>
        </w:tc>
      </w:tr>
      <w:tr>
        <w:tc>
          <w:tcPr/>
          <w:p>
            <w:pPr>
              <w:pStyle w:val="Compact"/>
              <w:jc w:val="right"/>
            </w:pPr>
            <w:r>
              <w:t xml:space="preserve">7</w:t>
            </w:r>
          </w:p>
        </w:tc>
        <w:tc>
          <w:tcPr/>
          <w:p>
            <w:pPr>
              <w:pStyle w:val="Compact"/>
            </w:pPr>
            <w:r>
              <w:rPr>
                <w:rFonts w:hint="eastAsia"/>
              </w:rPr>
              <w:t xml:space="preserve">教育</w:t>
            </w:r>
          </w:p>
        </w:tc>
        <w:tc>
          <w:tcPr/>
          <w:p>
            <w:pPr>
              <w:pStyle w:val="Compact"/>
            </w:pPr>
            <w:r>
              <w:rPr>
                <w:rFonts w:hint="eastAsia"/>
              </w:rPr>
              <w:t xml:space="preserve">领涨</w:t>
            </w:r>
          </w:p>
        </w:tc>
        <w:tc>
          <w:tcPr/>
          <w:p>
            <w:pPr>
              <w:pStyle w:val="Compact"/>
            </w:pPr>
            <w:r>
              <w:rPr>
                <w:rFonts w:hint="eastAsia"/>
              </w:rPr>
              <w:t xml:space="preserve">采集JSON未提供板块龙头实时涨幅，暂缺确认</w:t>
            </w:r>
          </w:p>
        </w:tc>
      </w:tr>
      <w:tr>
        <w:tc>
          <w:tcPr/>
          <w:p>
            <w:pPr>
              <w:pStyle w:val="Compact"/>
              <w:jc w:val="right"/>
            </w:pPr>
            <w:r>
              <w:t xml:space="preserve">8</w:t>
            </w:r>
          </w:p>
        </w:tc>
        <w:tc>
          <w:tcPr/>
          <w:p>
            <w:pPr>
              <w:pStyle w:val="Compact"/>
            </w:pPr>
            <w:r>
              <w:rPr>
                <w:rFonts w:hint="eastAsia"/>
              </w:rPr>
              <w:t xml:space="preserve">电子化学品</w:t>
            </w:r>
          </w:p>
        </w:tc>
        <w:tc>
          <w:tcPr/>
          <w:p>
            <w:pPr>
              <w:pStyle w:val="Compact"/>
            </w:pPr>
            <w:r>
              <w:rPr>
                <w:rFonts w:hint="eastAsia"/>
              </w:rPr>
              <w:t xml:space="preserve">领涨</w:t>
            </w:r>
          </w:p>
        </w:tc>
        <w:tc>
          <w:tcPr/>
          <w:p>
            <w:pPr>
              <w:pStyle w:val="Compact"/>
            </w:pPr>
            <w:r>
              <w:rPr>
                <w:rFonts w:hint="eastAsia"/>
              </w:rPr>
              <w:t xml:space="preserve">板块资金榜同时出现净流出7.81亿元，强弱分化</w:t>
            </w:r>
          </w:p>
        </w:tc>
      </w:tr>
      <w:tr>
        <w:tc>
          <w:tcPr/>
          <w:p>
            <w:pPr>
              <w:pStyle w:val="Compact"/>
              <w:jc w:val="right"/>
            </w:pPr>
            <w:r>
              <w:t xml:space="preserve">9</w:t>
            </w:r>
          </w:p>
        </w:tc>
        <w:tc>
          <w:tcPr/>
          <w:p>
            <w:pPr>
              <w:pStyle w:val="Compact"/>
            </w:pPr>
            <w:r>
              <w:rPr>
                <w:rFonts w:hint="eastAsia"/>
              </w:rPr>
              <w:t xml:space="preserve">固态电池</w:t>
            </w:r>
          </w:p>
        </w:tc>
        <w:tc>
          <w:tcPr/>
          <w:p>
            <w:pPr>
              <w:pStyle w:val="Compact"/>
            </w:pPr>
            <w:r>
              <w:rPr>
                <w:rFonts w:hint="eastAsia"/>
              </w:rPr>
              <w:t xml:space="preserve">表现亮眼</w:t>
            </w:r>
          </w:p>
        </w:tc>
        <w:tc>
          <w:tcPr/>
          <w:p>
            <w:pPr>
              <w:pStyle w:val="Compact"/>
            </w:pPr>
            <w:r>
              <w:rPr>
                <w:rFonts w:hint="eastAsia"/>
              </w:rPr>
              <w:t xml:space="preserve">采集JSON未提供单一龙头实时涨幅，暂缺确认</w:t>
            </w:r>
          </w:p>
        </w:tc>
      </w:tr>
      <w:tr>
        <w:tc>
          <w:tcPr/>
          <w:p>
            <w:pPr>
              <w:pStyle w:val="Compact"/>
              <w:jc w:val="right"/>
            </w:pPr>
            <w:r>
              <w:t xml:space="preserve">10</w:t>
            </w:r>
          </w:p>
        </w:tc>
        <w:tc>
          <w:tcPr/>
          <w:p>
            <w:pPr>
              <w:pStyle w:val="Compact"/>
            </w:pPr>
            <w:r>
              <w:rPr>
                <w:rFonts w:hint="eastAsia"/>
              </w:rPr>
              <w:t xml:space="preserve">PCB/电路板</w:t>
            </w:r>
          </w:p>
        </w:tc>
        <w:tc>
          <w:tcPr/>
          <w:p>
            <w:pPr>
              <w:pStyle w:val="Compact"/>
            </w:pPr>
            <w:r>
              <w:rPr>
                <w:rFonts w:hint="eastAsia"/>
              </w:rPr>
              <w:t xml:space="preserve">涨幅居前</w:t>
            </w:r>
          </w:p>
        </w:tc>
        <w:tc>
          <w:tcPr/>
          <w:p>
            <w:pPr>
              <w:pStyle w:val="Compact"/>
            </w:pPr>
            <w:r>
              <w:rPr>
                <w:rFonts w:hint="eastAsia"/>
              </w:rPr>
              <w:t xml:space="preserve">板块资金榜净流出28.76亿元，量价与资金存在背离</w:t>
            </w:r>
          </w:p>
        </w:tc>
      </w:tr>
    </w:tbl>
    <w:bookmarkStart w:id="14" w:name="领涨板块解读"/>
    <w:p>
      <w:pPr>
        <w:pStyle w:val="Heading3"/>
      </w:pPr>
      <w:r>
        <w:t xml:space="preserve">🔎 </w:t>
      </w:r>
      <w:r>
        <w:rPr>
          <w:rFonts w:hint="eastAsia"/>
        </w:rPr>
        <w:t xml:space="preserve">领涨板块解读</w:t>
      </w:r>
    </w:p>
    <w:p>
      <w:pPr>
        <w:pStyle w:val="Compact"/>
        <w:numPr>
          <w:ilvl w:val="0"/>
          <w:numId w:val="1005"/>
        </w:numPr>
      </w:pPr>
      <w:r>
        <w:rPr>
          <w:rFonts w:hint="eastAsia"/>
        </w:rPr>
        <w:t xml:space="preserve">房地产涨幅排名靠前，深物业A为3天3板，但住宅开发板块主力净流出6.73亿元，说明板块内部存在明显的个股集中和资金分化。</w:t>
      </w:r>
    </w:p>
    <w:p>
      <w:pPr>
        <w:pStyle w:val="Compact"/>
        <w:numPr>
          <w:ilvl w:val="0"/>
          <w:numId w:val="1005"/>
        </w:numPr>
      </w:pPr>
      <w:r>
        <w:rPr>
          <w:rFonts w:hint="eastAsia"/>
        </w:rPr>
        <w:t xml:space="preserve">CPO及光通信相关个股进入资金流入榜，但光纤光缆板块主力净流出11.40亿元，不能仅凭个股上涨判断板块资金全面回流。</w:t>
      </w:r>
    </w:p>
    <w:p>
      <w:pPr>
        <w:pStyle w:val="Compact"/>
        <w:numPr>
          <w:ilvl w:val="0"/>
          <w:numId w:val="1005"/>
        </w:numPr>
      </w:pPr>
      <w:r>
        <w:rPr>
          <w:rFonts w:hint="eastAsia"/>
        </w:rPr>
        <w:t xml:space="preserve">传媒方向由新华传媒7天7板形成高度标杆，但高位股接力的持续性仍需要下午封单和炸板情况验证。</w:t>
      </w:r>
    </w:p>
    <w:p>
      <w:pPr>
        <w:pStyle w:val="Compact"/>
        <w:numPr>
          <w:ilvl w:val="0"/>
          <w:numId w:val="1005"/>
        </w:numPr>
      </w:pPr>
      <w:r>
        <w:rPr>
          <w:rFonts w:hint="eastAsia"/>
        </w:rPr>
        <w:t xml:space="preserve">PCB、电子化学品虽然盘面表现靠前，但资金榜分别净流出28.76亿元和7.81亿元，暂不适合追涨。</w:t>
      </w:r>
    </w:p>
    <w:p>
      <w:pPr>
        <w:pStyle w:val="Compact"/>
        <w:numPr>
          <w:ilvl w:val="0"/>
          <w:numId w:val="1005"/>
        </w:numPr>
      </w:pPr>
      <w:r>
        <w:rPr>
          <w:rFonts w:hint="eastAsia"/>
        </w:rPr>
        <w:t xml:space="preserve">领涨榜与资金榜存在差异，当前更适合采用“板块表现、个股强度、资金方向”三项交叉确认，而不是单看涨幅排名。</w:t>
      </w:r>
    </w:p>
    <w:bookmarkEnd w:id="14"/>
    <w:bookmarkEnd w:id="15"/>
    <w:bookmarkStart w:id="21" w:name="三资金流向四张榜"/>
    <w:p>
      <w:pPr>
        <w:pStyle w:val="Heading2"/>
      </w:pPr>
      <w:r>
        <w:t xml:space="preserve">💰 </w:t>
      </w:r>
      <w:r>
        <w:rPr>
          <w:rFonts w:hint="eastAsia"/>
        </w:rPr>
        <w:t xml:space="preserve">三、资金流向四张榜</w:t>
      </w:r>
    </w:p>
    <w:p>
      <w:pPr>
        <w:pStyle w:val="FirstParagraph"/>
      </w:pPr>
      <w:r>
        <w:rPr>
          <w:rFonts w:hint="eastAsia"/>
          <w:b/>
          <w:bCs/>
        </w:rPr>
        <w:t xml:space="preserve">统计时点：2026年9月30日11:45。</w:t>
      </w:r>
    </w:p>
    <w:p>
      <w:pPr>
        <w:pStyle w:val="BodyText"/>
      </w:pPr>
      <w:r>
        <w:rPr>
          <w:rFonts w:hint="eastAsia"/>
          <w:b/>
          <w:bCs/>
        </w:rPr>
        <w:t xml:space="preserve">行业口径：申万二级行业。</w:t>
      </w:r>
    </w:p>
    <w:p>
      <w:pPr>
        <w:pStyle w:val="BodyText"/>
      </w:pPr>
      <w:r>
        <w:rPr>
          <w:rFonts w:hint="eastAsia"/>
          <w:b/>
          <w:bCs/>
        </w:rPr>
        <w:t xml:space="preserve">来源：eltdx_derived_sw2，由资金流日频数据和行业映射聚合；不是华泰原生行业榜，也不是东财f62口径。个股和板块榜按采集JSON原始方向分别展示，不互相抵扣。</w:t>
      </w:r>
    </w:p>
    <w:bookmarkStart w:id="16" w:name="流出top10板块"/>
    <w:p>
      <w:pPr>
        <w:pStyle w:val="Heading3"/>
      </w:pPr>
      <w:r>
        <w:t xml:space="preserve">💰 1. </w:t>
      </w:r>
      <w:r>
        <w:rPr>
          <w:rFonts w:hint="eastAsia"/>
        </w:rPr>
        <w:t xml:space="preserve">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集成电路设计</w:t>
            </w:r>
          </w:p>
        </w:tc>
        <w:tc>
          <w:tcPr/>
          <w:p>
            <w:pPr>
              <w:pStyle w:val="Compact"/>
              <w:jc w:val="right"/>
            </w:pPr>
            <w:r>
              <w:rPr>
                <w:rFonts w:hint="eastAsia"/>
              </w:rPr>
              <w:t xml:space="preserve">-60.49亿元</w:t>
            </w:r>
          </w:p>
        </w:tc>
      </w:tr>
      <w:tr>
        <w:tc>
          <w:tcPr/>
          <w:p>
            <w:pPr>
              <w:pStyle w:val="Compact"/>
              <w:jc w:val="right"/>
            </w:pPr>
            <w:r>
              <w:t xml:space="preserve">2</w:t>
            </w:r>
          </w:p>
        </w:tc>
        <w:tc>
          <w:tcPr/>
          <w:p>
            <w:pPr>
              <w:pStyle w:val="Compact"/>
            </w:pPr>
            <w:r>
              <w:t xml:space="preserve">PCB</w:t>
            </w:r>
          </w:p>
        </w:tc>
        <w:tc>
          <w:tcPr/>
          <w:p>
            <w:pPr>
              <w:pStyle w:val="Compact"/>
              <w:jc w:val="right"/>
            </w:pPr>
            <w:r>
              <w:rPr>
                <w:rFonts w:hint="eastAsia"/>
              </w:rPr>
              <w:t xml:space="preserve">-28.76亿元</w:t>
            </w:r>
          </w:p>
        </w:tc>
      </w:tr>
      <w:tr>
        <w:tc>
          <w:tcPr/>
          <w:p>
            <w:pPr>
              <w:pStyle w:val="Compact"/>
              <w:jc w:val="right"/>
            </w:pPr>
            <w:r>
              <w:t xml:space="preserve">3</w:t>
            </w:r>
          </w:p>
        </w:tc>
        <w:tc>
          <w:tcPr/>
          <w:p>
            <w:pPr>
              <w:pStyle w:val="Compact"/>
            </w:pPr>
            <w:r>
              <w:rPr>
                <w:rFonts w:hint="eastAsia"/>
              </w:rPr>
              <w:t xml:space="preserve">半导体封测</w:t>
            </w:r>
          </w:p>
        </w:tc>
        <w:tc>
          <w:tcPr/>
          <w:p>
            <w:pPr>
              <w:pStyle w:val="Compact"/>
              <w:jc w:val="right"/>
            </w:pPr>
            <w:r>
              <w:rPr>
                <w:rFonts w:hint="eastAsia"/>
              </w:rPr>
              <w:t xml:space="preserve">-19.05亿元</w:t>
            </w:r>
          </w:p>
        </w:tc>
      </w:tr>
      <w:tr>
        <w:tc>
          <w:tcPr/>
          <w:p>
            <w:pPr>
              <w:pStyle w:val="Compact"/>
              <w:jc w:val="right"/>
            </w:pPr>
            <w:r>
              <w:t xml:space="preserve">4</w:t>
            </w:r>
          </w:p>
        </w:tc>
        <w:tc>
          <w:tcPr/>
          <w:p>
            <w:pPr>
              <w:pStyle w:val="Compact"/>
            </w:pPr>
            <w:r>
              <w:rPr>
                <w:rFonts w:hint="eastAsia"/>
              </w:rPr>
              <w:t xml:space="preserve">行业应用软件</w:t>
            </w:r>
          </w:p>
        </w:tc>
        <w:tc>
          <w:tcPr/>
          <w:p>
            <w:pPr>
              <w:pStyle w:val="Compact"/>
              <w:jc w:val="right"/>
            </w:pPr>
            <w:r>
              <w:rPr>
                <w:rFonts w:hint="eastAsia"/>
              </w:rPr>
              <w:t xml:space="preserve">-11.48亿元</w:t>
            </w:r>
          </w:p>
        </w:tc>
      </w:tr>
      <w:tr>
        <w:tc>
          <w:tcPr/>
          <w:p>
            <w:pPr>
              <w:pStyle w:val="Compact"/>
              <w:jc w:val="right"/>
            </w:pPr>
            <w:r>
              <w:t xml:space="preserve">5</w:t>
            </w:r>
          </w:p>
        </w:tc>
        <w:tc>
          <w:tcPr/>
          <w:p>
            <w:pPr>
              <w:pStyle w:val="Compact"/>
            </w:pPr>
            <w:r>
              <w:rPr>
                <w:rFonts w:hint="eastAsia"/>
              </w:rPr>
              <w:t xml:space="preserve">光纤光缆</w:t>
            </w:r>
          </w:p>
        </w:tc>
        <w:tc>
          <w:tcPr/>
          <w:p>
            <w:pPr>
              <w:pStyle w:val="Compact"/>
              <w:jc w:val="right"/>
            </w:pPr>
            <w:r>
              <w:rPr>
                <w:rFonts w:hint="eastAsia"/>
              </w:rPr>
              <w:t xml:space="preserve">-11.40亿元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其他IT设备</w:t>
            </w:r>
          </w:p>
        </w:tc>
        <w:tc>
          <w:tcPr/>
          <w:p>
            <w:pPr>
              <w:pStyle w:val="Compact"/>
              <w:jc w:val="right"/>
            </w:pPr>
            <w:r>
              <w:rPr>
                <w:rFonts w:hint="eastAsia"/>
              </w:rPr>
              <w:t xml:space="preserve">-9.72亿元</w:t>
            </w:r>
          </w:p>
        </w:tc>
      </w:tr>
      <w:tr>
        <w:tc>
          <w:tcPr/>
          <w:p>
            <w:pPr>
              <w:pStyle w:val="Compact"/>
              <w:jc w:val="right"/>
            </w:pPr>
            <w:r>
              <w:t xml:space="preserve">7</w:t>
            </w:r>
          </w:p>
        </w:tc>
        <w:tc>
          <w:tcPr/>
          <w:p>
            <w:pPr>
              <w:pStyle w:val="Compact"/>
            </w:pPr>
            <w:r>
              <w:rPr>
                <w:rFonts w:hint="eastAsia"/>
              </w:rPr>
              <w:t xml:space="preserve">互联网广告</w:t>
            </w:r>
          </w:p>
        </w:tc>
        <w:tc>
          <w:tcPr/>
          <w:p>
            <w:pPr>
              <w:pStyle w:val="Compact"/>
              <w:jc w:val="right"/>
            </w:pPr>
            <w:r>
              <w:rPr>
                <w:rFonts w:hint="eastAsia"/>
              </w:rPr>
              <w:t xml:space="preserve">-9.09亿元</w:t>
            </w:r>
          </w:p>
        </w:tc>
      </w:tr>
      <w:tr>
        <w:tc>
          <w:tcPr/>
          <w:p>
            <w:pPr>
              <w:pStyle w:val="Compact"/>
              <w:jc w:val="right"/>
            </w:pPr>
            <w:r>
              <w:t xml:space="preserve">8</w:t>
            </w:r>
          </w:p>
        </w:tc>
        <w:tc>
          <w:tcPr/>
          <w:p>
            <w:pPr>
              <w:pStyle w:val="Compact"/>
            </w:pPr>
            <w:r>
              <w:rPr>
                <w:rFonts w:hint="eastAsia"/>
              </w:rPr>
              <w:t xml:space="preserve">电子化学品</w:t>
            </w:r>
          </w:p>
        </w:tc>
        <w:tc>
          <w:tcPr/>
          <w:p>
            <w:pPr>
              <w:pStyle w:val="Compact"/>
              <w:jc w:val="right"/>
            </w:pPr>
            <w:r>
              <w:rPr>
                <w:rFonts w:hint="eastAsia"/>
              </w:rPr>
              <w:t xml:space="preserve">-7.81亿元</w:t>
            </w:r>
          </w:p>
        </w:tc>
      </w:tr>
      <w:tr>
        <w:tc>
          <w:tcPr/>
          <w:p>
            <w:pPr>
              <w:pStyle w:val="Compact"/>
              <w:jc w:val="right"/>
            </w:pPr>
            <w:r>
              <w:t xml:space="preserve">9</w:t>
            </w:r>
          </w:p>
        </w:tc>
        <w:tc>
          <w:tcPr/>
          <w:p>
            <w:pPr>
              <w:pStyle w:val="Compact"/>
            </w:pPr>
            <w:r>
              <w:rPr>
                <w:rFonts w:hint="eastAsia"/>
              </w:rPr>
              <w:t xml:space="preserve">消费电子组件</w:t>
            </w:r>
          </w:p>
        </w:tc>
        <w:tc>
          <w:tcPr/>
          <w:p>
            <w:pPr>
              <w:pStyle w:val="Compact"/>
              <w:jc w:val="right"/>
            </w:pPr>
            <w:r>
              <w:rPr>
                <w:rFonts w:hint="eastAsia"/>
              </w:rPr>
              <w:t xml:space="preserve">-7.27亿元</w:t>
            </w:r>
          </w:p>
        </w:tc>
      </w:tr>
      <w:tr>
        <w:tc>
          <w:tcPr/>
          <w:p>
            <w:pPr>
              <w:pStyle w:val="Compact"/>
              <w:jc w:val="right"/>
            </w:pPr>
            <w:r>
              <w:t xml:space="preserve">10</w:t>
            </w:r>
          </w:p>
        </w:tc>
        <w:tc>
          <w:tcPr/>
          <w:p>
            <w:pPr>
              <w:pStyle w:val="Compact"/>
            </w:pPr>
            <w:r>
              <w:rPr>
                <w:rFonts w:hint="eastAsia"/>
              </w:rPr>
              <w:t xml:space="preserve">住宅开发</w:t>
            </w:r>
          </w:p>
        </w:tc>
        <w:tc>
          <w:tcPr/>
          <w:p>
            <w:pPr>
              <w:pStyle w:val="Compact"/>
              <w:jc w:val="right"/>
            </w:pPr>
            <w:r>
              <w:rPr>
                <w:rFonts w:hint="eastAsia"/>
              </w:rPr>
              <w:t xml:space="preserve">-6.73亿元</w:t>
            </w:r>
          </w:p>
        </w:tc>
      </w:tr>
    </w:tbl>
    <w:bookmarkEnd w:id="16"/>
    <w:bookmarkStart w:id="17" w:name="流出top10个股"/>
    <w:p>
      <w:pPr>
        <w:pStyle w:val="Heading3"/>
      </w:pPr>
      <w:r>
        <w:t xml:space="preserve">💰 2. </w:t>
      </w:r>
      <w:r>
        <w:rPr>
          <w:rFonts w:hint="eastAsia"/>
        </w:rPr>
        <w:t xml:space="preserve">流出TOP10个股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寒武纪（688256）</w:t>
            </w:r>
          </w:p>
        </w:tc>
        <w:tc>
          <w:tcPr/>
          <w:p>
            <w:pPr>
              <w:pStyle w:val="Compact"/>
              <w:jc w:val="right"/>
            </w:pPr>
            <w:r>
              <w:rPr>
                <w:rFonts w:hint="eastAsia"/>
              </w:rPr>
              <w:t xml:space="preserve">-47.37亿元</w:t>
            </w:r>
          </w:p>
        </w:tc>
      </w:tr>
      <w:tr>
        <w:tc>
          <w:tcPr/>
          <w:p>
            <w:pPr>
              <w:pStyle w:val="Compact"/>
              <w:jc w:val="right"/>
            </w:pPr>
            <w:r>
              <w:t xml:space="preserve">2</w:t>
            </w:r>
          </w:p>
        </w:tc>
        <w:tc>
          <w:tcPr/>
          <w:p>
            <w:pPr>
              <w:pStyle w:val="Compact"/>
            </w:pPr>
            <w:r>
              <w:rPr>
                <w:rFonts w:hint="eastAsia"/>
              </w:rPr>
              <w:t xml:space="preserve">中际旭创（300308）</w:t>
            </w:r>
          </w:p>
        </w:tc>
        <w:tc>
          <w:tcPr/>
          <w:p>
            <w:pPr>
              <w:pStyle w:val="Compact"/>
              <w:jc w:val="right"/>
            </w:pPr>
            <w:r>
              <w:rPr>
                <w:rFonts w:hint="eastAsia"/>
              </w:rPr>
              <w:t xml:space="preserve">-44.21亿元</w:t>
            </w:r>
          </w:p>
        </w:tc>
      </w:tr>
      <w:tr>
        <w:tc>
          <w:tcPr/>
          <w:p>
            <w:pPr>
              <w:pStyle w:val="Compact"/>
              <w:jc w:val="right"/>
            </w:pPr>
            <w:r>
              <w:t xml:space="preserve">3</w:t>
            </w:r>
          </w:p>
        </w:tc>
        <w:tc>
          <w:tcPr/>
          <w:p>
            <w:pPr>
              <w:pStyle w:val="Compact"/>
            </w:pPr>
            <w:r>
              <w:rPr>
                <w:rFonts w:hint="eastAsia"/>
              </w:rPr>
              <w:t xml:space="preserve">新易盛（300502）</w:t>
            </w:r>
          </w:p>
        </w:tc>
        <w:tc>
          <w:tcPr/>
          <w:p>
            <w:pPr>
              <w:pStyle w:val="Compact"/>
              <w:jc w:val="right"/>
            </w:pPr>
            <w:r>
              <w:rPr>
                <w:rFonts w:hint="eastAsia"/>
              </w:rPr>
              <w:t xml:space="preserve">-33.35亿元</w:t>
            </w:r>
          </w:p>
        </w:tc>
      </w:tr>
      <w:tr>
        <w:tc>
          <w:tcPr/>
          <w:p>
            <w:pPr>
              <w:pStyle w:val="Compact"/>
              <w:jc w:val="right"/>
            </w:pPr>
            <w:r>
              <w:t xml:space="preserve">4</w:t>
            </w:r>
          </w:p>
        </w:tc>
        <w:tc>
          <w:tcPr/>
          <w:p>
            <w:pPr>
              <w:pStyle w:val="Compact"/>
            </w:pPr>
            <w:r>
              <w:rPr>
                <w:rFonts w:hint="eastAsia"/>
              </w:rPr>
              <w:t xml:space="preserve">亨通光电（600487）</w:t>
            </w:r>
          </w:p>
        </w:tc>
        <w:tc>
          <w:tcPr/>
          <w:p>
            <w:pPr>
              <w:pStyle w:val="Compact"/>
              <w:jc w:val="right"/>
            </w:pPr>
            <w:r>
              <w:rPr>
                <w:rFonts w:hint="eastAsia"/>
              </w:rPr>
              <w:t xml:space="preserve">-28.24亿元</w:t>
            </w:r>
          </w:p>
        </w:tc>
      </w:tr>
      <w:tr>
        <w:tc>
          <w:tcPr/>
          <w:p>
            <w:pPr>
              <w:pStyle w:val="Compact"/>
              <w:jc w:val="right"/>
            </w:pPr>
            <w:r>
              <w:t xml:space="preserve">5</w:t>
            </w:r>
          </w:p>
        </w:tc>
        <w:tc>
          <w:tcPr/>
          <w:p>
            <w:pPr>
              <w:pStyle w:val="Compact"/>
            </w:pPr>
            <w:r>
              <w:rPr>
                <w:rFonts w:hint="eastAsia"/>
              </w:rPr>
              <w:t xml:space="preserve">江淮汽车（600418）</w:t>
            </w:r>
          </w:p>
        </w:tc>
        <w:tc>
          <w:tcPr/>
          <w:p>
            <w:pPr>
              <w:pStyle w:val="Compact"/>
              <w:jc w:val="right"/>
            </w:pPr>
            <w:r>
              <w:rPr>
                <w:rFonts w:hint="eastAsia"/>
              </w:rPr>
              <w:t xml:space="preserve">-26.65亿元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兆易创新（603986）</w:t>
            </w:r>
          </w:p>
        </w:tc>
        <w:tc>
          <w:tcPr/>
          <w:p>
            <w:pPr>
              <w:pStyle w:val="Compact"/>
              <w:jc w:val="right"/>
            </w:pPr>
            <w:r>
              <w:rPr>
                <w:rFonts w:hint="eastAsia"/>
              </w:rPr>
              <w:t xml:space="preserve">-25.28亿元</w:t>
            </w:r>
          </w:p>
        </w:tc>
      </w:tr>
      <w:tr>
        <w:tc>
          <w:tcPr/>
          <w:p>
            <w:pPr>
              <w:pStyle w:val="Compact"/>
              <w:jc w:val="right"/>
            </w:pPr>
            <w:r>
              <w:t xml:space="preserve">7</w:t>
            </w:r>
          </w:p>
        </w:tc>
        <w:tc>
          <w:tcPr/>
          <w:p>
            <w:pPr>
              <w:pStyle w:val="Compact"/>
            </w:pPr>
            <w:r>
              <w:rPr>
                <w:rFonts w:hint="eastAsia"/>
              </w:rPr>
              <w:t xml:space="preserve">天孚通信（300394）</w:t>
            </w:r>
          </w:p>
        </w:tc>
        <w:tc>
          <w:tcPr/>
          <w:p>
            <w:pPr>
              <w:pStyle w:val="Compact"/>
              <w:jc w:val="right"/>
            </w:pPr>
            <w:r>
              <w:rPr>
                <w:rFonts w:hint="eastAsia"/>
              </w:rPr>
              <w:t xml:space="preserve">-24.58亿元</w:t>
            </w:r>
          </w:p>
        </w:tc>
      </w:tr>
      <w:tr>
        <w:tc>
          <w:tcPr/>
          <w:p>
            <w:pPr>
              <w:pStyle w:val="Compact"/>
              <w:jc w:val="right"/>
            </w:pPr>
            <w:r>
              <w:t xml:space="preserve">8</w:t>
            </w:r>
          </w:p>
        </w:tc>
        <w:tc>
          <w:tcPr/>
          <w:p>
            <w:pPr>
              <w:pStyle w:val="Compact"/>
            </w:pPr>
            <w:r>
              <w:rPr>
                <w:rFonts w:hint="eastAsia"/>
              </w:rPr>
              <w:t xml:space="preserve">长鑫科技（688825）</w:t>
            </w:r>
          </w:p>
        </w:tc>
        <w:tc>
          <w:tcPr/>
          <w:p>
            <w:pPr>
              <w:pStyle w:val="Compact"/>
              <w:jc w:val="right"/>
            </w:pPr>
            <w:r>
              <w:rPr>
                <w:rFonts w:hint="eastAsia"/>
              </w:rPr>
              <w:t xml:space="preserve">-24.45亿元</w:t>
            </w:r>
          </w:p>
        </w:tc>
      </w:tr>
      <w:tr>
        <w:tc>
          <w:tcPr/>
          <w:p>
            <w:pPr>
              <w:pStyle w:val="Compact"/>
              <w:jc w:val="right"/>
            </w:pPr>
            <w:r>
              <w:t xml:space="preserve">9</w:t>
            </w:r>
          </w:p>
        </w:tc>
        <w:tc>
          <w:tcPr/>
          <w:p>
            <w:pPr>
              <w:pStyle w:val="Compact"/>
            </w:pPr>
            <w:r>
              <w:rPr>
                <w:rFonts w:hint="eastAsia"/>
              </w:rPr>
              <w:t xml:space="preserve">宁德时代（300750）</w:t>
            </w:r>
          </w:p>
        </w:tc>
        <w:tc>
          <w:tcPr/>
          <w:p>
            <w:pPr>
              <w:pStyle w:val="Compact"/>
              <w:jc w:val="right"/>
            </w:pPr>
            <w:r>
              <w:rPr>
                <w:rFonts w:hint="eastAsia"/>
              </w:rPr>
              <w:t xml:space="preserve">-24.08亿元</w:t>
            </w:r>
          </w:p>
        </w:tc>
      </w:tr>
      <w:tr>
        <w:tc>
          <w:tcPr/>
          <w:p>
            <w:pPr>
              <w:pStyle w:val="Compact"/>
              <w:jc w:val="right"/>
            </w:pPr>
            <w:r>
              <w:t xml:space="preserve">10</w:t>
            </w:r>
          </w:p>
        </w:tc>
        <w:tc>
          <w:tcPr/>
          <w:p>
            <w:pPr>
              <w:pStyle w:val="Compact"/>
            </w:pPr>
            <w:r>
              <w:rPr>
                <w:rFonts w:hint="eastAsia"/>
              </w:rPr>
              <w:t xml:space="preserve">芯原股份（688521）</w:t>
            </w:r>
          </w:p>
        </w:tc>
        <w:tc>
          <w:tcPr/>
          <w:p>
            <w:pPr>
              <w:pStyle w:val="Compact"/>
              <w:jc w:val="right"/>
            </w:pPr>
            <w:r>
              <w:rPr>
                <w:rFonts w:hint="eastAsia"/>
              </w:rPr>
              <w:t xml:space="preserve">-22.66亿元</w:t>
            </w:r>
          </w:p>
        </w:tc>
      </w:tr>
    </w:tbl>
    <w:bookmarkEnd w:id="17"/>
    <w:bookmarkStart w:id="18" w:name="流入top10板块"/>
    <w:p>
      <w:pPr>
        <w:pStyle w:val="Heading3"/>
      </w:pPr>
      <w:r>
        <w:t xml:space="preserve">💰 3. </w:t>
      </w:r>
      <w:r>
        <w:rPr>
          <w:rFonts w:hint="eastAsia"/>
        </w:rPr>
        <w:t xml:space="preserve">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医疗研发外包</w:t>
            </w:r>
          </w:p>
        </w:tc>
        <w:tc>
          <w:tcPr/>
          <w:p>
            <w:pPr>
              <w:pStyle w:val="Compact"/>
              <w:jc w:val="right"/>
            </w:pPr>
            <w:r>
              <w:rPr>
                <w:rFonts w:hint="eastAsia"/>
              </w:rPr>
              <w:t xml:space="preserve">+20.49亿元</w:t>
            </w:r>
          </w:p>
        </w:tc>
      </w:tr>
      <w:tr>
        <w:tc>
          <w:tcPr/>
          <w:p>
            <w:pPr>
              <w:pStyle w:val="Compact"/>
              <w:jc w:val="right"/>
            </w:pPr>
            <w:r>
              <w:t xml:space="preserve">2</w:t>
            </w:r>
          </w:p>
        </w:tc>
        <w:tc>
          <w:tcPr/>
          <w:p>
            <w:pPr>
              <w:pStyle w:val="Compact"/>
            </w:pPr>
            <w:r>
              <w:rPr>
                <w:rFonts w:hint="eastAsia"/>
              </w:rPr>
              <w:t xml:space="preserve">化学制剂</w:t>
            </w:r>
          </w:p>
        </w:tc>
        <w:tc>
          <w:tcPr/>
          <w:p>
            <w:pPr>
              <w:pStyle w:val="Compact"/>
              <w:jc w:val="right"/>
            </w:pPr>
            <w:r>
              <w:rPr>
                <w:rFonts w:hint="eastAsia"/>
              </w:rPr>
              <w:t xml:space="preserve">+10.73亿元</w:t>
            </w:r>
          </w:p>
        </w:tc>
      </w:tr>
      <w:tr>
        <w:tc>
          <w:tcPr/>
          <w:p>
            <w:pPr>
              <w:pStyle w:val="Compact"/>
              <w:jc w:val="right"/>
            </w:pPr>
            <w:r>
              <w:t xml:space="preserve">3</w:t>
            </w:r>
          </w:p>
        </w:tc>
        <w:tc>
          <w:tcPr/>
          <w:p>
            <w:pPr>
              <w:pStyle w:val="Compact"/>
            </w:pPr>
            <w:r>
              <w:rPr>
                <w:rFonts w:hint="eastAsia"/>
              </w:rPr>
              <w:t xml:space="preserve">镍</w:t>
            </w:r>
          </w:p>
        </w:tc>
        <w:tc>
          <w:tcPr/>
          <w:p>
            <w:pPr>
              <w:pStyle w:val="Compact"/>
              <w:jc w:val="right"/>
            </w:pPr>
            <w:r>
              <w:rPr>
                <w:rFonts w:hint="eastAsia"/>
              </w:rPr>
              <w:t xml:space="preserve">+10.34亿元</w:t>
            </w:r>
          </w:p>
        </w:tc>
      </w:tr>
      <w:tr>
        <w:tc>
          <w:tcPr/>
          <w:p>
            <w:pPr>
              <w:pStyle w:val="Compact"/>
              <w:jc w:val="right"/>
            </w:pPr>
            <w:r>
              <w:t xml:space="preserve">4</w:t>
            </w:r>
          </w:p>
        </w:tc>
        <w:tc>
          <w:tcPr/>
          <w:p>
            <w:pPr>
              <w:pStyle w:val="Compact"/>
            </w:pPr>
            <w:r>
              <w:rPr>
                <w:rFonts w:hint="eastAsia"/>
              </w:rPr>
              <w:t xml:space="preserve">白酒</w:t>
            </w:r>
          </w:p>
        </w:tc>
        <w:tc>
          <w:tcPr/>
          <w:p>
            <w:pPr>
              <w:pStyle w:val="Compact"/>
              <w:jc w:val="right"/>
            </w:pPr>
            <w:r>
              <w:rPr>
                <w:rFonts w:hint="eastAsia"/>
              </w:rPr>
              <w:t xml:space="preserve">+8.11亿元</w:t>
            </w:r>
          </w:p>
        </w:tc>
      </w:tr>
      <w:tr>
        <w:tc>
          <w:tcPr/>
          <w:p>
            <w:pPr>
              <w:pStyle w:val="Compact"/>
              <w:jc w:val="right"/>
            </w:pPr>
            <w:r>
              <w:t xml:space="preserve">5</w:t>
            </w:r>
          </w:p>
        </w:tc>
        <w:tc>
          <w:tcPr/>
          <w:p>
            <w:pPr>
              <w:pStyle w:val="Compact"/>
            </w:pPr>
            <w:r>
              <w:rPr>
                <w:rFonts w:hint="eastAsia"/>
              </w:rPr>
              <w:t xml:space="preserve">其他生物制药</w:t>
            </w:r>
          </w:p>
        </w:tc>
        <w:tc>
          <w:tcPr/>
          <w:p>
            <w:pPr>
              <w:pStyle w:val="Compact"/>
              <w:jc w:val="right"/>
            </w:pPr>
            <w:r>
              <w:rPr>
                <w:rFonts w:hint="eastAsia"/>
              </w:rPr>
              <w:t xml:space="preserve">+6.90亿元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通信终端及配件</w:t>
            </w:r>
          </w:p>
        </w:tc>
        <w:tc>
          <w:tcPr/>
          <w:p>
            <w:pPr>
              <w:pStyle w:val="Compact"/>
              <w:jc w:val="right"/>
            </w:pPr>
            <w:r>
              <w:rPr>
                <w:rFonts w:hint="eastAsia"/>
              </w:rPr>
              <w:t xml:space="preserve">+6.29亿元</w:t>
            </w:r>
          </w:p>
        </w:tc>
      </w:tr>
      <w:tr>
        <w:tc>
          <w:tcPr/>
          <w:p>
            <w:pPr>
              <w:pStyle w:val="Compact"/>
              <w:jc w:val="right"/>
            </w:pPr>
            <w:r>
              <w:t xml:space="preserve">7</w:t>
            </w:r>
          </w:p>
        </w:tc>
        <w:tc>
          <w:tcPr/>
          <w:p>
            <w:pPr>
              <w:pStyle w:val="Compact"/>
            </w:pPr>
            <w:r>
              <w:rPr>
                <w:rFonts w:hint="eastAsia"/>
              </w:rPr>
              <w:t xml:space="preserve">工业控制设备</w:t>
            </w:r>
          </w:p>
        </w:tc>
        <w:tc>
          <w:tcPr/>
          <w:p>
            <w:pPr>
              <w:pStyle w:val="Compact"/>
              <w:jc w:val="right"/>
            </w:pPr>
            <w:r>
              <w:rPr>
                <w:rFonts w:hint="eastAsia"/>
              </w:rPr>
              <w:t xml:space="preserve">+6.19亿元</w:t>
            </w:r>
          </w:p>
        </w:tc>
      </w:tr>
      <w:tr>
        <w:tc>
          <w:tcPr/>
          <w:p>
            <w:pPr>
              <w:pStyle w:val="Compact"/>
              <w:jc w:val="right"/>
            </w:pPr>
            <w:r>
              <w:t xml:space="preserve">8</w:t>
            </w:r>
          </w:p>
        </w:tc>
        <w:tc>
          <w:tcPr/>
          <w:p>
            <w:pPr>
              <w:pStyle w:val="Compact"/>
            </w:pPr>
            <w:r>
              <w:rPr>
                <w:rFonts w:hint="eastAsia"/>
              </w:rPr>
              <w:t xml:space="preserve">原料药</w:t>
            </w:r>
          </w:p>
        </w:tc>
        <w:tc>
          <w:tcPr/>
          <w:p>
            <w:pPr>
              <w:pStyle w:val="Compact"/>
              <w:jc w:val="right"/>
            </w:pPr>
            <w:r>
              <w:rPr>
                <w:rFonts w:hint="eastAsia"/>
              </w:rPr>
              <w:t xml:space="preserve">+6.13亿元</w:t>
            </w:r>
          </w:p>
        </w:tc>
      </w:tr>
      <w:tr>
        <w:tc>
          <w:tcPr/>
          <w:p>
            <w:pPr>
              <w:pStyle w:val="Compact"/>
              <w:jc w:val="right"/>
            </w:pPr>
            <w:r>
              <w:t xml:space="preserve">9</w:t>
            </w:r>
          </w:p>
        </w:tc>
        <w:tc>
          <w:tcPr/>
          <w:p>
            <w:pPr>
              <w:pStyle w:val="Compact"/>
            </w:pPr>
            <w:r>
              <w:rPr>
                <w:rFonts w:hint="eastAsia"/>
              </w:rPr>
              <w:t xml:space="preserve">光学元件</w:t>
            </w:r>
          </w:p>
        </w:tc>
        <w:tc>
          <w:tcPr/>
          <w:p>
            <w:pPr>
              <w:pStyle w:val="Compact"/>
              <w:jc w:val="right"/>
            </w:pPr>
            <w:r>
              <w:rPr>
                <w:rFonts w:hint="eastAsia"/>
              </w:rPr>
              <w:t xml:space="preserve">+5.74亿元</w:t>
            </w:r>
          </w:p>
        </w:tc>
      </w:tr>
      <w:tr>
        <w:tc>
          <w:tcPr/>
          <w:p>
            <w:pPr>
              <w:pStyle w:val="Compact"/>
              <w:jc w:val="right"/>
            </w:pPr>
            <w:r>
              <w:t xml:space="preserve">10</w:t>
            </w:r>
          </w:p>
        </w:tc>
        <w:tc>
          <w:tcPr/>
          <w:p>
            <w:pPr>
              <w:pStyle w:val="Compact"/>
            </w:pPr>
            <w:r>
              <w:rPr>
                <w:rFonts w:hint="eastAsia"/>
              </w:rPr>
              <w:t xml:space="preserve">电池化学品</w:t>
            </w:r>
          </w:p>
        </w:tc>
        <w:tc>
          <w:tcPr/>
          <w:p>
            <w:pPr>
              <w:pStyle w:val="Compact"/>
              <w:jc w:val="right"/>
            </w:pPr>
            <w:r>
              <w:rPr>
                <w:rFonts w:hint="eastAsia"/>
              </w:rPr>
              <w:t xml:space="preserve">+4.48亿元</w:t>
            </w:r>
          </w:p>
        </w:tc>
      </w:tr>
    </w:tbl>
    <w:bookmarkEnd w:id="18"/>
    <w:bookmarkStart w:id="19" w:name="流入top10个股"/>
    <w:p>
      <w:pPr>
        <w:pStyle w:val="Heading3"/>
      </w:pPr>
      <w:r>
        <w:t xml:space="preserve">💰 4. </w:t>
      </w:r>
      <w:r>
        <w:rPr>
          <w:rFonts w:hint="eastAsia"/>
        </w:rPr>
        <w:t xml:space="preserve">流入TOP10个股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寒武纪（688256）</w:t>
            </w:r>
          </w:p>
        </w:tc>
        <w:tc>
          <w:tcPr/>
          <w:p>
            <w:pPr>
              <w:pStyle w:val="Compact"/>
              <w:jc w:val="right"/>
            </w:pPr>
            <w:r>
              <w:rPr>
                <w:rFonts w:hint="eastAsia"/>
              </w:rPr>
              <w:t xml:space="preserve">+47.82亿元</w:t>
            </w:r>
          </w:p>
        </w:tc>
      </w:tr>
      <w:tr>
        <w:tc>
          <w:tcPr/>
          <w:p>
            <w:pPr>
              <w:pStyle w:val="Compact"/>
              <w:jc w:val="right"/>
            </w:pPr>
            <w:r>
              <w:t xml:space="preserve">2</w:t>
            </w:r>
          </w:p>
        </w:tc>
        <w:tc>
          <w:tcPr/>
          <w:p>
            <w:pPr>
              <w:pStyle w:val="Compact"/>
            </w:pPr>
            <w:r>
              <w:rPr>
                <w:rFonts w:hint="eastAsia"/>
              </w:rPr>
              <w:t xml:space="preserve">中际旭创（300308）</w:t>
            </w:r>
          </w:p>
        </w:tc>
        <w:tc>
          <w:tcPr/>
          <w:p>
            <w:pPr>
              <w:pStyle w:val="Compact"/>
              <w:jc w:val="right"/>
            </w:pPr>
            <w:r>
              <w:rPr>
                <w:rFonts w:hint="eastAsia"/>
              </w:rPr>
              <w:t xml:space="preserve">+42.78亿元</w:t>
            </w:r>
          </w:p>
        </w:tc>
      </w:tr>
      <w:tr>
        <w:tc>
          <w:tcPr/>
          <w:p>
            <w:pPr>
              <w:pStyle w:val="Compact"/>
              <w:jc w:val="right"/>
            </w:pPr>
            <w:r>
              <w:t xml:space="preserve">3</w:t>
            </w:r>
          </w:p>
        </w:tc>
        <w:tc>
          <w:tcPr/>
          <w:p>
            <w:pPr>
              <w:pStyle w:val="Compact"/>
            </w:pPr>
            <w:r>
              <w:rPr>
                <w:rFonts w:hint="eastAsia"/>
              </w:rPr>
              <w:t xml:space="preserve">新易盛（300502）</w:t>
            </w:r>
          </w:p>
        </w:tc>
        <w:tc>
          <w:tcPr/>
          <w:p>
            <w:pPr>
              <w:pStyle w:val="Compact"/>
              <w:jc w:val="right"/>
            </w:pPr>
            <w:r>
              <w:rPr>
                <w:rFonts w:hint="eastAsia"/>
              </w:rPr>
              <w:t xml:space="preserve">+32.63亿元</w:t>
            </w:r>
          </w:p>
        </w:tc>
      </w:tr>
      <w:tr>
        <w:tc>
          <w:tcPr/>
          <w:p>
            <w:pPr>
              <w:pStyle w:val="Compact"/>
              <w:jc w:val="right"/>
            </w:pPr>
            <w:r>
              <w:t xml:space="preserve">4</w:t>
            </w:r>
          </w:p>
        </w:tc>
        <w:tc>
          <w:tcPr/>
          <w:p>
            <w:pPr>
              <w:pStyle w:val="Compact"/>
            </w:pPr>
            <w:r>
              <w:rPr>
                <w:rFonts w:hint="eastAsia"/>
              </w:rPr>
              <w:t xml:space="preserve">天孚通信（300394）</w:t>
            </w:r>
          </w:p>
        </w:tc>
        <w:tc>
          <w:tcPr/>
          <w:p>
            <w:pPr>
              <w:pStyle w:val="Compact"/>
              <w:jc w:val="right"/>
            </w:pPr>
            <w:r>
              <w:rPr>
                <w:rFonts w:hint="eastAsia"/>
              </w:rPr>
              <w:t xml:space="preserve">+30.98亿元</w:t>
            </w:r>
          </w:p>
        </w:tc>
      </w:tr>
      <w:tr>
        <w:tc>
          <w:tcPr/>
          <w:p>
            <w:pPr>
              <w:pStyle w:val="Compact"/>
              <w:jc w:val="right"/>
            </w:pPr>
            <w:r>
              <w:t xml:space="preserve">5</w:t>
            </w:r>
          </w:p>
        </w:tc>
        <w:tc>
          <w:tcPr/>
          <w:p>
            <w:pPr>
              <w:pStyle w:val="Compact"/>
            </w:pPr>
            <w:r>
              <w:rPr>
                <w:rFonts w:hint="eastAsia"/>
              </w:rPr>
              <w:t xml:space="preserve">江淮汽车（600418）</w:t>
            </w:r>
          </w:p>
        </w:tc>
        <w:tc>
          <w:tcPr/>
          <w:p>
            <w:pPr>
              <w:pStyle w:val="Compact"/>
              <w:jc w:val="right"/>
            </w:pPr>
            <w:r>
              <w:rPr>
                <w:rFonts w:hint="eastAsia"/>
              </w:rPr>
              <w:t xml:space="preserve">+28.99亿元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宁德时代（300750）</w:t>
            </w:r>
          </w:p>
        </w:tc>
        <w:tc>
          <w:tcPr/>
          <w:p>
            <w:pPr>
              <w:pStyle w:val="Compact"/>
              <w:jc w:val="right"/>
            </w:pPr>
            <w:r>
              <w:rPr>
                <w:rFonts w:hint="eastAsia"/>
              </w:rPr>
              <w:t xml:space="preserve">+25.99亿元</w:t>
            </w:r>
          </w:p>
        </w:tc>
      </w:tr>
      <w:tr>
        <w:tc>
          <w:tcPr/>
          <w:p>
            <w:pPr>
              <w:pStyle w:val="Compact"/>
              <w:jc w:val="right"/>
            </w:pPr>
            <w:r>
              <w:t xml:space="preserve">7</w:t>
            </w:r>
          </w:p>
        </w:tc>
        <w:tc>
          <w:tcPr/>
          <w:p>
            <w:pPr>
              <w:pStyle w:val="Compact"/>
            </w:pPr>
            <w:r>
              <w:rPr>
                <w:rFonts w:hint="eastAsia"/>
              </w:rPr>
              <w:t xml:space="preserve">亨通光电（600487）</w:t>
            </w:r>
          </w:p>
        </w:tc>
        <w:tc>
          <w:tcPr/>
          <w:p>
            <w:pPr>
              <w:pStyle w:val="Compact"/>
              <w:jc w:val="right"/>
            </w:pPr>
            <w:r>
              <w:rPr>
                <w:rFonts w:hint="eastAsia"/>
              </w:rPr>
              <w:t xml:space="preserve">+22.32亿元</w:t>
            </w:r>
          </w:p>
        </w:tc>
      </w:tr>
      <w:tr>
        <w:tc>
          <w:tcPr/>
          <w:p>
            <w:pPr>
              <w:pStyle w:val="Compact"/>
              <w:jc w:val="right"/>
            </w:pPr>
            <w:r>
              <w:t xml:space="preserve">8</w:t>
            </w:r>
          </w:p>
        </w:tc>
        <w:tc>
          <w:tcPr/>
          <w:p>
            <w:pPr>
              <w:pStyle w:val="Compact"/>
            </w:pPr>
            <w:r>
              <w:rPr>
                <w:rFonts w:hint="eastAsia"/>
              </w:rPr>
              <w:t xml:space="preserve">长鑫科技（688825）</w:t>
            </w:r>
          </w:p>
        </w:tc>
        <w:tc>
          <w:tcPr/>
          <w:p>
            <w:pPr>
              <w:pStyle w:val="Compact"/>
              <w:jc w:val="right"/>
            </w:pPr>
            <w:r>
              <w:rPr>
                <w:rFonts w:hint="eastAsia"/>
              </w:rPr>
              <w:t xml:space="preserve">+19.29亿元</w:t>
            </w:r>
          </w:p>
        </w:tc>
      </w:tr>
      <w:tr>
        <w:tc>
          <w:tcPr/>
          <w:p>
            <w:pPr>
              <w:pStyle w:val="Compact"/>
              <w:jc w:val="right"/>
            </w:pPr>
            <w:r>
              <w:t xml:space="preserve">9</w:t>
            </w:r>
          </w:p>
        </w:tc>
        <w:tc>
          <w:tcPr/>
          <w:p>
            <w:pPr>
              <w:pStyle w:val="Compact"/>
            </w:pPr>
            <w:r>
              <w:rPr>
                <w:rFonts w:hint="eastAsia"/>
              </w:rPr>
              <w:t xml:space="preserve">源杰科技（688498）</w:t>
            </w:r>
          </w:p>
        </w:tc>
        <w:tc>
          <w:tcPr/>
          <w:p>
            <w:pPr>
              <w:pStyle w:val="Compact"/>
              <w:jc w:val="right"/>
            </w:pPr>
            <w:r>
              <w:rPr>
                <w:rFonts w:hint="eastAsia"/>
              </w:rPr>
              <w:t xml:space="preserve">+18.87亿元</w:t>
            </w:r>
          </w:p>
        </w:tc>
      </w:tr>
      <w:tr>
        <w:tc>
          <w:tcPr/>
          <w:p>
            <w:pPr>
              <w:pStyle w:val="Compact"/>
              <w:jc w:val="right"/>
            </w:pPr>
            <w:r>
              <w:t xml:space="preserve">10</w:t>
            </w:r>
          </w:p>
        </w:tc>
        <w:tc>
          <w:tcPr/>
          <w:p>
            <w:pPr>
              <w:pStyle w:val="Compact"/>
            </w:pPr>
            <w:r>
              <w:rPr>
                <w:rFonts w:hint="eastAsia"/>
              </w:rPr>
              <w:t xml:space="preserve">兆易创新（603986）</w:t>
            </w:r>
          </w:p>
        </w:tc>
        <w:tc>
          <w:tcPr/>
          <w:p>
            <w:pPr>
              <w:pStyle w:val="Compact"/>
              <w:jc w:val="right"/>
            </w:pPr>
            <w:r>
              <w:rPr>
                <w:rFonts w:hint="eastAsia"/>
              </w:rPr>
              <w:t xml:space="preserve">+18.73亿元</w:t>
            </w:r>
          </w:p>
        </w:tc>
      </w:tr>
    </w:tbl>
    <w:bookmarkEnd w:id="19"/>
    <w:bookmarkStart w:id="20" w:name="资金榜使用限制"/>
    <w:p>
      <w:pPr>
        <w:pStyle w:val="Heading3"/>
      </w:pPr>
      <w:r>
        <w:t xml:space="preserve">⚠️ </w:t>
      </w:r>
      <w:r>
        <w:rPr>
          <w:rFonts w:hint="eastAsia"/>
        </w:rPr>
        <w:t xml:space="preserve">资金榜使用限制</w:t>
      </w:r>
    </w:p>
    <w:p>
      <w:pPr>
        <w:pStyle w:val="Compact"/>
        <w:numPr>
          <w:ilvl w:val="0"/>
          <w:numId w:val="1006"/>
        </w:numPr>
      </w:pPr>
      <w:r>
        <w:rPr>
          <w:rFonts w:hint="eastAsia"/>
        </w:rPr>
        <w:t xml:space="preserve">寒武纪、中际旭创、新易盛、亨通光电、江淮汽车、兆易创新、天孚通信、长鑫科技和宁德时代同时出现在流入榜与流出榜。</w:t>
      </w:r>
    </w:p>
    <w:p>
      <w:pPr>
        <w:pStyle w:val="Compact"/>
        <w:numPr>
          <w:ilvl w:val="0"/>
          <w:numId w:val="1006"/>
        </w:numPr>
      </w:pPr>
      <w:r>
        <w:rPr>
          <w:rFonts w:hint="eastAsia"/>
        </w:rPr>
        <w:t xml:space="preserve">本报告不擅自将流入金额与流出金额相减，也不把一张榜替代另一张榜。</w:t>
      </w:r>
    </w:p>
    <w:p>
      <w:pPr>
        <w:pStyle w:val="Compact"/>
        <w:numPr>
          <w:ilvl w:val="0"/>
          <w:numId w:val="1006"/>
        </w:numPr>
      </w:pPr>
      <w:r>
        <w:rPr>
          <w:rFonts w:hint="eastAsia"/>
        </w:rPr>
        <w:t xml:space="preserve">这种同股双向出现说明榜单存在不同资金统计方向、时段或聚合口径差异，不能直接视为单一净额结论。</w:t>
      </w:r>
    </w:p>
    <w:p>
      <w:pPr>
        <w:pStyle w:val="Compact"/>
        <w:numPr>
          <w:ilvl w:val="0"/>
          <w:numId w:val="1006"/>
        </w:numPr>
      </w:pPr>
      <w:r>
        <w:rPr>
          <w:rFonts w:hint="eastAsia"/>
        </w:rPr>
        <w:t xml:space="preserve">操作上应优先观察价格是否站稳、板块是否扩散以及下午资金方向是否继续，而不是根据单张榜单追涨。</w:t>
      </w:r>
    </w:p>
    <w:bookmarkEnd w:id="20"/>
    <w:bookmarkEnd w:id="21"/>
    <w:bookmarkStart w:id="24" w:name="四资金流出预警"/>
    <w:p>
      <w:pPr>
        <w:pStyle w:val="Heading2"/>
      </w:pPr>
      <w:r>
        <w:t xml:space="preserve">⚠️ </w:t>
      </w:r>
      <w:r>
        <w:rPr>
          <w:rFonts w:hint="eastAsia"/>
        </w:rPr>
        <w:t xml:space="preserve">四、资金流出预警</w:t>
      </w:r>
    </w:p>
    <w:bookmarkStart w:id="22" w:name="板块预警"/>
    <w:p>
      <w:pPr>
        <w:pStyle w:val="Heading3"/>
      </w:pPr>
      <w:r>
        <w:t xml:space="preserve">🔴 </w:t>
      </w:r>
      <w:r>
        <w:rPr>
          <w:rFonts w:hint="eastAsia"/>
        </w:rPr>
        <w:t xml:space="preserve">板块预警</w:t>
      </w:r>
    </w:p>
    <w:p>
      <w:pPr>
        <w:pStyle w:val="Compact"/>
        <w:numPr>
          <w:ilvl w:val="0"/>
          <w:numId w:val="1007"/>
        </w:numPr>
      </w:pPr>
      <w:r>
        <w:rPr>
          <w:rFonts w:hint="eastAsia"/>
          <w:b/>
          <w:bCs/>
        </w:rPr>
        <w:t xml:space="preserve">集成电路设计：净流出60.49亿元</w:t>
      </w:r>
    </w:p>
    <w:p>
      <w:pPr>
        <w:pStyle w:val="Compact"/>
        <w:numPr>
          <w:ilvl w:val="1"/>
          <w:numId w:val="1008"/>
        </w:numPr>
      </w:pPr>
      <w:r>
        <w:rPr>
          <w:rFonts w:hint="eastAsia"/>
        </w:rPr>
        <w:t xml:space="preserve">为流出榜第一名，资金压力明显高于其他板块。</w:t>
      </w:r>
    </w:p>
    <w:p>
      <w:pPr>
        <w:pStyle w:val="Compact"/>
        <w:numPr>
          <w:ilvl w:val="1"/>
          <w:numId w:val="1008"/>
        </w:numPr>
      </w:pPr>
      <w:r>
        <w:rPr>
          <w:rFonts w:hint="eastAsia"/>
        </w:rPr>
        <w:t xml:space="preserve">科创50同步下跌2.0854%，科技成长的指数表现未能配合。</w:t>
      </w:r>
    </w:p>
    <w:p>
      <w:pPr>
        <w:pStyle w:val="Compact"/>
        <w:numPr>
          <w:ilvl w:val="1"/>
          <w:numId w:val="1008"/>
        </w:numPr>
      </w:pPr>
      <w:r>
        <w:rPr>
          <w:rFonts w:hint="eastAsia"/>
        </w:rPr>
        <w:t xml:space="preserve">下午不宜把早盘个别芯片股资金流入直接理解为集成电路设计全面转强。</w:t>
      </w:r>
    </w:p>
    <w:p>
      <w:pPr>
        <w:pStyle w:val="Compact"/>
        <w:numPr>
          <w:ilvl w:val="0"/>
          <w:numId w:val="1007"/>
        </w:numPr>
      </w:pPr>
      <w:r>
        <w:rPr>
          <w:rFonts w:hint="eastAsia"/>
          <w:b/>
          <w:bCs/>
        </w:rPr>
        <w:t xml:space="preserve">PCB：净流出28.76亿元</w:t>
      </w:r>
    </w:p>
    <w:p>
      <w:pPr>
        <w:pStyle w:val="Compact"/>
        <w:numPr>
          <w:ilvl w:val="1"/>
          <w:numId w:val="1009"/>
        </w:numPr>
      </w:pPr>
      <w:r>
        <w:rPr>
          <w:rFonts w:hint="eastAsia"/>
        </w:rPr>
        <w:t xml:space="preserve">盘面涨幅靠前，但资金流出规模位居第二。</w:t>
      </w:r>
    </w:p>
    <w:p>
      <w:pPr>
        <w:pStyle w:val="Compact"/>
        <w:numPr>
          <w:ilvl w:val="1"/>
          <w:numId w:val="1009"/>
        </w:numPr>
      </w:pPr>
      <w:r>
        <w:rPr>
          <w:rFonts w:hint="eastAsia"/>
        </w:rPr>
        <w:t xml:space="preserve">这是典型的“价格强、资金弱”组合，需防止冲高回落。</w:t>
      </w:r>
    </w:p>
    <w:p>
      <w:pPr>
        <w:pStyle w:val="Compact"/>
        <w:numPr>
          <w:ilvl w:val="0"/>
          <w:numId w:val="1007"/>
        </w:numPr>
      </w:pPr>
      <w:r>
        <w:rPr>
          <w:rFonts w:hint="eastAsia"/>
          <w:b/>
          <w:bCs/>
        </w:rPr>
        <w:t xml:space="preserve">半导体封测：净流出19.05亿元</w:t>
      </w:r>
    </w:p>
    <w:p>
      <w:pPr>
        <w:pStyle w:val="Compact"/>
        <w:numPr>
          <w:ilvl w:val="1"/>
          <w:numId w:val="1010"/>
        </w:numPr>
      </w:pPr>
      <w:r>
        <w:rPr>
          <w:rFonts w:hint="eastAsia"/>
        </w:rPr>
        <w:t xml:space="preserve">半导体方向内部继续分化。</w:t>
      </w:r>
    </w:p>
    <w:p>
      <w:pPr>
        <w:pStyle w:val="Compact"/>
        <w:numPr>
          <w:ilvl w:val="1"/>
          <w:numId w:val="1010"/>
        </w:numPr>
      </w:pPr>
      <w:r>
        <w:rPr>
          <w:rFonts w:hint="eastAsia"/>
        </w:rPr>
        <w:t xml:space="preserve">在科创50走弱背景下，下午应等待板块资金由流出转为改善后再考虑参与。</w:t>
      </w:r>
    </w:p>
    <w:p>
      <w:pPr>
        <w:pStyle w:val="Compact"/>
        <w:numPr>
          <w:ilvl w:val="0"/>
          <w:numId w:val="1007"/>
        </w:numPr>
      </w:pPr>
      <w:r>
        <w:rPr>
          <w:rFonts w:hint="eastAsia"/>
          <w:b/>
          <w:bCs/>
        </w:rPr>
        <w:t xml:space="preserve">光纤光缆：净流出11.40亿元</w:t>
      </w:r>
    </w:p>
    <w:p>
      <w:pPr>
        <w:pStyle w:val="Compact"/>
        <w:numPr>
          <w:ilvl w:val="1"/>
          <w:numId w:val="1011"/>
        </w:numPr>
      </w:pPr>
      <w:r>
        <w:rPr>
          <w:rFonts w:hint="eastAsia"/>
        </w:rPr>
        <w:t xml:space="preserve">CPO个股进入流入榜，但行业板块资金仍为净流出。</w:t>
      </w:r>
    </w:p>
    <w:p>
      <w:pPr>
        <w:pStyle w:val="Compact"/>
        <w:numPr>
          <w:ilvl w:val="1"/>
          <w:numId w:val="1011"/>
        </w:numPr>
      </w:pPr>
      <w:r>
        <w:rPr>
          <w:rFonts w:hint="eastAsia"/>
        </w:rPr>
        <w:t xml:space="preserve">个股强势不能替代行业资金确认。</w:t>
      </w:r>
    </w:p>
    <w:p>
      <w:pPr>
        <w:pStyle w:val="Compact"/>
        <w:numPr>
          <w:ilvl w:val="0"/>
          <w:numId w:val="1007"/>
        </w:numPr>
      </w:pPr>
      <w:r>
        <w:rPr>
          <w:rFonts w:hint="eastAsia"/>
          <w:b/>
          <w:bCs/>
        </w:rPr>
        <w:t xml:space="preserve">住宅开发：净流出6.73亿元</w:t>
      </w:r>
    </w:p>
    <w:p>
      <w:pPr>
        <w:pStyle w:val="Compact"/>
        <w:numPr>
          <w:ilvl w:val="1"/>
          <w:numId w:val="1012"/>
        </w:numPr>
      </w:pPr>
      <w:r>
        <w:rPr>
          <w:rFonts w:hint="eastAsia"/>
        </w:rPr>
        <w:t xml:space="preserve">房地产板块涨幅居前，但住宅开发资金为净流出。</w:t>
      </w:r>
    </w:p>
    <w:p>
      <w:pPr>
        <w:pStyle w:val="Compact"/>
        <w:numPr>
          <w:ilvl w:val="1"/>
          <w:numId w:val="1012"/>
        </w:numPr>
      </w:pPr>
      <w:r>
        <w:rPr>
          <w:rFonts w:hint="eastAsia"/>
        </w:rPr>
        <w:t xml:space="preserve">深物业A等高标股强势，尚不能证明地产板块具有普遍性资金承接。</w:t>
      </w:r>
    </w:p>
    <w:bookmarkEnd w:id="22"/>
    <w:bookmarkStart w:id="23" w:name="个股预警"/>
    <w:p>
      <w:pPr>
        <w:pStyle w:val="Heading3"/>
      </w:pPr>
      <w:r>
        <w:t xml:space="preserve">🔴 </w:t>
      </w:r>
      <w:r>
        <w:rPr>
          <w:rFonts w:hint="eastAsia"/>
        </w:rPr>
        <w:t xml:space="preserve">个股预警</w:t>
      </w:r>
    </w:p>
    <w:p>
      <w:pPr>
        <w:pStyle w:val="Compact"/>
        <w:numPr>
          <w:ilvl w:val="0"/>
          <w:numId w:val="1013"/>
        </w:numPr>
      </w:pPr>
      <w:r>
        <w:rPr>
          <w:rFonts w:hint="eastAsia"/>
        </w:rPr>
        <w:t xml:space="preserve">寒武纪流入+47.82亿元、流出-47.37亿元，双向金额均位居前列，属于高关注、高分歧标的。</w:t>
      </w:r>
    </w:p>
    <w:p>
      <w:pPr>
        <w:pStyle w:val="Compact"/>
        <w:numPr>
          <w:ilvl w:val="0"/>
          <w:numId w:val="1013"/>
        </w:numPr>
      </w:pPr>
      <w:r>
        <w:rPr>
          <w:rFonts w:hint="eastAsia"/>
        </w:rPr>
        <w:t xml:space="preserve">中际旭创流入+42.78亿元、流出-44.21亿元，流出金额高于流入金额，盘中波动风险较高。</w:t>
      </w:r>
    </w:p>
    <w:p>
      <w:pPr>
        <w:pStyle w:val="Compact"/>
        <w:numPr>
          <w:ilvl w:val="0"/>
          <w:numId w:val="1013"/>
        </w:numPr>
      </w:pPr>
      <w:r>
        <w:rPr>
          <w:rFonts w:hint="eastAsia"/>
        </w:rPr>
        <w:t xml:space="preserve">新易盛流入+32.63亿元、流出-33.35亿元，资金方向冲突。</w:t>
      </w:r>
    </w:p>
    <w:p>
      <w:pPr>
        <w:pStyle w:val="Compact"/>
        <w:numPr>
          <w:ilvl w:val="0"/>
          <w:numId w:val="1013"/>
        </w:numPr>
      </w:pPr>
      <w:r>
        <w:rPr>
          <w:rFonts w:hint="eastAsia"/>
        </w:rPr>
        <w:t xml:space="preserve">亨通光电流入+22.32亿元、流出-28.24亿元，资金流出榜压力更大。</w:t>
      </w:r>
    </w:p>
    <w:p>
      <w:pPr>
        <w:pStyle w:val="Compact"/>
        <w:numPr>
          <w:ilvl w:val="0"/>
          <w:numId w:val="1013"/>
        </w:numPr>
      </w:pPr>
      <w:r>
        <w:rPr>
          <w:rFonts w:hint="eastAsia"/>
        </w:rPr>
        <w:t xml:space="preserve">江淮汽车流入+28.99亿元、流出-26.65亿元，仍需观察涨停或强趋势承接是否持续。</w:t>
      </w:r>
    </w:p>
    <w:p>
      <w:pPr>
        <w:pStyle w:val="Compact"/>
        <w:numPr>
          <w:ilvl w:val="0"/>
          <w:numId w:val="1013"/>
        </w:numPr>
      </w:pPr>
      <w:r>
        <w:rPr>
          <w:rFonts w:hint="eastAsia"/>
        </w:rPr>
        <w:t xml:space="preserve">兆易创新流入+18.73亿元、流出-25.28亿元，资金压力偏重。</w:t>
      </w:r>
    </w:p>
    <w:p>
      <w:pPr>
        <w:pStyle w:val="Compact"/>
        <w:numPr>
          <w:ilvl w:val="0"/>
          <w:numId w:val="1013"/>
        </w:numPr>
      </w:pPr>
      <w:r>
        <w:rPr>
          <w:rFonts w:hint="eastAsia"/>
        </w:rPr>
        <w:t xml:space="preserve">天孚通信流入+30.98亿元、流出-24.58亿元，虽然流入金额较高，但不能绕过趋势确认。</w:t>
      </w:r>
    </w:p>
    <w:p>
      <w:pPr>
        <w:pStyle w:val="Compact"/>
        <w:numPr>
          <w:ilvl w:val="0"/>
          <w:numId w:val="1013"/>
        </w:numPr>
      </w:pPr>
      <w:r>
        <w:rPr>
          <w:rFonts w:hint="eastAsia"/>
        </w:rPr>
        <w:t xml:space="preserve">宁德时代流入+25.99亿元、流出-24.08亿元，板块资金与个股走势均需下午继续验证。</w:t>
      </w:r>
    </w:p>
    <w:p>
      <w:pPr>
        <w:pStyle w:val="FirstParagraph"/>
      </w:pPr>
      <w:r>
        <w:rPr>
          <w:rFonts w:hint="eastAsia"/>
          <w:b/>
          <w:bCs/>
        </w:rPr>
        <w:t xml:space="preserve">行动结论：资金榜高热度个股不等于右侧买点。未完成MA20、MA60及ATR等技术校验的个股，不因资金榜排名直接开仓。</w:t>
      </w:r>
    </w:p>
    <w:bookmarkEnd w:id="23"/>
    <w:bookmarkEnd w:id="24"/>
    <w:bookmarkStart w:id="28" w:name="五盘前预判vs实盘"/>
    <w:p>
      <w:pPr>
        <w:pStyle w:val="Heading2"/>
      </w:pPr>
      <w:r>
        <w:t xml:space="preserve">🆚 </w:t>
      </w:r>
      <w:r>
        <w:rPr>
          <w:rFonts w:hint="eastAsia"/>
        </w:rPr>
        <w:t xml:space="preserve">五、盘前预判vs实盘</w:t>
      </w:r>
    </w:p>
    <w:bookmarkStart w:id="25" w:name="盘前预判得到验证的部分"/>
    <w:p>
      <w:pPr>
        <w:pStyle w:val="Heading3"/>
      </w:pPr>
      <w:r>
        <w:t xml:space="preserve">✅ </w:t>
      </w:r>
      <w:r>
        <w:rPr>
          <w:rFonts w:hint="eastAsia"/>
        </w:rPr>
        <w:t xml:space="preserve">盘前预判得到验证的部分</w:t>
      </w:r>
    </w:p>
    <w:p>
      <w:pPr>
        <w:pStyle w:val="Compact"/>
        <w:numPr>
          <w:ilvl w:val="0"/>
          <w:numId w:val="1014"/>
        </w:numPr>
      </w:pPr>
      <w:r>
        <w:rPr>
          <w:rFonts w:hint="eastAsia"/>
        </w:rPr>
        <w:t xml:space="preserve">盘前判断市场需要观察资金是否继续向科技、元件、电池和结构性热点集中，午盘资金榜确实出现通信终端及配件、光学元件、电池化学品等流入方向。</w:t>
      </w:r>
    </w:p>
    <w:p>
      <w:pPr>
        <w:pStyle w:val="Compact"/>
        <w:numPr>
          <w:ilvl w:val="0"/>
          <w:numId w:val="1014"/>
        </w:numPr>
      </w:pPr>
      <w:r>
        <w:rPr>
          <w:rFonts w:hint="eastAsia"/>
        </w:rPr>
        <w:t xml:space="preserve">盘前判断市场不会形成全面普涨，午盘上涨2623家、下跌2743家，涨跌家数接近但下跌略多。</w:t>
      </w:r>
    </w:p>
    <w:p>
      <w:pPr>
        <w:pStyle w:val="Compact"/>
        <w:numPr>
          <w:ilvl w:val="0"/>
          <w:numId w:val="1014"/>
        </w:numPr>
      </w:pPr>
      <w:r>
        <w:rPr>
          <w:rFonts w:hint="eastAsia"/>
        </w:rPr>
        <w:t xml:space="preserve">盘前提示科技成长存在分化风险，午盘科创50下跌2.0854%，验证了科技方向并非整体转强。</w:t>
      </w:r>
    </w:p>
    <w:p>
      <w:pPr>
        <w:pStyle w:val="Compact"/>
        <w:numPr>
          <w:ilvl w:val="0"/>
          <w:numId w:val="1014"/>
        </w:numPr>
      </w:pPr>
      <w:r>
        <w:rPr>
          <w:rFonts w:hint="eastAsia"/>
        </w:rPr>
        <w:t xml:space="preserve">盘前提示房地产需要观察资金延续性，午盘房地产涨幅靠前但住宅开发净流出6.73亿元，资金与价格出现背离。</w:t>
      </w:r>
    </w:p>
    <w:bookmarkEnd w:id="25"/>
    <w:bookmarkStart w:id="26" w:name="盘前判断需要修正或继续验证的部分"/>
    <w:p>
      <w:pPr>
        <w:pStyle w:val="Heading3"/>
      </w:pPr>
      <w:r>
        <w:t xml:space="preserve">⚠️ </w:t>
      </w:r>
      <w:r>
        <w:rPr>
          <w:rFonts w:hint="eastAsia"/>
        </w:rPr>
        <w:t xml:space="preserve">盘前判断需要修正或继续验证的部分</w:t>
      </w:r>
    </w:p>
    <w:p>
      <w:pPr>
        <w:pStyle w:val="Compact"/>
        <w:numPr>
          <w:ilvl w:val="0"/>
          <w:numId w:val="1015"/>
        </w:numPr>
      </w:pPr>
      <w:r>
        <w:rPr>
          <w:rFonts w:hint="eastAsia"/>
        </w:rPr>
        <w:t xml:space="preserve">盘前将中证500、科创宽基ETF连续申购作为重要观察变量，但本次午盘采集未返回新的ETF份额变化数据，不能确认盘前连续申购是否在报告日继续。</w:t>
      </w:r>
    </w:p>
    <w:p>
      <w:pPr>
        <w:pStyle w:val="Compact"/>
        <w:numPr>
          <w:ilvl w:val="0"/>
          <w:numId w:val="1015"/>
        </w:numPr>
      </w:pPr>
      <w:r>
        <w:rPr>
          <w:rFonts w:hint="eastAsia"/>
        </w:rPr>
        <w:t xml:space="preserve">盘前联合信号依赖宽基ETF流入与QVIX降温。本次午盘采集未提供可核验的当日宽基ETF份额流向和QVIX数据，因此午盘不能重复确认该联合信号。</w:t>
      </w:r>
    </w:p>
    <w:p>
      <w:pPr>
        <w:pStyle w:val="Compact"/>
        <w:numPr>
          <w:ilvl w:val="0"/>
          <w:numId w:val="1015"/>
        </w:numPr>
      </w:pPr>
      <w:r>
        <w:rPr>
          <w:rFonts w:hint="eastAsia"/>
        </w:rPr>
        <w:t xml:space="preserve">盘前提示元件、电池和半导体需要右侧确认。午盘电池化学品进入板块流入榜，但集成电路设计、半导体封测明显流出，说明科技产业链内部仍未形成一致性。</w:t>
      </w:r>
    </w:p>
    <w:p>
      <w:pPr>
        <w:pStyle w:val="Compact"/>
        <w:numPr>
          <w:ilvl w:val="0"/>
          <w:numId w:val="1015"/>
        </w:numPr>
      </w:pPr>
      <w:r>
        <w:rPr>
          <w:rFonts w:hint="eastAsia"/>
        </w:rPr>
        <w:t xml:space="preserve">盘前提示成交额改善是仓位上调条件。午盘预测全天成交额为14744.58亿元，高于昨日全天14215.97亿元，但预测值尚未兑现，不能提前按放量上涨处理。</w:t>
      </w:r>
    </w:p>
    <w:bookmarkEnd w:id="26"/>
    <w:bookmarkStart w:id="27" w:name="盘前策略复盘评分"/>
    <w:p>
      <w:pPr>
        <w:pStyle w:val="Heading3"/>
      </w:pPr>
      <w:r>
        <w:t xml:space="preserve">📌 </w:t>
      </w:r>
      <w:r>
        <w:rPr>
          <w:rFonts w:hint="eastAsia"/>
        </w:rPr>
        <w:t xml:space="preserve">盘前策略复盘评分</w:t>
      </w:r>
    </w:p>
    <w:p>
      <w:pPr>
        <w:pStyle w:val="FirstParagraph"/>
      </w:pPr>
      <w:r>
        <w:rPr>
          <w:rFonts w:hint="eastAsia"/>
          <w:b/>
          <w:bCs/>
        </w:rPr>
        <w:t xml:space="preserve">盘前策略执行评分：7/10。</w:t>
      </w:r>
    </w:p>
    <w:p>
      <w:pPr>
        <w:pStyle w:val="Compact"/>
        <w:numPr>
          <w:ilvl w:val="0"/>
          <w:numId w:val="1016"/>
        </w:numPr>
      </w:pPr>
      <w:r>
        <w:rPr>
          <w:rFonts w:hint="eastAsia"/>
        </w:rPr>
        <w:t xml:space="preserve">指数分化和市场广度偏弱判断：基本符合。</w:t>
      </w:r>
    </w:p>
    <w:p>
      <w:pPr>
        <w:pStyle w:val="Compact"/>
        <w:numPr>
          <w:ilvl w:val="0"/>
          <w:numId w:val="1016"/>
        </w:numPr>
      </w:pPr>
      <w:r>
        <w:rPr>
          <w:rFonts w:hint="eastAsia"/>
        </w:rPr>
        <w:t xml:space="preserve">科技方向内部有强有弱判断：符合。</w:t>
      </w:r>
    </w:p>
    <w:p>
      <w:pPr>
        <w:pStyle w:val="Compact"/>
        <w:numPr>
          <w:ilvl w:val="0"/>
          <w:numId w:val="1016"/>
        </w:numPr>
      </w:pPr>
      <w:r>
        <w:rPr>
          <w:rFonts w:hint="eastAsia"/>
        </w:rPr>
        <w:t xml:space="preserve">房地产需要资金延续确认判断：符合。</w:t>
      </w:r>
    </w:p>
    <w:p>
      <w:pPr>
        <w:pStyle w:val="Compact"/>
        <w:numPr>
          <w:ilvl w:val="0"/>
          <w:numId w:val="1016"/>
        </w:numPr>
      </w:pPr>
      <w:r>
        <w:rPr>
          <w:rFonts w:hint="eastAsia"/>
        </w:rPr>
        <w:t xml:space="preserve">ETF及恐慌联合信号在午盘的实时延续：数据不足，暂不评分。</w:t>
      </w:r>
    </w:p>
    <w:p>
      <w:pPr>
        <w:pStyle w:val="Compact"/>
        <w:numPr>
          <w:ilvl w:val="0"/>
          <w:numId w:val="1016"/>
        </w:numPr>
      </w:pPr>
      <w:r>
        <w:rPr>
          <w:rFonts w:hint="eastAsia"/>
        </w:rPr>
        <w:t xml:space="preserve">盘前保守、不追高、等待右侧确认的交易纪律：仍然适用。</w:t>
      </w:r>
    </w:p>
    <w:bookmarkEnd w:id="27"/>
    <w:bookmarkEnd w:id="28"/>
    <w:bookmarkStart w:id="30" w:name="六市场风格仪表盘"/>
    <w:p>
      <w:pPr>
        <w:pStyle w:val="Heading2"/>
      </w:pPr>
      <w:r>
        <w:t xml:space="preserve">🎨 </w:t>
      </w:r>
      <w:r>
        <w:rPr>
          <w:rFonts w:hint="eastAsia"/>
        </w:rPr>
        <w:t xml:space="preserve">六、市场风格仪表盘</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维度</w:t>
            </w:r>
          </w:p>
        </w:tc>
        <w:tc>
          <w:tcPr/>
          <w:p>
            <w:pPr>
              <w:pStyle w:val="Compact"/>
            </w:pPr>
            <w:r>
              <w:rPr>
                <w:rFonts w:hint="eastAsia"/>
              </w:rPr>
              <w:t xml:space="preserve">午盘状态</w:t>
            </w:r>
          </w:p>
        </w:tc>
        <w:tc>
          <w:tcPr/>
          <w:p>
            <w:pPr>
              <w:pStyle w:val="Compact"/>
            </w:pPr>
            <w:r>
              <w:rPr>
                <w:rFonts w:hint="eastAsia"/>
              </w:rPr>
              <w:t xml:space="preserve">判断</w:t>
            </w:r>
          </w:p>
        </w:tc>
      </w:tr>
      <w:tr>
        <w:tc>
          <w:tcPr/>
          <w:p>
            <w:pPr>
              <w:pStyle w:val="Compact"/>
            </w:pPr>
            <w:r>
              <w:rPr>
                <w:rFonts w:hint="eastAsia"/>
              </w:rPr>
              <w:t xml:space="preserve">指数风格</w:t>
            </w:r>
          </w:p>
        </w:tc>
        <w:tc>
          <w:tcPr/>
          <w:p>
            <w:pPr>
              <w:pStyle w:val="Compact"/>
            </w:pPr>
            <w:r>
              <w:rPr>
                <w:rFonts w:hint="eastAsia"/>
              </w:rPr>
              <w:t xml:space="preserve">沪强深弱</w:t>
            </w:r>
          </w:p>
        </w:tc>
        <w:tc>
          <w:tcPr/>
          <w:p>
            <w:pPr>
              <w:pStyle w:val="Compact"/>
            </w:pPr>
            <w:r>
              <w:t xml:space="preserve">🟡 </w:t>
            </w:r>
            <w:r>
              <w:rPr>
                <w:rFonts w:hint="eastAsia"/>
              </w:rPr>
              <w:t xml:space="preserve">防御与权重相对占优</w:t>
            </w:r>
          </w:p>
        </w:tc>
      </w:tr>
      <w:tr>
        <w:tc>
          <w:tcPr/>
          <w:p>
            <w:pPr>
              <w:pStyle w:val="Compact"/>
            </w:pPr>
            <w:r>
              <w:rPr>
                <w:rFonts w:hint="eastAsia"/>
              </w:rPr>
              <w:t xml:space="preserve">成长风格</w:t>
            </w:r>
          </w:p>
        </w:tc>
        <w:tc>
          <w:tcPr/>
          <w:p>
            <w:pPr>
              <w:pStyle w:val="Compact"/>
            </w:pPr>
            <w:r>
              <w:rPr>
                <w:rFonts w:hint="eastAsia"/>
              </w:rPr>
              <w:t xml:space="preserve">科创50</w:t>
            </w:r>
            <w:r>
              <w:t xml:space="preserve"> -2.0854%</w:t>
            </w:r>
          </w:p>
        </w:tc>
        <w:tc>
          <w:tcPr/>
          <w:p>
            <w:pPr>
              <w:pStyle w:val="Compact"/>
            </w:pPr>
            <w:r>
              <w:t xml:space="preserve">🔴 </w:t>
            </w:r>
            <w:r>
              <w:rPr>
                <w:rFonts w:hint="eastAsia"/>
              </w:rPr>
              <w:t xml:space="preserve">明显承压</w:t>
            </w:r>
          </w:p>
        </w:tc>
      </w:tr>
      <w:tr>
        <w:tc>
          <w:tcPr/>
          <w:p>
            <w:pPr>
              <w:pStyle w:val="Compact"/>
            </w:pPr>
            <w:r>
              <w:rPr>
                <w:rFonts w:hint="eastAsia"/>
              </w:rPr>
              <w:t xml:space="preserve">市场广度</w:t>
            </w:r>
          </w:p>
        </w:tc>
        <w:tc>
          <w:tcPr/>
          <w:p>
            <w:pPr>
              <w:pStyle w:val="Compact"/>
            </w:pPr>
            <w:r>
              <w:rPr>
                <w:rFonts w:hint="eastAsia"/>
              </w:rPr>
              <w:t xml:space="preserve">上涨2623家、下跌2743家</w:t>
            </w:r>
          </w:p>
        </w:tc>
        <w:tc>
          <w:tcPr/>
          <w:p>
            <w:pPr>
              <w:pStyle w:val="Compact"/>
            </w:pPr>
            <w:r>
              <w:t xml:space="preserve">🟡 </w:t>
            </w:r>
            <w:r>
              <w:rPr>
                <w:rFonts w:hint="eastAsia"/>
              </w:rPr>
              <w:t xml:space="preserve">正常偏弱</w:t>
            </w:r>
          </w:p>
        </w:tc>
      </w:tr>
      <w:tr>
        <w:tc>
          <w:tcPr/>
          <w:p>
            <w:pPr>
              <w:pStyle w:val="Compact"/>
            </w:pPr>
            <w:r>
              <w:rPr>
                <w:rFonts w:hint="eastAsia"/>
              </w:rPr>
              <w:t xml:space="preserve">短线高度</w:t>
            </w:r>
          </w:p>
        </w:tc>
        <w:tc>
          <w:tcPr/>
          <w:p>
            <w:pPr>
              <w:pStyle w:val="Compact"/>
            </w:pPr>
            <w:r>
              <w:rPr>
                <w:rFonts w:hint="eastAsia"/>
              </w:rPr>
              <w:t xml:space="preserve">最高7板</w:t>
            </w:r>
          </w:p>
        </w:tc>
        <w:tc>
          <w:tcPr/>
          <w:p>
            <w:pPr>
              <w:pStyle w:val="Compact"/>
            </w:pPr>
            <w:r>
              <w:t xml:space="preserve">🟢 </w:t>
            </w:r>
            <w:r>
              <w:rPr>
                <w:rFonts w:hint="eastAsia"/>
              </w:rPr>
              <w:t xml:space="preserve">局部强势</w:t>
            </w:r>
          </w:p>
        </w:tc>
      </w:tr>
      <w:tr>
        <w:tc>
          <w:tcPr/>
          <w:p>
            <w:pPr>
              <w:pStyle w:val="Compact"/>
            </w:pPr>
            <w:r>
              <w:rPr>
                <w:rFonts w:hint="eastAsia"/>
              </w:rPr>
              <w:t xml:space="preserve">涨停生态</w:t>
            </w:r>
          </w:p>
        </w:tc>
        <w:tc>
          <w:tcPr/>
          <w:p>
            <w:pPr>
              <w:pStyle w:val="Compact"/>
            </w:pPr>
            <w:r>
              <w:rPr>
                <w:rFonts w:hint="eastAsia"/>
              </w:rPr>
              <w:t xml:space="preserve">45涨停、炸板率18.2%</w:t>
            </w:r>
          </w:p>
        </w:tc>
        <w:tc>
          <w:tcPr/>
          <w:p>
            <w:pPr>
              <w:pStyle w:val="Compact"/>
            </w:pPr>
            <w:r>
              <w:t xml:space="preserve">🟡 </w:t>
            </w:r>
            <w:r>
              <w:rPr>
                <w:rFonts w:hint="eastAsia"/>
              </w:rPr>
              <w:t xml:space="preserve">有赚钱效应但不一致</w:t>
            </w:r>
          </w:p>
        </w:tc>
      </w:tr>
      <w:tr>
        <w:tc>
          <w:tcPr/>
          <w:p>
            <w:pPr>
              <w:pStyle w:val="Compact"/>
            </w:pPr>
            <w:r>
              <w:rPr>
                <w:rFonts w:hint="eastAsia"/>
              </w:rPr>
              <w:t xml:space="preserve">资金集中度</w:t>
            </w:r>
          </w:p>
        </w:tc>
        <w:tc>
          <w:tcPr/>
          <w:p>
            <w:pPr>
              <w:pStyle w:val="Compact"/>
            </w:pPr>
            <w:r>
              <w:rPr>
                <w:rFonts w:hint="eastAsia"/>
              </w:rPr>
              <w:t xml:space="preserve">流入流出榜高度重叠</w:t>
            </w:r>
          </w:p>
        </w:tc>
        <w:tc>
          <w:tcPr/>
          <w:p>
            <w:pPr>
              <w:pStyle w:val="Compact"/>
            </w:pPr>
            <w:r>
              <w:t xml:space="preserve">🔴 </w:t>
            </w:r>
            <w:r>
              <w:rPr>
                <w:rFonts w:hint="eastAsia"/>
              </w:rPr>
              <w:t xml:space="preserve">高分歧</w:t>
            </w:r>
          </w:p>
        </w:tc>
      </w:tr>
      <w:tr>
        <w:tc>
          <w:tcPr/>
          <w:p>
            <w:pPr>
              <w:pStyle w:val="Compact"/>
            </w:pPr>
            <w:r>
              <w:rPr>
                <w:rFonts w:hint="eastAsia"/>
              </w:rPr>
              <w:t xml:space="preserve">行业扩散</w:t>
            </w:r>
          </w:p>
        </w:tc>
        <w:tc>
          <w:tcPr/>
          <w:p>
            <w:pPr>
              <w:pStyle w:val="Compact"/>
            </w:pPr>
            <w:r>
              <w:rPr>
                <w:rFonts w:hint="eastAsia"/>
              </w:rPr>
              <w:t xml:space="preserve">医疗、化学制剂、镍、白酒等流入</w:t>
            </w:r>
          </w:p>
        </w:tc>
        <w:tc>
          <w:tcPr/>
          <w:p>
            <w:pPr>
              <w:pStyle w:val="Compact"/>
            </w:pPr>
            <w:r>
              <w:t xml:space="preserve">🟡 </w:t>
            </w:r>
            <w:r>
              <w:rPr>
                <w:rFonts w:hint="eastAsia"/>
              </w:rPr>
              <w:t xml:space="preserve">主线不够集中</w:t>
            </w:r>
          </w:p>
        </w:tc>
      </w:tr>
      <w:tr>
        <w:tc>
          <w:tcPr/>
          <w:p>
            <w:pPr>
              <w:pStyle w:val="Compact"/>
            </w:pPr>
            <w:r>
              <w:rPr>
                <w:rFonts w:hint="eastAsia"/>
              </w:rPr>
              <w:t xml:space="preserve">科技链条</w:t>
            </w:r>
          </w:p>
        </w:tc>
        <w:tc>
          <w:tcPr/>
          <w:p>
            <w:pPr>
              <w:pStyle w:val="Compact"/>
            </w:pPr>
            <w:r>
              <w:rPr>
                <w:rFonts w:hint="eastAsia"/>
              </w:rPr>
              <w:t xml:space="preserve">集成电路设计、PCB、封测流出</w:t>
            </w:r>
          </w:p>
        </w:tc>
        <w:tc>
          <w:tcPr/>
          <w:p>
            <w:pPr>
              <w:pStyle w:val="Compact"/>
            </w:pPr>
            <w:r>
              <w:t xml:space="preserve">🔴 </w:t>
            </w:r>
            <w:r>
              <w:rPr>
                <w:rFonts w:hint="eastAsia"/>
              </w:rPr>
              <w:t xml:space="preserve">追涨风险较高</w:t>
            </w:r>
          </w:p>
        </w:tc>
      </w:tr>
    </w:tbl>
    <w:bookmarkStart w:id="29" w:name="行为金融观察"/>
    <w:p>
      <w:pPr>
        <w:pStyle w:val="Heading3"/>
      </w:pPr>
      <w:r>
        <w:t xml:space="preserve">🧠 </w:t>
      </w:r>
      <w:r>
        <w:rPr>
          <w:rFonts w:hint="eastAsia"/>
        </w:rPr>
        <w:t xml:space="preserve">行为金融观察</w:t>
      </w:r>
    </w:p>
    <w:p>
      <w:pPr>
        <w:pStyle w:val="FirstParagraph"/>
      </w:pPr>
      <w:r>
        <w:rPr>
          <w:rFonts w:hint="eastAsia"/>
        </w:rPr>
        <w:t xml:space="preserve">采集JSON未提供可直接引用的</w:t>
      </w:r>
      <w:r>
        <w:rPr>
          <w:rStyle w:val="VerbatimChar"/>
        </w:rPr>
        <w:t xml:space="preserve">derived.behavioral_finance_signals</w:t>
      </w:r>
      <w:r>
        <w:rPr>
          <w:rFonts w:hint="eastAsia"/>
        </w:rPr>
        <w:t xml:space="preserve">具体字段和评分，因此不对FOMO、亏损厌恶扩散、估值拥挤或换手拥挤作定量确认。</w:t>
      </w:r>
    </w:p>
    <w:p>
      <w:pPr>
        <w:pStyle w:val="BodyText"/>
      </w:pPr>
      <w:r>
        <w:rPr>
          <w:rFonts w:hint="eastAsia"/>
        </w:rPr>
        <w:t xml:space="preserve">从已核验盘面可观察到：</w:t>
      </w:r>
    </w:p>
    <w:p>
      <w:pPr>
        <w:pStyle w:val="Compact"/>
        <w:numPr>
          <w:ilvl w:val="0"/>
          <w:numId w:val="1017"/>
        </w:numPr>
      </w:pPr>
      <w:r>
        <w:rPr>
          <w:rFonts w:hint="eastAsia"/>
        </w:rPr>
        <w:t xml:space="preserve">科技核心股同时出现在流入与流出榜，容易诱发“资金仍在抢筹”的确认偏误。</w:t>
      </w:r>
    </w:p>
    <w:p>
      <w:pPr>
        <w:pStyle w:val="Compact"/>
        <w:numPr>
          <w:ilvl w:val="0"/>
          <w:numId w:val="1017"/>
        </w:numPr>
      </w:pPr>
      <w:r>
        <w:rPr>
          <w:rFonts w:hint="eastAsia"/>
        </w:rPr>
        <w:t xml:space="preserve">CPO、PCB等方向盘面表现与行业资金流向不一致，容易诱发追涨和锚定涨幅。</w:t>
      </w:r>
    </w:p>
    <w:p>
      <w:pPr>
        <w:pStyle w:val="Compact"/>
        <w:numPr>
          <w:ilvl w:val="0"/>
          <w:numId w:val="1017"/>
        </w:numPr>
      </w:pPr>
      <w:r>
        <w:rPr>
          <w:rFonts w:hint="eastAsia"/>
        </w:rPr>
        <w:t xml:space="preserve">房地产涨幅靠前但住宅开发净流出，不能因板块红盘而忽略资金撤离信号。</w:t>
      </w:r>
    </w:p>
    <w:p>
      <w:pPr>
        <w:pStyle w:val="Compact"/>
        <w:numPr>
          <w:ilvl w:val="0"/>
          <w:numId w:val="1017"/>
        </w:numPr>
      </w:pPr>
      <w:r>
        <w:rPr>
          <w:rFonts w:hint="eastAsia"/>
        </w:rPr>
        <w:t xml:space="preserve">45家涨停与7板高度保留了短线吸引力，但下跌家数多于上涨家数，不宜把局部强势扩展为全市场趋势反转。</w:t>
      </w:r>
    </w:p>
    <w:bookmarkEnd w:id="29"/>
    <w:bookmarkEnd w:id="30"/>
    <w:bookmarkStart w:id="34" w:name="七下午操作建议"/>
    <w:p>
      <w:pPr>
        <w:pStyle w:val="Heading2"/>
      </w:pPr>
      <w:r>
        <w:t xml:space="preserve">💡 </w:t>
      </w:r>
      <w:r>
        <w:rPr>
          <w:rFonts w:hint="eastAsia"/>
        </w:rPr>
        <w:t xml:space="preserve">七、下午操作建议</w:t>
      </w:r>
    </w:p>
    <w:bookmarkStart w:id="31" w:name="可参与方向只做确认后的低吸或突破"/>
    <w:p>
      <w:pPr>
        <w:pStyle w:val="Heading3"/>
      </w:pPr>
      <w:r>
        <w:t xml:space="preserve">🟢 </w:t>
      </w:r>
      <w:r>
        <w:rPr>
          <w:rFonts w:hint="eastAsia"/>
        </w:rPr>
        <w:t xml:space="preserve">可参与方向：只做确认后的低吸或突破</w:t>
      </w:r>
    </w:p>
    <w:p>
      <w:pPr>
        <w:pStyle w:val="Compact"/>
        <w:numPr>
          <w:ilvl w:val="0"/>
          <w:numId w:val="1018"/>
        </w:numPr>
      </w:pPr>
      <w:r>
        <w:rPr>
          <w:rFonts w:hint="eastAsia"/>
          <w:b/>
          <w:bCs/>
        </w:rPr>
        <w:t xml:space="preserve">医疗研发外包、化学制剂</w:t>
      </w:r>
    </w:p>
    <w:p>
      <w:pPr>
        <w:pStyle w:val="Compact"/>
        <w:numPr>
          <w:ilvl w:val="1"/>
          <w:numId w:val="1019"/>
        </w:numPr>
      </w:pPr>
      <w:r>
        <w:rPr>
          <w:rFonts w:hint="eastAsia"/>
        </w:rPr>
        <w:t xml:space="preserve">板块分别净流入20.49亿元和10.73亿元。</w:t>
      </w:r>
    </w:p>
    <w:p>
      <w:pPr>
        <w:pStyle w:val="Compact"/>
        <w:numPr>
          <w:ilvl w:val="1"/>
          <w:numId w:val="1019"/>
        </w:numPr>
      </w:pPr>
      <w:r>
        <w:rPr>
          <w:rFonts w:hint="eastAsia"/>
        </w:rPr>
        <w:t xml:space="preserve">下午需要观察资金是否继续流入，以及个股是否出现放量突破后回踩不破。</w:t>
      </w:r>
    </w:p>
    <w:p>
      <w:pPr>
        <w:pStyle w:val="Compact"/>
        <w:numPr>
          <w:ilvl w:val="1"/>
          <w:numId w:val="1019"/>
        </w:numPr>
      </w:pPr>
      <w:r>
        <w:rPr>
          <w:rFonts w:hint="eastAsia"/>
        </w:rPr>
        <w:t xml:space="preserve">不追已经快速拉升的个股，不以板块排名直接开仓。</w:t>
      </w:r>
    </w:p>
    <w:p>
      <w:pPr>
        <w:pStyle w:val="Compact"/>
        <w:numPr>
          <w:ilvl w:val="0"/>
          <w:numId w:val="1018"/>
        </w:numPr>
      </w:pPr>
      <w:r>
        <w:rPr>
          <w:rFonts w:hint="eastAsia"/>
          <w:b/>
          <w:bCs/>
        </w:rPr>
        <w:t xml:space="preserve">镍及电池化学品</w:t>
      </w:r>
    </w:p>
    <w:p>
      <w:pPr>
        <w:pStyle w:val="Compact"/>
        <w:numPr>
          <w:ilvl w:val="1"/>
          <w:numId w:val="1020"/>
        </w:numPr>
      </w:pPr>
      <w:r>
        <w:rPr>
          <w:rFonts w:hint="eastAsia"/>
        </w:rPr>
        <w:t xml:space="preserve">镍净流入10.34亿元，电池化学品净流入4.48亿元。</w:t>
      </w:r>
    </w:p>
    <w:p>
      <w:pPr>
        <w:pStyle w:val="Compact"/>
        <w:numPr>
          <w:ilvl w:val="1"/>
          <w:numId w:val="1020"/>
        </w:numPr>
      </w:pPr>
      <w:r>
        <w:rPr>
          <w:rFonts w:hint="eastAsia"/>
        </w:rPr>
        <w:t xml:space="preserve">需要确认有色金属、电池产业链能否出现更多个股同步走强。</w:t>
      </w:r>
    </w:p>
    <w:p>
      <w:pPr>
        <w:pStyle w:val="Compact"/>
        <w:numPr>
          <w:ilvl w:val="1"/>
          <w:numId w:val="1020"/>
        </w:numPr>
      </w:pPr>
      <w:r>
        <w:rPr>
          <w:rFonts w:hint="eastAsia"/>
        </w:rPr>
        <w:t xml:space="preserve">若只剩少数个股拉升、板块宽度不扩散，则按轮动行情处理。</w:t>
      </w:r>
    </w:p>
    <w:p>
      <w:pPr>
        <w:pStyle w:val="Compact"/>
        <w:numPr>
          <w:ilvl w:val="0"/>
          <w:numId w:val="1018"/>
        </w:numPr>
      </w:pPr>
      <w:r>
        <w:rPr>
          <w:rFonts w:hint="eastAsia"/>
          <w:b/>
          <w:bCs/>
        </w:rPr>
        <w:t xml:space="preserve">宽基ETF</w:t>
      </w:r>
    </w:p>
    <w:p>
      <w:pPr>
        <w:pStyle w:val="Compact"/>
        <w:numPr>
          <w:ilvl w:val="1"/>
          <w:numId w:val="1021"/>
        </w:numPr>
      </w:pPr>
      <w:r>
        <w:rPr>
          <w:rFonts w:hint="eastAsia"/>
        </w:rPr>
        <w:t xml:space="preserve">本次午盘没有新的份额变化数据，ETF资金流向暂缺资金确认。</w:t>
      </w:r>
    </w:p>
    <w:p>
      <w:pPr>
        <w:pStyle w:val="Compact"/>
        <w:numPr>
          <w:ilvl w:val="1"/>
          <w:numId w:val="1021"/>
        </w:numPr>
      </w:pPr>
      <w:r>
        <w:rPr>
          <w:rFonts w:hint="eastAsia"/>
        </w:rPr>
        <w:t xml:space="preserve">只能观察价格承接和成交额，不能把固定ETF池的成交额直接当作净申购。</w:t>
      </w:r>
    </w:p>
    <w:p>
      <w:pPr>
        <w:pStyle w:val="Compact"/>
        <w:numPr>
          <w:ilvl w:val="1"/>
          <w:numId w:val="1021"/>
        </w:numPr>
      </w:pPr>
      <w:r>
        <w:rPr>
          <w:rFonts w:hint="eastAsia"/>
        </w:rPr>
        <w:t xml:space="preserve">适合分批、低频、非追涨式配置，不适合午后冲高时一次性加仓。</w:t>
      </w:r>
    </w:p>
    <w:bookmarkEnd w:id="31"/>
    <w:bookmarkStart w:id="32" w:name="观察方向"/>
    <w:p>
      <w:pPr>
        <w:pStyle w:val="Heading3"/>
      </w:pPr>
      <w:r>
        <w:t xml:space="preserve">🟡 </w:t>
      </w:r>
      <w:r>
        <w:rPr>
          <w:rFonts w:hint="eastAsia"/>
        </w:rPr>
        <w:t xml:space="preserve">观察方向</w:t>
      </w:r>
    </w:p>
    <w:p>
      <w:pPr>
        <w:pStyle w:val="Compact"/>
        <w:numPr>
          <w:ilvl w:val="0"/>
          <w:numId w:val="1022"/>
        </w:numPr>
      </w:pPr>
      <w:r>
        <w:rPr>
          <w:rFonts w:hint="eastAsia"/>
        </w:rPr>
        <w:t xml:space="preserve">传媒：新华传媒7天7板、龙版传媒涨停，但高度股波动风险较高。</w:t>
      </w:r>
    </w:p>
    <w:p>
      <w:pPr>
        <w:pStyle w:val="Compact"/>
        <w:numPr>
          <w:ilvl w:val="0"/>
          <w:numId w:val="1022"/>
        </w:numPr>
      </w:pPr>
      <w:r>
        <w:rPr>
          <w:rFonts w:hint="eastAsia"/>
        </w:rPr>
        <w:t xml:space="preserve">房地产：板块上涨3.90%，但住宅开发净流出6.73亿元，等待资金重新转正。</w:t>
      </w:r>
    </w:p>
    <w:p>
      <w:pPr>
        <w:pStyle w:val="Compact"/>
        <w:numPr>
          <w:ilvl w:val="0"/>
          <w:numId w:val="1022"/>
        </w:numPr>
      </w:pPr>
      <w:r>
        <w:rPr>
          <w:rFonts w:hint="eastAsia"/>
        </w:rPr>
        <w:t xml:space="preserve">CPO与光通信：个股流入金额靠前，但光纤光缆净流出11.40亿元，等待行业资金改善。</w:t>
      </w:r>
    </w:p>
    <w:p>
      <w:pPr>
        <w:pStyle w:val="Compact"/>
        <w:numPr>
          <w:ilvl w:val="0"/>
          <w:numId w:val="1022"/>
        </w:numPr>
      </w:pPr>
      <w:r>
        <w:rPr>
          <w:rFonts w:hint="eastAsia"/>
        </w:rPr>
        <w:t xml:space="preserve">半导体与存储：个股榜活跃，但集成电路设计和半导体封测分别净流出60.49亿元和19.05亿元，暂不追涨。</w:t>
      </w:r>
    </w:p>
    <w:p>
      <w:pPr>
        <w:pStyle w:val="Compact"/>
        <w:numPr>
          <w:ilvl w:val="0"/>
          <w:numId w:val="1022"/>
        </w:numPr>
      </w:pPr>
      <w:r>
        <w:rPr>
          <w:rFonts w:hint="eastAsia"/>
        </w:rPr>
        <w:t xml:space="preserve">PCB：盘面涨幅与资金流出相冲突，等待资金榜修复。</w:t>
      </w:r>
    </w:p>
    <w:bookmarkEnd w:id="32"/>
    <w:bookmarkStart w:id="33" w:name="明确不做"/>
    <w:p>
      <w:pPr>
        <w:pStyle w:val="Heading3"/>
      </w:pPr>
      <w:r>
        <w:t xml:space="preserve">🔴 </w:t>
      </w:r>
      <w:r>
        <w:rPr>
          <w:rFonts w:hint="eastAsia"/>
        </w:rPr>
        <w:t xml:space="preserve">明确不做</w:t>
      </w:r>
    </w:p>
    <w:p>
      <w:pPr>
        <w:pStyle w:val="Compact"/>
        <w:numPr>
          <w:ilvl w:val="0"/>
          <w:numId w:val="1023"/>
        </w:numPr>
      </w:pPr>
      <w:r>
        <w:rPr>
          <w:rFonts w:hint="eastAsia"/>
        </w:rPr>
        <w:t xml:space="preserve">不追科创50下跌背景下的高位科技股反抽。</w:t>
      </w:r>
    </w:p>
    <w:p>
      <w:pPr>
        <w:pStyle w:val="Compact"/>
        <w:numPr>
          <w:ilvl w:val="0"/>
          <w:numId w:val="1023"/>
        </w:numPr>
      </w:pPr>
      <w:r>
        <w:rPr>
          <w:rFonts w:hint="eastAsia"/>
        </w:rPr>
        <w:t xml:space="preserve">不追资金流出排名靠前板块中的冲高股。</w:t>
      </w:r>
    </w:p>
    <w:p>
      <w:pPr>
        <w:pStyle w:val="Compact"/>
        <w:numPr>
          <w:ilvl w:val="0"/>
          <w:numId w:val="1023"/>
        </w:numPr>
      </w:pPr>
      <w:r>
        <w:rPr>
          <w:rFonts w:hint="eastAsia"/>
        </w:rPr>
        <w:t xml:space="preserve">不因寒武纪、中际旭创、新易盛等进入流入榜就忽略同时进入流出榜的事实。</w:t>
      </w:r>
    </w:p>
    <w:p>
      <w:pPr>
        <w:pStyle w:val="Compact"/>
        <w:numPr>
          <w:ilvl w:val="0"/>
          <w:numId w:val="1023"/>
        </w:numPr>
      </w:pPr>
      <w:r>
        <w:rPr>
          <w:rFonts w:hint="eastAsia"/>
        </w:rPr>
        <w:t xml:space="preserve">不做没有MA20、MA60、量比和ATR证伪参考的右侧个股交易。</w:t>
      </w:r>
    </w:p>
    <w:p>
      <w:pPr>
        <w:pStyle w:val="Compact"/>
        <w:numPr>
          <w:ilvl w:val="0"/>
          <w:numId w:val="1023"/>
        </w:numPr>
      </w:pPr>
      <w:r>
        <w:rPr>
          <w:rFonts w:hint="eastAsia"/>
        </w:rPr>
        <w:t xml:space="preserve">不把上午的涨停股全部视为下午可接力标的。</w:t>
      </w:r>
    </w:p>
    <w:bookmarkEnd w:id="33"/>
    <w:bookmarkEnd w:id="34"/>
    <w:bookmarkStart w:id="38" w:name="八下午仓位模型"/>
    <w:p>
      <w:pPr>
        <w:pStyle w:val="Heading2"/>
      </w:pPr>
      <w:r>
        <w:t xml:space="preserve">🧮 </w:t>
      </w:r>
      <w:r>
        <w:rPr>
          <w:rFonts w:hint="eastAsia"/>
        </w:rPr>
        <w:t xml:space="preserve">八、下午仓位模型</w:t>
      </w:r>
    </w:p>
    <w:p>
      <w:pPr>
        <w:pStyle w:val="FirstParagraph"/>
      </w:pPr>
      <w:r>
        <w:rPr>
          <w:rFonts w:hint="eastAsia"/>
        </w:rPr>
        <w:t xml:space="preserve">由于本次采集JSON未提供完整的</w:t>
      </w:r>
      <w:r>
        <w:rPr>
          <w:rStyle w:val="VerbatimChar"/>
        </w:rPr>
        <w:t xml:space="preserve">derived.position_model.turnover_metrics</w:t>
      </w:r>
      <w:r>
        <w:rPr>
          <w:rFonts w:hint="eastAsia"/>
        </w:rPr>
        <w:t xml:space="preserve">、当日ETF净申购及QVIX实时数据，下午仓位采用保守区间，不做激进上调。</w:t>
      </w:r>
    </w:p>
    <w:bookmarkStart w:id="35" w:name="基础档27"/>
    <w:p>
      <w:pPr>
        <w:pStyle w:val="Heading3"/>
      </w:pPr>
      <w:r>
        <w:t xml:space="preserve">🛡️ </w:t>
      </w:r>
      <w:r>
        <w:rPr>
          <w:rFonts w:hint="eastAsia"/>
        </w:rPr>
        <w:t xml:space="preserve">基础档：27%</w:t>
      </w:r>
    </w:p>
    <w:p>
      <w:pPr>
        <w:pStyle w:val="FirstParagraph"/>
      </w:pPr>
      <w:r>
        <w:rPr>
          <w:rFonts w:hint="eastAsia"/>
        </w:rPr>
        <w:t xml:space="preserve">适用条件：</w:t>
      </w:r>
    </w:p>
    <w:p>
      <w:pPr>
        <w:pStyle w:val="Compact"/>
        <w:numPr>
          <w:ilvl w:val="0"/>
          <w:numId w:val="1024"/>
        </w:numPr>
      </w:pPr>
      <w:r>
        <w:rPr>
          <w:rFonts w:hint="eastAsia"/>
        </w:rPr>
        <w:t xml:space="preserve">指数维持震荡；</w:t>
      </w:r>
    </w:p>
    <w:p>
      <w:pPr>
        <w:pStyle w:val="Compact"/>
        <w:numPr>
          <w:ilvl w:val="0"/>
          <w:numId w:val="1024"/>
        </w:numPr>
      </w:pPr>
      <w:r>
        <w:rPr>
          <w:rFonts w:hint="eastAsia"/>
        </w:rPr>
        <w:t xml:space="preserve">上涨家数继续低于下跌家数；</w:t>
      </w:r>
    </w:p>
    <w:p>
      <w:pPr>
        <w:pStyle w:val="Compact"/>
        <w:numPr>
          <w:ilvl w:val="0"/>
          <w:numId w:val="1024"/>
        </w:numPr>
      </w:pPr>
      <w:r>
        <w:rPr>
          <w:rFonts w:hint="eastAsia"/>
        </w:rPr>
        <w:t xml:space="preserve">科创50未收复午盘前关键位置；</w:t>
      </w:r>
    </w:p>
    <w:p>
      <w:pPr>
        <w:pStyle w:val="Compact"/>
        <w:numPr>
          <w:ilvl w:val="0"/>
          <w:numId w:val="1024"/>
        </w:numPr>
      </w:pPr>
      <w:r>
        <w:rPr>
          <w:rFonts w:hint="eastAsia"/>
        </w:rPr>
        <w:t xml:space="preserve">成交额未出现明确改善；</w:t>
      </w:r>
    </w:p>
    <w:p>
      <w:pPr>
        <w:pStyle w:val="Compact"/>
        <w:numPr>
          <w:ilvl w:val="0"/>
          <w:numId w:val="1024"/>
        </w:numPr>
      </w:pPr>
      <w:r>
        <w:rPr>
          <w:rFonts w:hint="eastAsia"/>
        </w:rPr>
        <w:t xml:space="preserve">科技核心股资金流向仍然冲突。</w:t>
      </w:r>
    </w:p>
    <w:p>
      <w:pPr>
        <w:pStyle w:val="FirstParagraph"/>
      </w:pPr>
      <w:r>
        <w:rPr>
          <w:rFonts w:hint="eastAsia"/>
        </w:rPr>
        <w:t xml:space="preserve">执行：</w:t>
      </w:r>
    </w:p>
    <w:p>
      <w:pPr>
        <w:pStyle w:val="Compact"/>
        <w:numPr>
          <w:ilvl w:val="0"/>
          <w:numId w:val="1025"/>
        </w:numPr>
      </w:pPr>
      <w:r>
        <w:rPr>
          <w:rFonts w:hint="eastAsia"/>
        </w:rPr>
        <w:t xml:space="preserve">以现金和已有趋势完好仓位为主。</w:t>
      </w:r>
    </w:p>
    <w:p>
      <w:pPr>
        <w:pStyle w:val="Compact"/>
        <w:numPr>
          <w:ilvl w:val="0"/>
          <w:numId w:val="1025"/>
        </w:numPr>
      </w:pPr>
      <w:r>
        <w:rPr>
          <w:rFonts w:hint="eastAsia"/>
        </w:rPr>
        <w:t xml:space="preserve">新增交易只考虑宽基或资金连续改善的低位方向。</w:t>
      </w:r>
    </w:p>
    <w:p>
      <w:pPr>
        <w:pStyle w:val="Compact"/>
        <w:numPr>
          <w:ilvl w:val="0"/>
          <w:numId w:val="1025"/>
        </w:numPr>
      </w:pPr>
      <w:r>
        <w:rPr>
          <w:rFonts w:hint="eastAsia"/>
        </w:rPr>
        <w:t xml:space="preserve">单一方向不超过总仓位10%。</w:t>
      </w:r>
    </w:p>
    <w:p>
      <w:pPr>
        <w:pStyle w:val="Compact"/>
        <w:numPr>
          <w:ilvl w:val="0"/>
          <w:numId w:val="1025"/>
        </w:numPr>
      </w:pPr>
      <w:r>
        <w:rPr>
          <w:rFonts w:hint="eastAsia"/>
        </w:rPr>
        <w:t xml:space="preserve">单一新标的不超过总仓位5%。</w:t>
      </w:r>
    </w:p>
    <w:bookmarkEnd w:id="35"/>
    <w:bookmarkStart w:id="36" w:name="确认档42"/>
    <w:p>
      <w:pPr>
        <w:pStyle w:val="Heading3"/>
      </w:pPr>
      <w:r>
        <w:t xml:space="preserve">⚖️ </w:t>
      </w:r>
      <w:r>
        <w:rPr>
          <w:rFonts w:hint="eastAsia"/>
        </w:rPr>
        <w:t xml:space="preserve">确认档：42%</w:t>
      </w:r>
    </w:p>
    <w:p>
      <w:pPr>
        <w:pStyle w:val="FirstParagraph"/>
      </w:pPr>
      <w:r>
        <w:rPr>
          <w:rFonts w:hint="eastAsia"/>
        </w:rPr>
        <w:t xml:space="preserve">只有同时满足以下条件，才考虑从27%上调：</w:t>
      </w:r>
    </w:p>
    <w:p>
      <w:pPr>
        <w:pStyle w:val="Compact"/>
        <w:numPr>
          <w:ilvl w:val="0"/>
          <w:numId w:val="1026"/>
        </w:numPr>
      </w:pPr>
      <w:r>
        <w:rPr>
          <w:rFonts w:hint="eastAsia"/>
        </w:rPr>
        <w:t xml:space="preserve">上证指数或沪深300下午继续走强；</w:t>
      </w:r>
    </w:p>
    <w:p>
      <w:pPr>
        <w:pStyle w:val="Compact"/>
        <w:numPr>
          <w:ilvl w:val="0"/>
          <w:numId w:val="1026"/>
        </w:numPr>
      </w:pPr>
      <w:r>
        <w:rPr>
          <w:rFonts w:hint="eastAsia"/>
        </w:rPr>
        <w:t xml:space="preserve">上涨家数重新超过下跌家数；</w:t>
      </w:r>
    </w:p>
    <w:p>
      <w:pPr>
        <w:pStyle w:val="Compact"/>
        <w:numPr>
          <w:ilvl w:val="0"/>
          <w:numId w:val="1026"/>
        </w:numPr>
      </w:pPr>
      <w:r>
        <w:rPr>
          <w:rFonts w:hint="eastAsia"/>
        </w:rPr>
        <w:t xml:space="preserve">全市场成交额按同口径显示明显改善；</w:t>
      </w:r>
    </w:p>
    <w:p>
      <w:pPr>
        <w:pStyle w:val="Compact"/>
        <w:numPr>
          <w:ilvl w:val="0"/>
          <w:numId w:val="1026"/>
        </w:numPr>
      </w:pPr>
      <w:r>
        <w:rPr>
          <w:rFonts w:hint="eastAsia"/>
        </w:rPr>
        <w:t xml:space="preserve">至少两个资金流入板块继续扩大；</w:t>
      </w:r>
    </w:p>
    <w:p>
      <w:pPr>
        <w:pStyle w:val="Compact"/>
        <w:numPr>
          <w:ilvl w:val="0"/>
          <w:numId w:val="1026"/>
        </w:numPr>
      </w:pPr>
      <w:r>
        <w:rPr>
          <w:rFonts w:hint="eastAsia"/>
        </w:rPr>
        <w:t xml:space="preserve">个股完成右侧技术确认，且不是单纯冲高；</w:t>
      </w:r>
    </w:p>
    <w:p>
      <w:pPr>
        <w:pStyle w:val="Compact"/>
        <w:numPr>
          <w:ilvl w:val="0"/>
          <w:numId w:val="1026"/>
        </w:numPr>
      </w:pPr>
      <w:r>
        <w:rPr>
          <w:rFonts w:hint="eastAsia"/>
        </w:rPr>
        <w:t xml:space="preserve">高位股炸板率不明显恶化。</w:t>
      </w:r>
    </w:p>
    <w:bookmarkEnd w:id="36"/>
    <w:bookmarkStart w:id="37" w:name="上限档50"/>
    <w:p>
      <w:pPr>
        <w:pStyle w:val="Heading3"/>
      </w:pPr>
      <w:r>
        <w:t xml:space="preserve">🚀 </w:t>
      </w:r>
      <w:r>
        <w:rPr>
          <w:rFonts w:hint="eastAsia"/>
        </w:rPr>
        <w:t xml:space="preserve">上限档：50%</w:t>
      </w:r>
    </w:p>
    <w:p>
      <w:pPr>
        <w:pStyle w:val="FirstParagraph"/>
      </w:pPr>
      <w:r>
        <w:rPr>
          <w:rFonts w:hint="eastAsia"/>
        </w:rPr>
        <w:t xml:space="preserve">当前不作为目标仓位，仅作为极强确认后的上限。</w:t>
      </w:r>
    </w:p>
    <w:p>
      <w:pPr>
        <w:pStyle w:val="BodyText"/>
      </w:pPr>
      <w:r>
        <w:rPr>
          <w:rFonts w:hint="eastAsia"/>
        </w:rPr>
        <w:t xml:space="preserve">必须同时满足：</w:t>
      </w:r>
    </w:p>
    <w:p>
      <w:pPr>
        <w:pStyle w:val="Compact"/>
        <w:numPr>
          <w:ilvl w:val="0"/>
          <w:numId w:val="1027"/>
        </w:numPr>
      </w:pPr>
      <w:r>
        <w:rPr>
          <w:rFonts w:hint="eastAsia"/>
        </w:rPr>
        <w:t xml:space="preserve">指数、市场宽度和成交额同步改善；</w:t>
      </w:r>
    </w:p>
    <w:p>
      <w:pPr>
        <w:pStyle w:val="Compact"/>
        <w:numPr>
          <w:ilvl w:val="0"/>
          <w:numId w:val="1027"/>
        </w:numPr>
      </w:pPr>
      <w:r>
        <w:rPr>
          <w:rFonts w:hint="eastAsia"/>
        </w:rPr>
        <w:t xml:space="preserve">科技或医药、电池等方向出现板块扩散；</w:t>
      </w:r>
    </w:p>
    <w:p>
      <w:pPr>
        <w:pStyle w:val="Compact"/>
        <w:numPr>
          <w:ilvl w:val="0"/>
          <w:numId w:val="1027"/>
        </w:numPr>
      </w:pPr>
      <w:r>
        <w:rPr>
          <w:rFonts w:hint="eastAsia"/>
        </w:rPr>
        <w:t xml:space="preserve">资金榜不再出现核心个股大规模双向冲突；</w:t>
      </w:r>
    </w:p>
    <w:p>
      <w:pPr>
        <w:pStyle w:val="Compact"/>
        <w:numPr>
          <w:ilvl w:val="0"/>
          <w:numId w:val="1027"/>
        </w:numPr>
      </w:pPr>
      <w:r>
        <w:rPr>
          <w:rFonts w:hint="eastAsia"/>
        </w:rPr>
        <w:t xml:space="preserve">核心标的重新站回关键均线；</w:t>
      </w:r>
    </w:p>
    <w:p>
      <w:pPr>
        <w:pStyle w:val="Compact"/>
        <w:numPr>
          <w:ilvl w:val="0"/>
          <w:numId w:val="1027"/>
        </w:numPr>
      </w:pPr>
      <w:r>
        <w:rPr>
          <w:rFonts w:hint="eastAsia"/>
        </w:rPr>
        <w:t xml:space="preserve">突破后回踩不破，且量价配合。</w:t>
      </w:r>
    </w:p>
    <w:p>
      <w:pPr>
        <w:pStyle w:val="FirstParagraph"/>
      </w:pPr>
      <w:r>
        <w:rPr>
          <w:rFonts w:hint="eastAsia"/>
          <w:b/>
          <w:bCs/>
        </w:rPr>
        <w:t xml:space="preserve">当前午盘默认仓位：27%。</w:t>
      </w:r>
    </w:p>
    <w:bookmarkEnd w:id="37"/>
    <w:bookmarkEnd w:id="38"/>
    <w:bookmarkStart w:id="42" w:name="九下午投资方向分层"/>
    <w:p>
      <w:pPr>
        <w:pStyle w:val="Heading2"/>
      </w:pPr>
      <w:r>
        <w:t xml:space="preserve">🧭 </w:t>
      </w:r>
      <w:r>
        <w:rPr>
          <w:rFonts w:hint="eastAsia"/>
        </w:rPr>
        <w:t xml:space="preserve">九、下午投资方向分层</w:t>
      </w:r>
    </w:p>
    <w:bookmarkStart w:id="39" w:name="a层可观察等待确认"/>
    <w:p>
      <w:pPr>
        <w:pStyle w:val="Heading3"/>
      </w:pPr>
      <w:r>
        <w:t xml:space="preserve">🟢 </w:t>
      </w:r>
      <w:r>
        <w:rPr>
          <w:rFonts w:hint="eastAsia"/>
        </w:rPr>
        <w:t xml:space="preserve">A层：可观察、等待确认</w:t>
      </w:r>
    </w:p>
    <w:p>
      <w:pPr>
        <w:pStyle w:val="Compact"/>
        <w:numPr>
          <w:ilvl w:val="0"/>
          <w:numId w:val="1028"/>
        </w:numPr>
      </w:pPr>
      <w:r>
        <w:rPr>
          <w:rFonts w:hint="eastAsia"/>
        </w:rPr>
        <w:t xml:space="preserve">医疗研发外包</w:t>
      </w:r>
    </w:p>
    <w:p>
      <w:pPr>
        <w:pStyle w:val="Compact"/>
        <w:numPr>
          <w:ilvl w:val="0"/>
          <w:numId w:val="1028"/>
        </w:numPr>
      </w:pPr>
      <w:r>
        <w:rPr>
          <w:rFonts w:hint="eastAsia"/>
        </w:rPr>
        <w:t xml:space="preserve">化学制剂</w:t>
      </w:r>
    </w:p>
    <w:p>
      <w:pPr>
        <w:pStyle w:val="Compact"/>
        <w:numPr>
          <w:ilvl w:val="0"/>
          <w:numId w:val="1028"/>
        </w:numPr>
      </w:pPr>
      <w:r>
        <w:rPr>
          <w:rFonts w:hint="eastAsia"/>
        </w:rPr>
        <w:t xml:space="preserve">镍</w:t>
      </w:r>
    </w:p>
    <w:p>
      <w:pPr>
        <w:pStyle w:val="Compact"/>
        <w:numPr>
          <w:ilvl w:val="0"/>
          <w:numId w:val="1028"/>
        </w:numPr>
      </w:pPr>
      <w:r>
        <w:rPr>
          <w:rFonts w:hint="eastAsia"/>
        </w:rPr>
        <w:t xml:space="preserve">电池化学品</w:t>
      </w:r>
    </w:p>
    <w:p>
      <w:pPr>
        <w:pStyle w:val="Compact"/>
        <w:numPr>
          <w:ilvl w:val="0"/>
          <w:numId w:val="1028"/>
        </w:numPr>
      </w:pPr>
      <w:r>
        <w:rPr>
          <w:rFonts w:hint="eastAsia"/>
        </w:rPr>
        <w:t xml:space="preserve">宽基ETF价格承接</w:t>
      </w:r>
    </w:p>
    <w:p>
      <w:pPr>
        <w:pStyle w:val="FirstParagraph"/>
      </w:pPr>
      <w:r>
        <w:rPr>
          <w:rFonts w:hint="eastAsia"/>
        </w:rPr>
        <w:t xml:space="preserve">共同条件：</w:t>
      </w:r>
    </w:p>
    <w:p>
      <w:pPr>
        <w:pStyle w:val="Compact"/>
        <w:numPr>
          <w:ilvl w:val="0"/>
          <w:numId w:val="1029"/>
        </w:numPr>
      </w:pPr>
      <w:r>
        <w:rPr>
          <w:rFonts w:hint="eastAsia"/>
        </w:rPr>
        <w:t xml:space="preserve">下午资金继续净流入；</w:t>
      </w:r>
    </w:p>
    <w:p>
      <w:pPr>
        <w:pStyle w:val="Compact"/>
        <w:numPr>
          <w:ilvl w:val="0"/>
          <w:numId w:val="1029"/>
        </w:numPr>
      </w:pPr>
      <w:r>
        <w:rPr>
          <w:rFonts w:hint="eastAsia"/>
        </w:rPr>
        <w:t xml:space="preserve">板块上涨家数扩散；</w:t>
      </w:r>
    </w:p>
    <w:p>
      <w:pPr>
        <w:pStyle w:val="Compact"/>
        <w:numPr>
          <w:ilvl w:val="0"/>
          <w:numId w:val="1029"/>
        </w:numPr>
      </w:pPr>
      <w:r>
        <w:rPr>
          <w:rFonts w:hint="eastAsia"/>
        </w:rPr>
        <w:t xml:space="preserve">龙头不出现放量冲高回落；</w:t>
      </w:r>
    </w:p>
    <w:p>
      <w:pPr>
        <w:pStyle w:val="Compact"/>
        <w:numPr>
          <w:ilvl w:val="0"/>
          <w:numId w:val="1029"/>
        </w:numPr>
      </w:pPr>
      <w:r>
        <w:rPr>
          <w:rFonts w:hint="eastAsia"/>
        </w:rPr>
        <w:t xml:space="preserve">个股通过右侧趋势确认。</w:t>
      </w:r>
    </w:p>
    <w:bookmarkEnd w:id="39"/>
    <w:bookmarkStart w:id="40" w:name="b层只观察不追涨"/>
    <w:p>
      <w:pPr>
        <w:pStyle w:val="Heading3"/>
      </w:pPr>
      <w:r>
        <w:t xml:space="preserve">🟡 </w:t>
      </w:r>
      <w:r>
        <w:rPr>
          <w:rFonts w:hint="eastAsia"/>
        </w:rPr>
        <w:t xml:space="preserve">B层：只观察，不追涨</w:t>
      </w:r>
    </w:p>
    <w:p>
      <w:pPr>
        <w:pStyle w:val="Compact"/>
        <w:numPr>
          <w:ilvl w:val="0"/>
          <w:numId w:val="1030"/>
        </w:numPr>
      </w:pPr>
      <w:r>
        <w:rPr>
          <w:rFonts w:hint="eastAsia"/>
        </w:rPr>
        <w:t xml:space="preserve">房地产</w:t>
      </w:r>
    </w:p>
    <w:p>
      <w:pPr>
        <w:pStyle w:val="Compact"/>
        <w:numPr>
          <w:ilvl w:val="0"/>
          <w:numId w:val="1030"/>
        </w:numPr>
      </w:pPr>
      <w:r>
        <w:rPr>
          <w:rFonts w:hint="eastAsia"/>
        </w:rPr>
        <w:t xml:space="preserve">传媒</w:t>
      </w:r>
    </w:p>
    <w:p>
      <w:pPr>
        <w:pStyle w:val="Compact"/>
        <w:numPr>
          <w:ilvl w:val="0"/>
          <w:numId w:val="1030"/>
        </w:numPr>
      </w:pPr>
      <w:r>
        <w:t xml:space="preserve">CPO</w:t>
      </w:r>
    </w:p>
    <w:p>
      <w:pPr>
        <w:pStyle w:val="Compact"/>
        <w:numPr>
          <w:ilvl w:val="0"/>
          <w:numId w:val="1030"/>
        </w:numPr>
      </w:pPr>
      <w:r>
        <w:rPr>
          <w:rFonts w:hint="eastAsia"/>
        </w:rPr>
        <w:t xml:space="preserve">光学元件</w:t>
      </w:r>
    </w:p>
    <w:p>
      <w:pPr>
        <w:pStyle w:val="Compact"/>
        <w:numPr>
          <w:ilvl w:val="0"/>
          <w:numId w:val="1030"/>
        </w:numPr>
      </w:pPr>
      <w:r>
        <w:rPr>
          <w:rFonts w:hint="eastAsia"/>
        </w:rPr>
        <w:t xml:space="preserve">通信终端及配件</w:t>
      </w:r>
    </w:p>
    <w:p>
      <w:pPr>
        <w:pStyle w:val="Compact"/>
        <w:numPr>
          <w:ilvl w:val="0"/>
          <w:numId w:val="1030"/>
        </w:numPr>
      </w:pPr>
      <w:r>
        <w:rPr>
          <w:rFonts w:hint="eastAsia"/>
        </w:rPr>
        <w:t xml:space="preserve">白酒</w:t>
      </w:r>
    </w:p>
    <w:p>
      <w:pPr>
        <w:pStyle w:val="FirstParagraph"/>
      </w:pPr>
      <w:r>
        <w:rPr>
          <w:rFonts w:hint="eastAsia"/>
        </w:rPr>
        <w:t xml:space="preserve">这些方向有价格或资金亮点，但板块内部存在资金分歧，需等待下午进一步确认。</w:t>
      </w:r>
    </w:p>
    <w:bookmarkEnd w:id="40"/>
    <w:bookmarkStart w:id="41" w:name="c层回避或等待修复"/>
    <w:p>
      <w:pPr>
        <w:pStyle w:val="Heading3"/>
      </w:pPr>
      <w:r>
        <w:t xml:space="preserve">🔴 </w:t>
      </w:r>
      <w:r>
        <w:rPr>
          <w:rFonts w:hint="eastAsia"/>
        </w:rPr>
        <w:t xml:space="preserve">C层：回避或等待修复</w:t>
      </w:r>
    </w:p>
    <w:p>
      <w:pPr>
        <w:pStyle w:val="Compact"/>
        <w:numPr>
          <w:ilvl w:val="0"/>
          <w:numId w:val="1031"/>
        </w:numPr>
      </w:pPr>
      <w:r>
        <w:rPr>
          <w:rFonts w:hint="eastAsia"/>
        </w:rPr>
        <w:t xml:space="preserve">集成电路设计</w:t>
      </w:r>
    </w:p>
    <w:p>
      <w:pPr>
        <w:pStyle w:val="Compact"/>
        <w:numPr>
          <w:ilvl w:val="0"/>
          <w:numId w:val="1031"/>
        </w:numPr>
      </w:pPr>
      <w:r>
        <w:t xml:space="preserve">PCB</w:t>
      </w:r>
    </w:p>
    <w:p>
      <w:pPr>
        <w:pStyle w:val="Compact"/>
        <w:numPr>
          <w:ilvl w:val="0"/>
          <w:numId w:val="1031"/>
        </w:numPr>
      </w:pPr>
      <w:r>
        <w:rPr>
          <w:rFonts w:hint="eastAsia"/>
        </w:rPr>
        <w:t xml:space="preserve">半导体封测</w:t>
      </w:r>
    </w:p>
    <w:p>
      <w:pPr>
        <w:pStyle w:val="Compact"/>
        <w:numPr>
          <w:ilvl w:val="0"/>
          <w:numId w:val="1031"/>
        </w:numPr>
      </w:pPr>
      <w:r>
        <w:rPr>
          <w:rFonts w:hint="eastAsia"/>
        </w:rPr>
        <w:t xml:space="preserve">光纤光缆</w:t>
      </w:r>
    </w:p>
    <w:p>
      <w:pPr>
        <w:pStyle w:val="Compact"/>
        <w:numPr>
          <w:ilvl w:val="0"/>
          <w:numId w:val="1031"/>
        </w:numPr>
      </w:pPr>
      <w:r>
        <w:rPr>
          <w:rFonts w:hint="eastAsia"/>
        </w:rPr>
        <w:t xml:space="preserve">行业应用软件</w:t>
      </w:r>
    </w:p>
    <w:p>
      <w:pPr>
        <w:pStyle w:val="Compact"/>
        <w:numPr>
          <w:ilvl w:val="0"/>
          <w:numId w:val="1031"/>
        </w:numPr>
      </w:pPr>
      <w:r>
        <w:rPr>
          <w:rFonts w:hint="eastAsia"/>
        </w:rPr>
        <w:t xml:space="preserve">其他IT设备</w:t>
      </w:r>
    </w:p>
    <w:p>
      <w:pPr>
        <w:pStyle w:val="Compact"/>
        <w:numPr>
          <w:ilvl w:val="0"/>
          <w:numId w:val="1031"/>
        </w:numPr>
      </w:pPr>
      <w:r>
        <w:rPr>
          <w:rFonts w:hint="eastAsia"/>
        </w:rPr>
        <w:t xml:space="preserve">互联网广告</w:t>
      </w:r>
    </w:p>
    <w:p>
      <w:pPr>
        <w:pStyle w:val="Compact"/>
        <w:numPr>
          <w:ilvl w:val="0"/>
          <w:numId w:val="1031"/>
        </w:numPr>
      </w:pPr>
      <w:r>
        <w:rPr>
          <w:rFonts w:hint="eastAsia"/>
        </w:rPr>
        <w:t xml:space="preserve">消费电子组件</w:t>
      </w:r>
    </w:p>
    <w:p>
      <w:pPr>
        <w:pStyle w:val="Compact"/>
        <w:numPr>
          <w:ilvl w:val="0"/>
          <w:numId w:val="1031"/>
        </w:numPr>
      </w:pPr>
      <w:r>
        <w:rPr>
          <w:rFonts w:hint="eastAsia"/>
        </w:rPr>
        <w:t xml:space="preserve">住宅开发</w:t>
      </w:r>
    </w:p>
    <w:p>
      <w:pPr>
        <w:pStyle w:val="FirstParagraph"/>
      </w:pPr>
      <w:r>
        <w:rPr>
          <w:rFonts w:hint="eastAsia"/>
        </w:rPr>
        <w:t xml:space="preserve">资金流出规模较大，除非下午出现明确的资金回流与趋势修复，否则不做主动进攻。</w:t>
      </w:r>
    </w:p>
    <w:bookmarkEnd w:id="41"/>
    <w:bookmarkEnd w:id="42"/>
    <w:bookmarkStart w:id="43" w:name="十下午回避清单"/>
    <w:p>
      <w:pPr>
        <w:pStyle w:val="Heading2"/>
      </w:pPr>
      <w:r>
        <w:t xml:space="preserve">🚫 </w:t>
      </w:r>
      <w:r>
        <w:rPr>
          <w:rFonts w:hint="eastAsia"/>
        </w:rPr>
        <w:t xml:space="preserve">十、下午回避清单</w:t>
      </w:r>
    </w:p>
    <w:p>
      <w:pPr>
        <w:pStyle w:val="Compact"/>
        <w:numPr>
          <w:ilvl w:val="0"/>
          <w:numId w:val="1032"/>
        </w:numPr>
      </w:pPr>
      <w:r>
        <w:rPr>
          <w:rFonts w:hint="eastAsia"/>
          <w:b/>
          <w:bCs/>
        </w:rPr>
        <w:t xml:space="preserve">集成电路设计流出第一名</w:t>
      </w:r>
      <w:r>
        <w:rPr>
          <w:rFonts w:hint="eastAsia"/>
        </w:rPr>
        <w:t xml:space="preserve">：净流出60.49亿元。</w:t>
      </w:r>
    </w:p>
    <w:p>
      <w:pPr>
        <w:pStyle w:val="Compact"/>
        <w:numPr>
          <w:ilvl w:val="0"/>
          <w:numId w:val="1032"/>
        </w:numPr>
      </w:pPr>
      <w:r>
        <w:rPr>
          <w:rFonts w:hint="eastAsia"/>
          <w:b/>
          <w:bCs/>
        </w:rPr>
        <w:t xml:space="preserve">PCB冲高追涨</w:t>
      </w:r>
      <w:r>
        <w:rPr>
          <w:rFonts w:hint="eastAsia"/>
        </w:rPr>
        <w:t xml:space="preserve">：盘面表现与净流出28.76亿元相冲突。</w:t>
      </w:r>
    </w:p>
    <w:p>
      <w:pPr>
        <w:pStyle w:val="Compact"/>
        <w:numPr>
          <w:ilvl w:val="0"/>
          <w:numId w:val="1032"/>
        </w:numPr>
      </w:pPr>
      <w:r>
        <w:rPr>
          <w:rFonts w:hint="eastAsia"/>
          <w:b/>
          <w:bCs/>
        </w:rPr>
        <w:t xml:space="preserve">半导体封测弱修复</w:t>
      </w:r>
      <w:r>
        <w:rPr>
          <w:rFonts w:hint="eastAsia"/>
        </w:rPr>
        <w:t xml:space="preserve">：净流出19.05亿元，科创50同步下跌2.0854%。</w:t>
      </w:r>
    </w:p>
    <w:p>
      <w:pPr>
        <w:pStyle w:val="Compact"/>
        <w:numPr>
          <w:ilvl w:val="0"/>
          <w:numId w:val="1032"/>
        </w:numPr>
      </w:pPr>
      <w:r>
        <w:rPr>
          <w:rFonts w:hint="eastAsia"/>
          <w:b/>
          <w:bCs/>
        </w:rPr>
        <w:t xml:space="preserve">光纤光缆追涨</w:t>
      </w:r>
      <w:r>
        <w:rPr>
          <w:rFonts w:hint="eastAsia"/>
        </w:rPr>
        <w:t xml:space="preserve">：板块净流出11.40亿元。</w:t>
      </w:r>
    </w:p>
    <w:p>
      <w:pPr>
        <w:pStyle w:val="Compact"/>
        <w:numPr>
          <w:ilvl w:val="0"/>
          <w:numId w:val="1032"/>
        </w:numPr>
      </w:pPr>
      <w:r>
        <w:rPr>
          <w:rFonts w:hint="eastAsia"/>
          <w:b/>
          <w:bCs/>
        </w:rPr>
        <w:t xml:space="preserve">住宅开发盲目追高</w:t>
      </w:r>
      <w:r>
        <w:rPr>
          <w:rFonts w:hint="eastAsia"/>
        </w:rPr>
        <w:t xml:space="preserve">：板块上涨但净流出6.73亿元。</w:t>
      </w:r>
    </w:p>
    <w:p>
      <w:pPr>
        <w:pStyle w:val="Compact"/>
        <w:numPr>
          <w:ilvl w:val="0"/>
          <w:numId w:val="1032"/>
        </w:numPr>
      </w:pPr>
      <w:r>
        <w:rPr>
          <w:rFonts w:hint="eastAsia"/>
          <w:b/>
          <w:bCs/>
        </w:rPr>
        <w:t xml:space="preserve">寒武纪、中际旭创、新易盛等双榜个股</w:t>
      </w:r>
      <w:r>
        <w:rPr>
          <w:rFonts w:hint="eastAsia"/>
        </w:rPr>
        <w:t xml:space="preserve">：流入与流出方向冲突，等待净方向明确。</w:t>
      </w:r>
    </w:p>
    <w:p>
      <w:pPr>
        <w:pStyle w:val="Compact"/>
        <w:numPr>
          <w:ilvl w:val="0"/>
          <w:numId w:val="1032"/>
        </w:numPr>
      </w:pPr>
      <w:r>
        <w:rPr>
          <w:rFonts w:hint="eastAsia"/>
          <w:b/>
          <w:bCs/>
        </w:rPr>
        <w:t xml:space="preserve">亨通光电、兆易创新、宁德时代等资金压力股</w:t>
      </w:r>
      <w:r>
        <w:rPr>
          <w:rFonts w:hint="eastAsia"/>
        </w:rPr>
        <w:t xml:space="preserve">：流出榜金额较大，不因个股局部反弹追入。</w:t>
      </w:r>
    </w:p>
    <w:p>
      <w:pPr>
        <w:pStyle w:val="Compact"/>
        <w:numPr>
          <w:ilvl w:val="0"/>
          <w:numId w:val="1032"/>
        </w:numPr>
      </w:pPr>
      <w:r>
        <w:rPr>
          <w:rFonts w:hint="eastAsia"/>
          <w:b/>
          <w:bCs/>
        </w:rPr>
        <w:t xml:space="preserve">高位连板股无量接力</w:t>
      </w:r>
      <w:r>
        <w:rPr>
          <w:rFonts w:hint="eastAsia"/>
        </w:rPr>
        <w:t xml:space="preserve">：7板高度仍在，但炸板率为18.2%，不适合无条件接力。</w:t>
      </w:r>
    </w:p>
    <w:p>
      <w:pPr>
        <w:pStyle w:val="Compact"/>
        <w:numPr>
          <w:ilvl w:val="0"/>
          <w:numId w:val="1032"/>
        </w:numPr>
      </w:pPr>
      <w:r>
        <w:rPr>
          <w:rFonts w:hint="eastAsia"/>
          <w:b/>
          <w:bCs/>
        </w:rPr>
        <w:t xml:space="preserve">没有技术评级的重点股</w:t>
      </w:r>
      <w:r>
        <w:rPr>
          <w:rFonts w:hint="eastAsia"/>
        </w:rPr>
        <w:t xml:space="preserve">：本次JSON未提供完整</w:t>
      </w:r>
      <w:r>
        <w:rPr>
          <w:rStyle w:val="VerbatimChar"/>
        </w:rPr>
        <w:t xml:space="preserve">derived.tickflow_technical</w:t>
      </w:r>
      <w:r>
        <w:rPr>
          <w:rFonts w:hint="eastAsia"/>
        </w:rPr>
        <w:t xml:space="preserve">结果，不能补写A/B/C/D评级、MA20、MA60或ATR数值。</w:t>
      </w:r>
    </w:p>
    <w:p>
      <w:pPr>
        <w:pStyle w:val="Compact"/>
        <w:numPr>
          <w:ilvl w:val="0"/>
          <w:numId w:val="1032"/>
        </w:numPr>
      </w:pPr>
      <w:r>
        <w:rPr>
          <w:rFonts w:hint="eastAsia"/>
          <w:b/>
          <w:bCs/>
        </w:rPr>
        <w:t xml:space="preserve">把ETF成交额当净申购</w:t>
      </w:r>
      <w:r>
        <w:rPr>
          <w:rFonts w:hint="eastAsia"/>
        </w:rPr>
        <w:t xml:space="preserve">：固定ETF池只提供价格和成交额，未提供当日份额变化，净申购暂缺确认。</w:t>
      </w:r>
    </w:p>
    <w:bookmarkEnd w:id="43"/>
    <w:bookmarkStart w:id="44" w:name="十一风险提示"/>
    <w:p>
      <w:pPr>
        <w:pStyle w:val="Heading2"/>
      </w:pPr>
      <w:r>
        <w:t xml:space="preserve">⚠️ </w:t>
      </w:r>
      <w:r>
        <w:rPr>
          <w:rFonts w:hint="eastAsia"/>
        </w:rPr>
        <w:t xml:space="preserve">十一、风险提示</w:t>
      </w:r>
    </w:p>
    <w:p>
      <w:pPr>
        <w:pStyle w:val="Compact"/>
        <w:numPr>
          <w:ilvl w:val="0"/>
          <w:numId w:val="1033"/>
        </w:numPr>
      </w:pPr>
      <w:r>
        <w:rPr>
          <w:rFonts w:hint="eastAsia"/>
        </w:rPr>
        <w:t xml:space="preserve">午盘数据截至11:45，下午收盘前涨跌停、资金榜、成交额和板块排名仍可能发生变化。</w:t>
      </w:r>
    </w:p>
    <w:p>
      <w:pPr>
        <w:pStyle w:val="Compact"/>
        <w:numPr>
          <w:ilvl w:val="0"/>
          <w:numId w:val="1033"/>
        </w:numPr>
      </w:pPr>
      <w:r>
        <w:rPr>
          <w:rFonts w:hint="eastAsia"/>
        </w:rPr>
        <w:t xml:space="preserve">资金四榜来源为行业聚合派生数据，行业口径为申万二级行业，不等同于华泰原生行业榜或东财f62。</w:t>
      </w:r>
    </w:p>
    <w:p>
      <w:pPr>
        <w:pStyle w:val="Compact"/>
        <w:numPr>
          <w:ilvl w:val="0"/>
          <w:numId w:val="1033"/>
        </w:numPr>
      </w:pPr>
      <w:r>
        <w:rPr>
          <w:rFonts w:hint="eastAsia"/>
        </w:rPr>
        <w:t xml:space="preserve">部分个股同时出现在流入榜和流出榜，不应直接根据单向榜单得出买卖结论。</w:t>
      </w:r>
    </w:p>
    <w:p>
      <w:pPr>
        <w:pStyle w:val="Compact"/>
        <w:numPr>
          <w:ilvl w:val="0"/>
          <w:numId w:val="1033"/>
        </w:numPr>
      </w:pPr>
      <w:r>
        <w:rPr>
          <w:rFonts w:hint="eastAsia"/>
        </w:rPr>
        <w:t xml:space="preserve">妙想增强、TickFlow技术评级、QVIX和当日ETF份额流向的具体字段未在本次采集JSON中提供，相关结论只能标记为暂缺确认，不补数。</w:t>
      </w:r>
    </w:p>
    <w:p>
      <w:pPr>
        <w:pStyle w:val="Compact"/>
        <w:numPr>
          <w:ilvl w:val="0"/>
          <w:numId w:val="1033"/>
        </w:numPr>
      </w:pPr>
      <w:r>
        <w:rPr>
          <w:rFonts w:hint="eastAsia"/>
        </w:rPr>
        <w:t xml:space="preserve">午盘预测全天成交额为14744.58亿元，属于预测值，不能当作最终成交额。</w:t>
      </w:r>
    </w:p>
    <w:p>
      <w:pPr>
        <w:pStyle w:val="Compact"/>
        <w:numPr>
          <w:ilvl w:val="0"/>
          <w:numId w:val="1033"/>
        </w:numPr>
      </w:pPr>
      <w:r>
        <w:rPr>
          <w:rFonts w:hint="eastAsia"/>
        </w:rPr>
        <w:t xml:space="preserve">本报告不把指数红盘等同于趋势反转，也不把局部涨停等同于市场全面回暖。</w:t>
      </w:r>
    </w:p>
    <w:p>
      <w:pPr>
        <w:pStyle w:val="Compact"/>
        <w:numPr>
          <w:ilvl w:val="0"/>
          <w:numId w:val="1033"/>
        </w:numPr>
      </w:pPr>
      <w:r>
        <w:rPr>
          <w:rFonts w:hint="eastAsia"/>
        </w:rPr>
        <w:t xml:space="preserve">A/B/C/D、MA20、MA60、ATR及明确失效位在本次午盘采集JSON中未提供，无法对重点股生成新的技术评级。</w:t>
      </w:r>
    </w:p>
    <w:bookmarkEnd w:id="44"/>
    <w:bookmarkStart w:id="45" w:name="宽基etf成交额恐慌联合信号"/>
    <w:p>
      <w:pPr>
        <w:pStyle w:val="Heading2"/>
      </w:pPr>
      <w:r>
        <w:t xml:space="preserve">💧 </w:t>
      </w:r>
      <w:r>
        <w:rPr>
          <w:rFonts w:hint="eastAsia"/>
        </w:rPr>
        <w:t xml:space="preserve">宽基ETF·成交额·恐慌联合信号</w:t>
      </w:r>
    </w:p>
    <w:p>
      <w:pPr>
        <w:pStyle w:val="Compact"/>
        <w:numPr>
          <w:ilvl w:val="0"/>
          <w:numId w:val="1034"/>
        </w:numPr>
      </w:pPr>
      <w:r>
        <w:rPr>
          <w:rFonts w:hint="eastAsia"/>
          <w:b/>
          <w:bCs/>
        </w:rPr>
        <w:t xml:space="preserve">结论</w:t>
      </w:r>
      <w:r>
        <w:rPr>
          <w:rFonts w:hint="eastAsia"/>
        </w:rPr>
        <w:t xml:space="preserve">：宽基ETF持续净申购：未确认｜成交9172.22亿元｜恐慌指标暂缺、未连续下降｜联合信号数据不足</w:t>
      </w:r>
    </w:p>
    <w:p>
      <w:pPr>
        <w:pStyle w:val="Compact"/>
        <w:numPr>
          <w:ilvl w:val="0"/>
          <w:numId w:val="1034"/>
        </w:numPr>
      </w:pPr>
      <w:r>
        <w:rPr>
          <w:rFonts w:hint="eastAsia"/>
          <w:b/>
          <w:bCs/>
        </w:rPr>
        <w:t xml:space="preserve">宽基ETF口径</w:t>
      </w:r>
      <w:r>
        <w:rPr>
          <w:rFonts w:hint="eastAsia"/>
        </w:rPr>
        <w:t xml:space="preserve">：官方份额数据暂缺，联合信号不可判定。</w:t>
      </w:r>
    </w:p>
    <w:p>
      <w:pPr>
        <w:pStyle w:val="Compact"/>
        <w:numPr>
          <w:ilvl w:val="0"/>
          <w:numId w:val="1034"/>
        </w:numPr>
      </w:pPr>
      <w:r>
        <w:rPr>
          <w:rFonts w:hint="eastAsia"/>
          <w:b/>
          <w:bCs/>
        </w:rPr>
        <w:t xml:space="preserve">恐慌代理口径</w:t>
      </w:r>
      <w:r>
        <w:rPr>
          <w:rFonts w:hint="eastAsia"/>
        </w:rPr>
        <w:t xml:space="preserve">：沪深300量价代理数据暂缺。</w:t>
      </w:r>
    </w:p>
    <w:p>
      <w:pPr>
        <w:pStyle w:val="BlockText"/>
      </w:pPr>
      <w:r>
        <w:t xml:space="preserve">📊 </w:t>
      </w:r>
      <w:r>
        <w:rPr>
          <w:rFonts w:hint="eastAsia"/>
        </w:rPr>
        <w:t xml:space="preserve">生成时间：2026-09-30</w:t>
      </w:r>
      <w:r>
        <w:t xml:space="preserve"> 11:45:42</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(yttt)</w:t>
      </w:r>
      <w:r>
        <w:br/>
      </w:r>
      <w:r>
        <w:t xml:space="preserve">📄 </w:t>
      </w:r>
      <w:r>
        <w:rPr>
          <w:rFonts w:hint="eastAsia"/>
        </w:rPr>
        <w:t xml:space="preserve">文档生成：pandoc</w:t>
      </w:r>
      <w:r>
        <w:t xml:space="preserve"> (markdown → docx)</w:t>
      </w:r>
    </w:p>
    <w:bookmarkEnd w:id="45"/>
    <w:bookmarkEnd w:id="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2026-09-30T07:03:43Z</dcterms:created>
  <dcterms:modified xsi:type="dcterms:W3CDTF">2026-09-30T07:03:43Z</dcterms:modified>
</cp:coreProperties>
</file>

<file path=docProps/custom.xml><?xml version="1.0" encoding="utf-8"?>
<Properties xmlns="http://schemas.openxmlformats.org/officeDocument/2006/custom-properties" xmlns:vt="http://schemas.openxmlformats.org/officeDocument/2006/docPropsVTypes"/>
</file>