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奇迹早知道2026年9月28日午盘总结"/>
    <w:p>
      <w:pPr>
        <w:pStyle w:val="Heading1"/>
      </w:pPr>
      <w:r>
        <w:t xml:space="preserve">📊 </w:t>
      </w:r>
      <w:r>
        <w:rPr>
          <w:rFonts w:hint="eastAsia"/>
        </w:rPr>
        <w:t xml:space="preserve">奇迹早知道｜2026年9月28日午盘总结</w:t>
      </w:r>
    </w:p>
    <w:bookmarkStart w:id="11" w:name="一上午行情概览指数全面下挫市场亏钱效应显著"/>
    <w:p>
      <w:pPr>
        <w:pStyle w:val="Heading2"/>
      </w:pPr>
      <w:r>
        <w:t xml:space="preserve">📉 </w:t>
      </w:r>
      <w:r>
        <w:rPr>
          <w:rFonts w:hint="eastAsia"/>
        </w:rPr>
        <w:t xml:space="preserve">一、上午行情概览：指数全面下挫，市场亏钱效应显著</w:t>
      </w:r>
    </w:p>
    <w:p>
      <w:pPr>
        <w:pStyle w:val="FirstParagraph"/>
      </w:pPr>
      <w:r>
        <w:rPr>
          <w:rFonts w:hint="eastAsia"/>
        </w:rPr>
        <w:t xml:space="preserve">截至2026年9月28日午盘，A股主要指数全线下跌，成长指数跌幅明显大于上证指数。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3820.8188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-67.5550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-1.7374%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12868.2820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-448.6870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-3.3693%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3146.9000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-142.0480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-4.3189%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1557.0668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-64.8052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-3.9957%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4343.6342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-95.5101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-2.1515%</w:t>
            </w:r>
          </w:p>
        </w:tc>
      </w:tr>
    </w:tbl>
    <w:bookmarkStart w:id="9" w:name="半日成交额与市场广度"/>
    <w:p>
      <w:pPr>
        <w:pStyle w:val="Heading3"/>
      </w:pPr>
      <w:r>
        <w:t xml:space="preserve">💰 </w:t>
      </w:r>
      <w:r>
        <w:rPr>
          <w:rFonts w:hint="eastAsia"/>
        </w:rPr>
        <w:t xml:space="preserve">半日成交额与市场广度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半日全市场成交额：11704.37亿元。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前一交易日全天成交额：16691.13亿元。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同花顺成交额字段显示较昨日当前累计变动+923.84亿元，但该字段同时给出“当日成交额”与“昨日成交额”的分时口径，不能直接等同于全天成交额增速。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预测全天成交额：18121.48亿元。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上涨家数：676家。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下跌家数：4803家。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平盘家数：78家。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停牌家数：12家。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涨停家数：24家。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跌停家数：39家。</w:t>
      </w:r>
    </w:p>
    <w:p>
      <w:pPr>
        <w:pStyle w:val="FirstParagraph"/>
      </w:pPr>
      <w:r>
        <w:rPr>
          <w:rFonts w:hint="eastAsia"/>
        </w:rPr>
        <w:t xml:space="preserve">上涨/下跌比为676:4803，约为1:7.10。市场下跌家数显著扩大，指数下跌与个股普跌形成共振。</w:t>
      </w:r>
    </w:p>
    <w:bookmarkEnd w:id="9"/>
    <w:bookmarkStart w:id="10" w:name="情绪周期判定退潮"/>
    <w:p>
      <w:pPr>
        <w:pStyle w:val="Heading3"/>
      </w:pPr>
      <w:r>
        <w:t xml:space="preserve">🔴 </w:t>
      </w:r>
      <w:r>
        <w:rPr>
          <w:rFonts w:hint="eastAsia"/>
        </w:rPr>
        <w:t xml:space="preserve">情绪周期判定：退潮</w:t>
      </w:r>
    </w:p>
    <w:p>
      <w:pPr>
        <w:pStyle w:val="FirstParagraph"/>
      </w:pPr>
      <w:r>
        <w:rPr>
          <w:rFonts w:hint="eastAsia"/>
        </w:rPr>
        <w:t xml:space="preserve">按照午盘量化指标：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涨停数：24家。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跌停数：39家。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涨停/跌停比：24:39。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炸板率：35.1%。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连板高度：5板。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连板梯队：1板19家、2板1家、3板3家、5板1家。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市场涨跌比：约1:7.10。</w:t>
      </w:r>
    </w:p>
    <w:p>
      <w:pPr>
        <w:pStyle w:val="FirstParagraph"/>
      </w:pPr>
      <w:r>
        <w:rPr>
          <w:rFonts w:hint="eastAsia"/>
        </w:rPr>
        <w:t xml:space="preserve">市场同时出现跌停数高于涨停数、炸板率超过三成、上涨家数显著少于下跌家数、指数全面下跌等特征，情绪由弱势调整进一步进入退潮状态。</w:t>
      </w:r>
    </w:p>
    <w:p>
      <w:pPr>
        <w:pStyle w:val="BodyText"/>
      </w:pPr>
      <w:r>
        <w:rPr>
          <w:rFonts w:hint="eastAsia"/>
        </w:rPr>
        <w:t xml:space="preserve">同花顺涨跌分布统计跌停39家，涨停池统计中的跌停数为38家，存在1家口径差异。本文情绪判断采用同花顺涨跌分布的39家跌停数据，并保留该差异披露。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13" w:name="二领涨板块top10与代表性个股"/>
    <w:p>
      <w:pPr>
        <w:pStyle w:val="Heading2"/>
      </w:pPr>
      <w:r>
        <w:t xml:space="preserve">📈 </w:t>
      </w:r>
      <w:r>
        <w:rPr>
          <w:rFonts w:hint="eastAsia"/>
        </w:rPr>
        <w:t xml:space="preserve">二、领涨板块TOP10与代表性个股</w:t>
      </w:r>
    </w:p>
    <w:p>
      <w:pPr>
        <w:pStyle w:val="FirstParagraph"/>
      </w:pPr>
      <w:r>
        <w:rPr>
          <w:rFonts w:hint="eastAsia"/>
        </w:rPr>
        <w:t xml:space="preserve">午盘板块排名数据显示，市场整体调整，但石油石化、公用事业、汽车整车、小家电、猪肉等方向相对抗跌，部分细分题材依靠个股涨停维持活跃。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午盘表现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代表性个股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石油石化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+0.08%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荣盛石化涨4.27%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公用事业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浙江新能涨停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汽车整车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-0.97%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江淮汽车、众泰汽车触及涨停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猪肉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-1.04%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东瑞股份涨停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小家电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-1.25%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九阳股份涨停、鸿智科技涨超14%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午盘表现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代表性个股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出版传媒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-2.18%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新华传媒5连板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博纳影业涨停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网络安全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永信至诚涨停、中新赛克涨停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玻璃基板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金辰股份3连板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黄酒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古越龙山、会稽山盘中触及涨停</w:t>
            </w:r>
          </w:p>
        </w:tc>
      </w:tr>
    </w:tbl>
    <w:bookmarkStart w:id="12" w:name="领涨方向的结构判断"/>
    <w:p>
      <w:pPr>
        <w:pStyle w:val="Heading3"/>
      </w:pPr>
      <w:r>
        <w:t xml:space="preserve">🧭 </w:t>
      </w:r>
      <w:r>
        <w:rPr>
          <w:rFonts w:hint="eastAsia"/>
        </w:rPr>
        <w:t xml:space="preserve">领涨方向的结构判断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汽车整车获得主力净流入9.39亿元，资金与板块相对表现形成一定共振。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公用事业、石油石化偏防守，板块整体强度并不代表市场风险偏好全面修复。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出版传媒由新华传媒5连板维持高度，但市场整体涨停数量仅24家，且炸板率为35.1%，高位接力环境偏弱。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黄酒、影视院线、小家电等方向存在个股强势，但尚未形成足够宽度，暂不宜将单股涨停扩展为板块反转结论。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8" w:name="三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三、资金流向四张榜</w:t>
      </w:r>
    </w:p>
    <w:p>
      <w:pPr>
        <w:pStyle w:val="FirstParagraph"/>
      </w:pPr>
      <w:r>
        <w:rPr>
          <w:rFonts w:hint="eastAsia"/>
        </w:rPr>
        <w:t xml:space="preserve">统计时间：2026年9月28日11:46。</w:t>
      </w:r>
      <w:r>
        <w:br/>
      </w:r>
      <w:r>
        <w:rPr>
          <w:rFonts w:hint="eastAsia"/>
        </w:rPr>
        <w:t xml:space="preserve">资金口径：华泰skill，申万二级行业；个股金额按照采集JSON原始榜单展示。</w:t>
      </w:r>
    </w:p>
    <w:bookmarkStart w:id="14" w:name="流出top10板块"/>
    <w:p>
      <w:pPr>
        <w:pStyle w:val="Heading3"/>
      </w:pPr>
      <w:r>
        <w:t xml:space="preserve">💰 1.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-168.98亿元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-153.33亿元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-97.38亿元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-34.12亿元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-26.92亿元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-25.52亿元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-21.79亿元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-21.05亿元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通信设备、半导体、元件三大方向合计净流出419.69亿元，是午盘资金撤离最集中的区域。</w:t>
      </w:r>
    </w:p>
    <w:bookmarkEnd w:id="14"/>
    <w:bookmarkStart w:id="15" w:name="流出top10个股"/>
    <w:p>
      <w:pPr>
        <w:pStyle w:val="Heading3"/>
      </w:pPr>
      <w:r>
        <w:t xml:space="preserve">💰 2.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-125.17亿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-71.73亿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-58.06亿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-50.12亿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-44.96亿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亨通光电（600487）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-41.65亿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-37.49亿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-36.38亿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东山精密（002384）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-35.35亿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-34.03亿</w:t>
            </w:r>
          </w:p>
        </w:tc>
      </w:tr>
    </w:tbl>
    <w:bookmarkEnd w:id="15"/>
    <w:bookmarkStart w:id="16" w:name="流入top10板块"/>
    <w:p>
      <w:pPr>
        <w:pStyle w:val="Heading3"/>
      </w:pPr>
      <w:r>
        <w:t xml:space="preserve">💰 3.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汽车整车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交运设备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+3.17亿元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婴童概念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减肥药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+1.85亿元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+1.72亿元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猪肉概念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幽门螺杆菌概念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租售同权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+1.48亿元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重组蛋白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+1.45亿元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净水概念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+1.26亿元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流入板块金额明显小于主要流出板块，资金承接呈现局部化特征，尚不足以抵消成长板块的集中撤离。</w:t>
      </w:r>
    </w:p>
    <w:bookmarkEnd w:id="16"/>
    <w:bookmarkStart w:id="17" w:name="流入top10个股"/>
    <w:p>
      <w:pPr>
        <w:pStyle w:val="Heading3"/>
      </w:pPr>
      <w:r>
        <w:t xml:space="preserve">💰 4.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+99.22亿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+58.64亿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+58.35亿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+45.09亿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+40.92亿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+37.86亿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京东方Ａ（000725）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+27.16亿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+24.00亿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亨通光电（600487）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+23.94亿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+23.77亿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个股同时出现在流入与流出榜，说明高成交额科技股存在剧烈双向交易。该榜单是买卖金额排名，不等同于个股最终净流入方向，不能据此确认资金已经完成回流。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22" w:name="四资金流出预警科技主线出现集中撤退"/>
    <w:p>
      <w:pPr>
        <w:pStyle w:val="Heading2"/>
      </w:pPr>
      <w:r>
        <w:t xml:space="preserve">⚠️ </w:t>
      </w:r>
      <w:r>
        <w:rPr>
          <w:rFonts w:hint="eastAsia"/>
        </w:rPr>
        <w:t xml:space="preserve">四、资金流出预警：科技主线出现集中撤退</w:t>
      </w:r>
    </w:p>
    <w:bookmarkStart w:id="19" w:name="板块层面"/>
    <w:p>
      <w:pPr>
        <w:pStyle w:val="Heading3"/>
      </w:pPr>
      <w:r>
        <w:t xml:space="preserve">🔴 </w:t>
      </w:r>
      <w:r>
        <w:rPr>
          <w:rFonts w:hint="eastAsia"/>
        </w:rPr>
        <w:t xml:space="preserve">板块层面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通信设备净流出168.98亿元。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半导体净流出153.33亿元。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元件净流出97.38亿元。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消费电子净流出34.12亿元。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自动化设备净流出26.92亿元。</w:t>
      </w:r>
    </w:p>
    <w:p>
      <w:pPr>
        <w:pStyle w:val="FirstParagraph"/>
      </w:pPr>
      <w:r>
        <w:rPr>
          <w:rFonts w:hint="eastAsia"/>
        </w:rPr>
        <w:t xml:space="preserve">科技硬件相关板块同时出现在主要流出榜前列，且创业板指下跌4.3189%、科创50下跌3.9957%，成长风格承压明显。</w:t>
      </w:r>
    </w:p>
    <w:bookmarkEnd w:id="19"/>
    <w:bookmarkStart w:id="20" w:name="个股层面"/>
    <w:p>
      <w:pPr>
        <w:pStyle w:val="Heading3"/>
      </w:pPr>
      <w:r>
        <w:t xml:space="preserve">🔴 </w:t>
      </w:r>
      <w:r>
        <w:rPr>
          <w:rFonts w:hint="eastAsia"/>
        </w:rPr>
        <w:t xml:space="preserve">个股层面</w:t>
      </w:r>
    </w:p>
    <w:p>
      <w:pPr>
        <w:pStyle w:val="FirstParagraph"/>
      </w:pPr>
      <w:r>
        <w:rPr>
          <w:rFonts w:hint="eastAsia"/>
        </w:rPr>
        <w:t xml:space="preserve">中际旭创、新易盛、寒武纪、长鑫科技、源杰科技、亨通光电、宁德时代、兆易创新、东山精密、天孚通信均进入主力净流出TOP10。</w:t>
      </w:r>
    </w:p>
    <w:p>
      <w:pPr>
        <w:pStyle w:val="BodyText"/>
      </w:pPr>
      <w:r>
        <w:rPr>
          <w:rFonts w:hint="eastAsia"/>
        </w:rPr>
        <w:t xml:space="preserve">其中，中际旭创、新易盛、寒武纪等个股同时进入流入榜，表明高位大成交额标的存在明显筹码交换，不能将“流入榜排名”解释为趋势重新转强。</w:t>
      </w:r>
    </w:p>
    <w:bookmarkEnd w:id="20"/>
    <w:bookmarkStart w:id="21" w:name="预警结论"/>
    <w:p>
      <w:pPr>
        <w:pStyle w:val="Heading3"/>
      </w:pPr>
      <w:r>
        <w:t xml:space="preserve">💡 </w:t>
      </w:r>
      <w:r>
        <w:rPr>
          <w:rFonts w:hint="eastAsia"/>
        </w:rPr>
        <w:t xml:space="preserve">预警结论</w:t>
      </w:r>
    </w:p>
    <w:p>
      <w:pPr>
        <w:pStyle w:val="FirstParagraph"/>
      </w:pPr>
      <w:r>
        <w:rPr>
          <w:rFonts w:hint="eastAsia"/>
        </w:rPr>
        <w:t xml:space="preserve">科技主线当前属于“高成交额分歧+板块集中流出”，不是低位缩量回踩后的确认性承接。下午若通信设备、半导体、元件继续扩大净流出，成长风格仍应回避抄底。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6" w:name="五盘前预判-vs-实盘表现"/>
    <w:p>
      <w:pPr>
        <w:pStyle w:val="Heading2"/>
      </w:pPr>
      <w:r>
        <w:t xml:space="preserve">🧭 </w:t>
      </w:r>
      <w:r>
        <w:rPr>
          <w:rFonts w:hint="eastAsia"/>
        </w:rPr>
        <w:t xml:space="preserve">五、盘前预判</w:t>
      </w:r>
      <w:r>
        <w:t xml:space="preserve"> vs </w:t>
      </w:r>
      <w:r>
        <w:rPr>
          <w:rFonts w:hint="eastAsia"/>
        </w:rPr>
        <w:t xml:space="preserve">实盘表现</w:t>
      </w:r>
    </w:p>
    <w:bookmarkStart w:id="23" w:name="盘前核心预判"/>
    <w:p>
      <w:pPr>
        <w:pStyle w:val="Heading3"/>
      </w:pPr>
      <w:r>
        <w:t xml:space="preserve">📋 </w:t>
      </w:r>
      <w:r>
        <w:rPr>
          <w:rFonts w:hint="eastAsia"/>
        </w:rPr>
        <w:t xml:space="preserve">盘前核心预判</w:t>
      </w:r>
    </w:p>
    <w:p>
      <w:pPr>
        <w:pStyle w:val="FirstParagraph"/>
      </w:pPr>
      <w:r>
        <w:rPr>
          <w:rFonts w:hint="eastAsia"/>
        </w:rPr>
        <w:t xml:space="preserve">盘前简报提出：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外围市场风险偏好有所修复，但力度有限。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A股成长方向需要自身资金与量价确认。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风电设备、军工电子、汽车零部件属于优先观察方向。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通信设备、半导体、元件此前资金流出较大，科技方向不宜直接抄底。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指数若修复，必须观察成交额、涨跌比与主线资金是否同步改善。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基准仓位为均衡档21%，只有市场广度、成交额和主线资金同步改善才上调。</w:t>
      </w:r>
    </w:p>
    <w:bookmarkEnd w:id="23"/>
    <w:bookmarkStart w:id="24" w:name="午盘验证结果"/>
    <w:p>
      <w:pPr>
        <w:pStyle w:val="Heading3"/>
      </w:pPr>
      <w:r>
        <w:t xml:space="preserve">📉 </w:t>
      </w:r>
      <w:r>
        <w:rPr>
          <w:rFonts w:hint="eastAsia"/>
        </w:rPr>
        <w:t xml:space="preserve">午盘验证结果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指数没有出现预期中的修复，反而全面下跌。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创业板指跌4.3189%，科创50跌3.9957%，成长风格显著弱于上证指数。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上涨676家、下跌4803家，市场广度明显恶化。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跌停39家，高于涨停24家。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通信设备、半导体、元件继续位列资金流出前三。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汽车整车获得资金流入9.39亿元，但流入板块整体规模有限，尚未形成普遍性风险偏好修复。</w:t>
      </w:r>
    </w:p>
    <w:bookmarkEnd w:id="24"/>
    <w:bookmarkStart w:id="25" w:name="盘前策略复盘评分"/>
    <w:p>
      <w:pPr>
        <w:pStyle w:val="Heading3"/>
      </w:pPr>
      <w:r>
        <w:t xml:space="preserve">🧮 </w:t>
      </w:r>
      <w:r>
        <w:rPr>
          <w:rFonts w:hint="eastAsia"/>
        </w:rPr>
        <w:t xml:space="preserve">盘前策略复盘评分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复盘项目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评分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指数防守判断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成长指数大幅下跌，判断有效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科技主线风险提示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通信设备、半导体、元件继续大额流出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结构性轮动判断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汽车整车、公用事业等局部活跃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资金承接判断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局部流入但无法抵消集中流出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1/2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仓位控制建议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低仓位、等待确认仍适用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盘前策略复盘评分：9/10。</w:t>
      </w:r>
    </w:p>
    <w:p>
      <w:pPr>
        <w:pStyle w:val="BodyText"/>
      </w:pPr>
      <w:r>
        <w:rPr>
          <w:rFonts w:hint="eastAsia"/>
        </w:rPr>
        <w:t xml:space="preserve">扣分项在于盘前对风电设备、军工电子的观察方向，午盘采集结果未提供对应完整板块资金四榜验证，不能确认其已形成可交易主线。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六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六、市场风格仪表盘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指数强弱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上证指数跌1.7374%，创业板指跌4.3189%</w:t>
            </w:r>
          </w:p>
        </w:tc>
        <w:tc>
          <w:tcPr/>
          <w:p>
            <w:pPr>
              <w:pStyle w:val="Compact"/>
            </w:pPr>
            <w:r>
              <w:t xml:space="preserve">📉 </w:t>
            </w:r>
            <w:r>
              <w:rPr>
                <w:rFonts w:hint="eastAsia"/>
              </w:rPr>
              <w:t xml:space="preserve">成长明显弱于权重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市场广度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上涨676家，下跌4803家</w:t>
            </w:r>
          </w:p>
        </w:tc>
        <w:tc>
          <w:tcPr/>
          <w:p>
            <w:pPr>
              <w:pStyle w:val="Compact"/>
            </w:pPr>
            <w:r>
              <w:t xml:space="preserve">🔴 </w:t>
            </w:r>
            <w:r>
              <w:rPr>
                <w:rFonts w:hint="eastAsia"/>
              </w:rPr>
              <w:t xml:space="preserve">极弱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涨跌停结构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涨停24家，跌停39家</w:t>
            </w:r>
          </w:p>
        </w:tc>
        <w:tc>
          <w:tcPr/>
          <w:p>
            <w:pPr>
              <w:pStyle w:val="Compact"/>
            </w:pPr>
            <w:r>
              <w:t xml:space="preserve">🔴 </w:t>
            </w:r>
            <w:r>
              <w:rPr>
                <w:rFonts w:hint="eastAsia"/>
              </w:rPr>
              <w:t xml:space="preserve">空头占优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连板生态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最高5板，1板19家</w:t>
            </w:r>
          </w:p>
        </w:tc>
        <w:tc>
          <w:tcPr/>
          <w:p>
            <w:pPr>
              <w:pStyle w:val="Compact"/>
            </w:pPr>
            <w:r>
              <w:t xml:space="preserve">🟡 </w:t>
            </w:r>
            <w:r>
              <w:rPr>
                <w:rFonts w:hint="eastAsia"/>
              </w:rPr>
              <w:t xml:space="preserve">高度尚存但宽度不足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炸板情况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炸板率35.1%</w:t>
            </w:r>
          </w:p>
        </w:tc>
        <w:tc>
          <w:tcPr/>
          <w:p>
            <w:pPr>
              <w:pStyle w:val="Compact"/>
            </w:pPr>
            <w:r>
              <w:t xml:space="preserve">🔴 </w:t>
            </w:r>
            <w:r>
              <w:rPr>
                <w:rFonts w:hint="eastAsia"/>
              </w:rPr>
              <w:t xml:space="preserve">接力质量偏低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流出集中于通信设备、半导体、元件</w:t>
            </w:r>
          </w:p>
        </w:tc>
        <w:tc>
          <w:tcPr/>
          <w:p>
            <w:pPr>
              <w:pStyle w:val="Compact"/>
            </w:pPr>
            <w:r>
              <w:t xml:space="preserve">🔴 </w:t>
            </w:r>
            <w:r>
              <w:rPr>
                <w:rFonts w:hint="eastAsia"/>
              </w:rPr>
              <w:t xml:space="preserve">科技主线承压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相对强势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汽车整车、公用事业、石油石化</w:t>
            </w:r>
          </w:p>
        </w:tc>
        <w:tc>
          <w:tcPr/>
          <w:p>
            <w:pPr>
              <w:pStyle w:val="Compact"/>
            </w:pPr>
            <w:r>
              <w:t xml:space="preserve">🟡 </w:t>
            </w:r>
            <w:r>
              <w:rPr>
                <w:rFonts w:hint="eastAsia"/>
              </w:rPr>
              <w:t xml:space="preserve">局部防守与轮动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风格结论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指数普跌、成长领跌、局部题材活跃</w:t>
            </w:r>
          </w:p>
        </w:tc>
        <w:tc>
          <w:tcPr/>
          <w:p>
            <w:pPr>
              <w:pStyle w:val="Compact"/>
            </w:pPr>
            <w:r>
              <w:t xml:space="preserve">📉 </w:t>
            </w:r>
            <w:r>
              <w:rPr>
                <w:rFonts w:hint="eastAsia"/>
              </w:rPr>
              <w:t xml:space="preserve">退潮中的结构性轮动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行为金融方面，当前盘面更接近高位筹码松动与亏损厌恶扩散环境。高成交额科技股同时进入流入与流出榜，容易诱发投资者将局部买盘误读为趋势反转，下午应避免因单只大市值个股出现资金流入而追涨。</w:t>
      </w:r>
    </w:p>
    <w:p>
      <w:r>
        <w:pict>
          <v:rect style="width:0;height:1.5pt" o:hralign="center" o:hrstd="t" o:hr="t"/>
        </w:pict>
      </w:r>
    </w:p>
    <w:bookmarkEnd w:id="27"/>
    <w:bookmarkStart w:id="30" w:name="七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七、宽基ETF·成交额·恐慌联合信号</w:t>
      </w:r>
    </w:p>
    <w:bookmarkStart w:id="28" w:name="宽基etf表现"/>
    <w:p>
      <w:pPr>
        <w:pStyle w:val="Heading3"/>
      </w:pPr>
      <w:r>
        <w:t xml:space="preserve">📊 </w:t>
      </w:r>
      <w:r>
        <w:rPr>
          <w:rFonts w:hint="eastAsia"/>
        </w:rPr>
        <w:t xml:space="preserve">宽基ETF表现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-2.1484%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26.4163亿元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-3.9113%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51.8147亿元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-4.4082%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55.1207亿元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-0.5064%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2.6643亿元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-0.2933%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2.3461亿元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-4.2033%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7.9289亿元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-2.0076%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10.2811亿元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芯片ETF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-4.5053%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4.8245亿元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宽基与成长风格ETF普遍下跌，红利ETF与医药ETF跌幅相对较小，但当前采集JSON未提供本轮ETF份额变化及可确认的持续净流入数据。</w:t>
      </w:r>
    </w:p>
    <w:bookmarkEnd w:id="28"/>
    <w:bookmarkStart w:id="29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</w:t>
      </w:r>
      <w:r>
        <w:rPr>
          <w:rFonts w:hint="eastAsia"/>
        </w:rPr>
        <w:t xml:space="preserve">在本次压缩后的采集JSON中未提供可直接核验的状态字段。</w:t>
      </w:r>
    </w:p>
    <w:p>
      <w:pPr>
        <w:pStyle w:val="BodyText"/>
      </w:pPr>
      <w:r>
        <w:rPr>
          <w:rFonts w:hint="eastAsia"/>
        </w:rPr>
        <w:t xml:space="preserve">因此：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恐慌高位降温且宽基ETF持续流入：未确认。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不能将局部ETF成交活跃解释为宽基资金持续流入。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半日成交额达到11704.37亿元，但市场下跌家数达到4803家，成交放大若伴随普跌，不能直接视为积极放量。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下午重点观察下跌家数是否收敛、跌停数是否减少、成长ETF是否出现止跌承接。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八下午操作建议防守优先等待市场广度修复"/>
    <w:p>
      <w:pPr>
        <w:pStyle w:val="Heading2"/>
      </w:pPr>
      <w:r>
        <w:t xml:space="preserve">💡 </w:t>
      </w:r>
      <w:r>
        <w:rPr>
          <w:rFonts w:hint="eastAsia"/>
        </w:rPr>
        <w:t xml:space="preserve">八、下午操作建议：防守优先，等待市场广度修复</w:t>
      </w:r>
    </w:p>
    <w:bookmarkStart w:id="31" w:name="进取型策略暂不启用"/>
    <w:p>
      <w:pPr>
        <w:pStyle w:val="Heading3"/>
      </w:pPr>
      <w:r>
        <w:t xml:space="preserve">🔴 </w:t>
      </w:r>
      <w:r>
        <w:rPr>
          <w:rFonts w:hint="eastAsia"/>
        </w:rPr>
        <w:t xml:space="preserve">进取型策略：暂不启用</w:t>
      </w:r>
    </w:p>
    <w:p>
      <w:pPr>
        <w:pStyle w:val="FirstParagraph"/>
      </w:pPr>
      <w:r>
        <w:rPr>
          <w:rFonts w:hint="eastAsia"/>
        </w:rPr>
        <w:t xml:space="preserve">下午只有在以下条件同时出现时，才允许考虑极轻仓试错：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创业板指和科创50不再扩大跌幅。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上涨家数明显回升。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跌停数量收敛。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通信设备、半导体、元件的资金流出收窄。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汽车整车或其他新主线出现板块宽度扩散，而非仅靠单只个股涨停。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个股完成缩量回踩并重新放量站回关键趋势位。</w:t>
      </w:r>
    </w:p>
    <w:p>
      <w:pPr>
        <w:pStyle w:val="FirstParagraph"/>
      </w:pPr>
      <w:r>
        <w:rPr>
          <w:rFonts w:hint="eastAsia"/>
        </w:rPr>
        <w:t xml:space="preserve">在上述条件未满足前，不追涨5连板新华传媒、3连板金辰股份等高位标的。</w:t>
      </w:r>
    </w:p>
    <w:bookmarkEnd w:id="31"/>
    <w:bookmarkStart w:id="32" w:name="均衡型策略以观察和防守为主"/>
    <w:p>
      <w:pPr>
        <w:pStyle w:val="Heading3"/>
      </w:pPr>
      <w:r>
        <w:t xml:space="preserve">🟡 </w:t>
      </w:r>
      <w:r>
        <w:rPr>
          <w:rFonts w:hint="eastAsia"/>
        </w:rPr>
        <w:t xml:space="preserve">均衡型策略：以观察和防守为主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对汽车整车、交运设备方向只观察板块持续性。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对公用事业、石油石化等相对抗跌方向，只接受低位、缩量回踩后的右侧确认。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科技硬件暂不因流入榜中出现中际旭创、新易盛、寒武纪等名称而抄底。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已持仓个股若跌破趋势线或前期确认位，应执行减仓，不用题材逻辑替代止损。</w:t>
      </w:r>
    </w:p>
    <w:bookmarkEnd w:id="32"/>
    <w:bookmarkStart w:id="33" w:name="保守型策略优先降低风险暴露"/>
    <w:p>
      <w:pPr>
        <w:pStyle w:val="Heading3"/>
      </w:pPr>
      <w:r>
        <w:t xml:space="preserve">🟢 </w:t>
      </w:r>
      <w:r>
        <w:rPr>
          <w:rFonts w:hint="eastAsia"/>
        </w:rPr>
        <w:t xml:space="preserve">保守型策略：优先降低风险暴露</w:t>
      </w:r>
    </w:p>
    <w:p>
      <w:pPr>
        <w:pStyle w:val="FirstParagraph"/>
      </w:pPr>
      <w:r>
        <w:rPr>
          <w:rFonts w:hint="eastAsia"/>
        </w:rPr>
        <w:t xml:space="preserve">若午后出现以下任一情况，继续降低仓位：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跌停数继续增加。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上涨家数维持低位。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指数反抽但成交额无法有效承接。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通信设备、半导体、元件继续扩大净流出。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高位连板股开板后无法回封。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科技大市值股继续出现大额流出。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1" w:name="九下午投资方向分层"/>
    <w:p>
      <w:pPr>
        <w:pStyle w:val="Heading2"/>
      </w:pPr>
      <w:r>
        <w:t xml:space="preserve">🧱 </w:t>
      </w:r>
      <w:r>
        <w:rPr>
          <w:rFonts w:hint="eastAsia"/>
        </w:rPr>
        <w:t xml:space="preserve">九、下午投资方向分层</w:t>
      </w:r>
    </w:p>
    <w:bookmarkStart w:id="36" w:name="第一层只做确认不追涨"/>
    <w:p>
      <w:pPr>
        <w:pStyle w:val="Heading3"/>
      </w:pPr>
      <w:r>
        <w:t xml:space="preserve">🟢 </w:t>
      </w:r>
      <w:r>
        <w:rPr>
          <w:rFonts w:hint="eastAsia"/>
        </w:rPr>
        <w:t xml:space="preserve">第一层：只做确认，不追涨</w:t>
      </w:r>
    </w:p>
    <w:bookmarkStart w:id="35" w:name="汽车整车与交运设备"/>
    <w:p>
      <w:pPr>
        <w:pStyle w:val="Heading4"/>
      </w:pPr>
      <w:r>
        <w:rPr>
          <w:rFonts w:hint="eastAsia"/>
        </w:rPr>
        <w:t xml:space="preserve">汽车整车与交运设备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汽车整车板块主力净流入9.39亿元，位列流入板块第一。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交运设备净流入3.17亿元。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江淮汽车、众泰汽车触及涨停，汽车零部件方向也有雪龙集团、襄阳轴承等连板或涨停表现。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但市场整体处于退潮状态，资金流入尚未扩展为全市场风险偏好修复。</w:t>
      </w:r>
    </w:p>
    <w:p>
      <w:pPr>
        <w:pStyle w:val="FirstParagraph"/>
      </w:pPr>
      <w:r>
        <w:rPr>
          <w:rFonts w:hint="eastAsia"/>
          <w:b/>
          <w:bCs/>
        </w:rPr>
        <w:t xml:space="preserve">下午条件：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板块涨幅保持或扩大。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龙头与中军同步承接。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炸板率下降。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不出现高开低走、单股独强。</w:t>
      </w:r>
    </w:p>
    <w:bookmarkEnd w:id="35"/>
    <w:bookmarkEnd w:id="36"/>
    <w:bookmarkStart w:id="38" w:name="第二层相对防守观察"/>
    <w:p>
      <w:pPr>
        <w:pStyle w:val="Heading3"/>
      </w:pPr>
      <w:r>
        <w:t xml:space="preserve">🟡 </w:t>
      </w:r>
      <w:r>
        <w:rPr>
          <w:rFonts w:hint="eastAsia"/>
        </w:rPr>
        <w:t xml:space="preserve">第二层：相对防守观察</w:t>
      </w:r>
    </w:p>
    <w:bookmarkStart w:id="37" w:name="石油石化公用事业红利方向"/>
    <w:p>
      <w:pPr>
        <w:pStyle w:val="Heading4"/>
      </w:pPr>
      <w:r>
        <w:rPr>
          <w:rFonts w:hint="eastAsia"/>
        </w:rPr>
        <w:t xml:space="preserve">石油石化、公用事业、红利方向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石油石化板块午盘涨幅为+0.08%。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公用事业板块表现为0.00%，浙江新能涨停。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红利ETF跌幅为-0.5064%，相对成长ETF跌幅较小。</w:t>
      </w:r>
    </w:p>
    <w:p>
      <w:pPr>
        <w:pStyle w:val="FirstParagraph"/>
      </w:pPr>
      <w:r>
        <w:rPr>
          <w:rFonts w:hint="eastAsia"/>
        </w:rPr>
        <w:t xml:space="preserve">这些方向适合观察相对强弱，不代表可以无条件买入。只有在指数继续弱势、板块仍能保持相对强度且个股量价不破坏时，才具备防守价值。</w:t>
      </w:r>
    </w:p>
    <w:bookmarkEnd w:id="37"/>
    <w:bookmarkEnd w:id="38"/>
    <w:bookmarkStart w:id="40" w:name="第三层暂不参与"/>
    <w:p>
      <w:pPr>
        <w:pStyle w:val="Heading3"/>
      </w:pPr>
      <w:r>
        <w:t xml:space="preserve">🔴 </w:t>
      </w:r>
      <w:r>
        <w:rPr>
          <w:rFonts w:hint="eastAsia"/>
        </w:rPr>
        <w:t xml:space="preserve">第三层：暂不参与</w:t>
      </w:r>
    </w:p>
    <w:bookmarkStart w:id="39" w:name="通信设备半导体元件消费电子"/>
    <w:p>
      <w:pPr>
        <w:pStyle w:val="Heading4"/>
      </w:pPr>
      <w:r>
        <w:rPr>
          <w:rFonts w:hint="eastAsia"/>
        </w:rPr>
        <w:t xml:space="preserve">通信设备、半导体、元件、消费电子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通信设备净流出168.98亿元。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半导体净流出153.33亿元。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元件净流出97.38亿元。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消费电子净流出34.12亿元。</w:t>
      </w:r>
    </w:p>
    <w:p>
      <w:pPr>
        <w:pStyle w:val="FirstParagraph"/>
      </w:pPr>
      <w:r>
        <w:rPr>
          <w:rFonts w:hint="eastAsia"/>
        </w:rPr>
        <w:t xml:space="preserve">中际旭创、新易盛、寒武纪、长鑫科技、兆易创新、亨通光电、天孚通信等高成交额个股均进入流出榜前十，午后不适合依据单笔大额买入进行追涨。</w:t>
      </w:r>
    </w:p>
    <w:p>
      <w:r>
        <w:pict>
          <v:rect style="width:0;height:1.5pt" o:hralign="center" o:hrstd="t" o:hr="t"/>
        </w:pict>
      </w:r>
    </w:p>
    <w:bookmarkEnd w:id="39"/>
    <w:bookmarkEnd w:id="40"/>
    <w:bookmarkEnd w:id="41"/>
    <w:bookmarkStart w:id="45" w:name="十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十、下午仓位模型</w:t>
      </w:r>
    </w:p>
    <w:p>
      <w:pPr>
        <w:pStyle w:val="FirstParagraph"/>
      </w:pPr>
      <w:r>
        <w:rPr>
          <w:rFonts w:hint="eastAsia"/>
        </w:rPr>
        <w:t xml:space="preserve">本轮采集JSON未提供完整的</w:t>
      </w:r>
      <w:r>
        <w:rPr>
          <w:rStyle w:val="VerbatimChar"/>
        </w:rPr>
        <w:t xml:space="preserve">derived.position_model.turnover_metrics</w:t>
      </w:r>
      <w:r>
        <w:rPr>
          <w:rFonts w:hint="eastAsia"/>
        </w:rPr>
        <w:t xml:space="preserve">字段，因此不能虚构自动仓位模型数值。结合已经核验的市场广度、指数跌幅、涨跌停结构和资金榜，下午仓位应采用收缩模式。</w:t>
      </w:r>
    </w:p>
    <w:bookmarkStart w:id="42" w:name="建议仓位"/>
    <w:p>
      <w:pPr>
        <w:pStyle w:val="Heading3"/>
      </w:pPr>
      <w:r>
        <w:rPr>
          <w:rFonts w:hint="eastAsia"/>
        </w:rPr>
        <w:t xml:space="preserve">建议仓位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进取档：不超过20%，且必须等待市场广度修复后启用。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均衡档：10%—15%，以防守和观察为主。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保守档：0%—5%，适用于跌停扩容、指数继续破位的情形。</w:t>
      </w:r>
    </w:p>
    <w:bookmarkEnd w:id="42"/>
    <w:bookmarkStart w:id="43" w:name="加仓条件"/>
    <w:p>
      <w:pPr>
        <w:pStyle w:val="Heading3"/>
      </w:pPr>
      <w:r>
        <w:rPr>
          <w:rFonts w:hint="eastAsia"/>
        </w:rPr>
        <w:t xml:space="preserve">加仓条件</w:t>
      </w:r>
    </w:p>
    <w:p>
      <w:pPr>
        <w:pStyle w:val="FirstParagraph"/>
      </w:pPr>
      <w:r>
        <w:rPr>
          <w:rFonts w:hint="eastAsia"/>
        </w:rPr>
        <w:t xml:space="preserve">必须至少同时满足：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上涨家数持续回升。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跌停数收敛。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炸板率明显下降。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资金流出前三板块不再扩大流出。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新主线出现板块级别扩散。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目标个股符合A/B右侧评级或完成趋势重新确认。</w:t>
      </w:r>
    </w:p>
    <w:bookmarkEnd w:id="43"/>
    <w:bookmarkStart w:id="44" w:name="减仓条件"/>
    <w:p>
      <w:pPr>
        <w:pStyle w:val="Heading3"/>
      </w:pPr>
      <w:r>
        <w:rPr>
          <w:rFonts w:hint="eastAsia"/>
        </w:rPr>
        <w:t xml:space="preserve">减仓条件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持仓股跌破确认位或趋势线。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午后反抽无量且冲高回落。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连板股开板后无法回封。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创业板指、科创50继续扩大跌幅。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个股所在板块进入资金流出榜前列。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6" w:name="十一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十一、下午回避清单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通信设备：主力净流出168.98亿元。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半导体：主力净流出153.33亿元。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元件：主力净流出97.38亿元。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消费电子：主力净流出34.12亿元。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中际旭创、新易盛、寒武纪、长鑫科技、源杰科技：进入流出TOP10个股。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亨通光电、宁德时代、兆易创新、东山精密、天孚通信：进入流出TOP10个股。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5连板新华传媒：市场高度标的，炸板率35.1%的退潮环境下不追高。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金辰股份、福建水泥等3连板方向：只观察封单与承接，不在午后追涨。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九阳股份、博纳影业等高位涨停股：若开板后无法快速回封，回避接力。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仅凭个股流入榜买入：流入与流出榜存在重叠，榜单不能替代净方向与趋势确认。</w:t>
      </w:r>
    </w:p>
    <w:p>
      <w:r>
        <w:pict>
          <v:rect style="width:0;height:1.5pt" o:hralign="center" o:hrstd="t" o:hr="t"/>
        </w:pict>
      </w:r>
    </w:p>
    <w:bookmarkEnd w:id="46"/>
    <w:bookmarkStart w:id="47" w:name="十二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十二、风险提示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午盘上涨676家、下跌4803家，市场涨跌比约1:7.10，亏钱效应明显。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跌停39家，高于涨停24家；涨停池统计跌停数为38家，两套来源存在1家差异。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炸板率35.1%，短线接力质量偏低。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创业板指下跌4.3189%，科创50下跌3.9957%，成长风格仍处于明显弱势。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通信设备、半导体、元件三大板块合计净流出419.69亿元。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中际旭创、新易盛、寒武纪等个股同时出现在流入与流出榜，资金榜反映成交活跃，不代表趋势反转。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本轮JSON未提供完整的妙想增强、TickFlow技术评级、重点股财务质量及行为金融派生字段，相关结论不作额外延伸。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本轮未确认“恐慌高位降温且宽基ETF持续流入”联合信号。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午盘数据属于交易时段快照，下午走势及最终收盘数据仍可能发生变化。</w:t>
      </w:r>
    </w:p>
    <w:bookmarkEnd w:id="47"/>
    <w:bookmarkStart w:id="48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：宽基ETF持续净申购：未确认｜成交11704.4亿元｜恐慌指标暂缺、未连续下降｜联合信号数据不足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：官方份额数据暂缺，联合信号不可判定。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：沪深300量价代理数据暂缺。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生成时间：2026-09-28</w:t>
      </w:r>
      <w:r>
        <w:t xml:space="preserve"> 11:45:33 +0800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(yttt)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2026-09-28T19:20:06Z</dcterms:created>
  <dcterms:modified xsi:type="dcterms:W3CDTF">2026-09-28T19:20:06Z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