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4" w:name="奇迹早知道午盘总结-2026-08-04"/>
    <w:p>
      <w:pPr>
        <w:pStyle w:val="Heading1"/>
      </w:pPr>
      <w:r>
        <w:t xml:space="preserve">🌞 </w:t>
      </w:r>
      <w:r>
        <w:rPr>
          <w:rFonts w:hint="eastAsia"/>
        </w:rPr>
        <w:t xml:space="preserve">奇迹早知道｜午盘总结</w:t>
      </w:r>
      <w:r>
        <w:t xml:space="preserve"> 2026-08-04</w:t>
      </w:r>
    </w:p>
    <w:bookmarkStart w:id="11" w:name="上午行情概览创业板强修复科技成长重新夺回主线"/>
    <w:p>
      <w:pPr>
        <w:pStyle w:val="Heading2"/>
      </w:pPr>
      <w:r>
        <w:t xml:space="preserve">① 📊 </w:t>
      </w:r>
      <w:r>
        <w:rPr>
          <w:rFonts w:hint="eastAsia"/>
        </w:rPr>
        <w:t xml:space="preserve">上午行情概览：创业板强修复，科技成长重新夺回主线</w:t>
      </w:r>
    </w:p>
    <w:p>
      <w:pPr>
        <w:pStyle w:val="FirstParagraph"/>
      </w:pPr>
      <w:r>
        <w:rPr>
          <w:rFonts w:hint="eastAsia"/>
        </w:rPr>
        <w:t xml:space="preserve">截至2026-08-04午间，A股早盘呈现“创业板强、沪指弱修复、科技成长占优、金融权重拖累”的结构。</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午盘点位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3815.5886</w:t>
            </w:r>
          </w:p>
        </w:tc>
        <w:tc>
          <w:tcPr/>
          <w:p>
            <w:pPr>
              <w:pStyle w:val="Compact"/>
              <w:jc w:val="right"/>
            </w:pPr>
            <w:r>
              <w:t xml:space="preserve">📈🔴 +0.1555%</w:t>
            </w:r>
          </w:p>
        </w:tc>
        <w:tc>
          <w:tcPr/>
          <w:p>
            <w:pPr>
              <w:pStyle w:val="Compact"/>
              <w:jc w:val="right"/>
            </w:pPr>
            <w:r>
              <w:rPr>
                <w:rFonts w:hint="eastAsia"/>
              </w:rPr>
              <w:t xml:space="preserve">6109.89亿</w:t>
            </w:r>
          </w:p>
        </w:tc>
      </w:tr>
      <w:tr>
        <w:tc>
          <w:tcPr/>
          <w:p>
            <w:pPr>
              <w:pStyle w:val="Compact"/>
            </w:pPr>
            <w:r>
              <w:rPr>
                <w:rFonts w:hint="eastAsia"/>
              </w:rPr>
              <w:t xml:space="preserve">深证成指</w:t>
            </w:r>
          </w:p>
        </w:tc>
        <w:tc>
          <w:tcPr/>
          <w:p>
            <w:pPr>
              <w:pStyle w:val="Compact"/>
              <w:jc w:val="right"/>
            </w:pPr>
            <w:r>
              <w:t xml:space="preserve">13817.3870</w:t>
            </w:r>
          </w:p>
        </w:tc>
        <w:tc>
          <w:tcPr/>
          <w:p>
            <w:pPr>
              <w:pStyle w:val="Compact"/>
              <w:jc w:val="right"/>
            </w:pPr>
            <w:r>
              <w:t xml:space="preserve">📈🔴 +2.7446%</w:t>
            </w:r>
          </w:p>
        </w:tc>
        <w:tc>
          <w:tcPr/>
          <w:p>
            <w:pPr>
              <w:pStyle w:val="Compact"/>
              <w:jc w:val="right"/>
            </w:pPr>
            <w:r>
              <w:rPr>
                <w:rFonts w:hint="eastAsia"/>
              </w:rPr>
              <w:t xml:space="preserve">7496.83亿</w:t>
            </w:r>
          </w:p>
        </w:tc>
      </w:tr>
      <w:tr>
        <w:tc>
          <w:tcPr/>
          <w:p>
            <w:pPr>
              <w:pStyle w:val="Compact"/>
            </w:pPr>
            <w:r>
              <w:rPr>
                <w:rFonts w:hint="eastAsia"/>
              </w:rPr>
              <w:t xml:space="preserve">创业板指</w:t>
            </w:r>
          </w:p>
        </w:tc>
        <w:tc>
          <w:tcPr/>
          <w:p>
            <w:pPr>
              <w:pStyle w:val="Compact"/>
              <w:jc w:val="right"/>
            </w:pPr>
            <w:r>
              <w:t xml:space="preserve">3462.0490</w:t>
            </w:r>
          </w:p>
        </w:tc>
        <w:tc>
          <w:tcPr/>
          <w:p>
            <w:pPr>
              <w:pStyle w:val="Compact"/>
              <w:jc w:val="right"/>
            </w:pPr>
            <w:r>
              <w:t xml:space="preserve">📈🔴 +4.8295%</w:t>
            </w:r>
          </w:p>
        </w:tc>
        <w:tc>
          <w:tcPr/>
          <w:p>
            <w:pPr>
              <w:pStyle w:val="Compact"/>
              <w:jc w:val="right"/>
            </w:pPr>
            <w:r>
              <w:rPr>
                <w:rFonts w:hint="eastAsia"/>
              </w:rPr>
              <w:t xml:space="preserve">3735.30亿</w:t>
            </w:r>
          </w:p>
        </w:tc>
      </w:tr>
      <w:tr>
        <w:tc>
          <w:tcPr/>
          <w:p>
            <w:pPr>
              <w:pStyle w:val="Compact"/>
            </w:pPr>
            <w:r>
              <w:rPr>
                <w:rFonts w:hint="eastAsia"/>
              </w:rPr>
              <w:t xml:space="preserve">科创50</w:t>
            </w:r>
          </w:p>
        </w:tc>
        <w:tc>
          <w:tcPr/>
          <w:p>
            <w:pPr>
              <w:pStyle w:val="Compact"/>
              <w:jc w:val="right"/>
            </w:pPr>
            <w:r>
              <w:t xml:space="preserve">1598.1326</w:t>
            </w:r>
          </w:p>
        </w:tc>
        <w:tc>
          <w:tcPr/>
          <w:p>
            <w:pPr>
              <w:pStyle w:val="Compact"/>
              <w:jc w:val="right"/>
            </w:pPr>
            <w:r>
              <w:t xml:space="preserve">📈🔴 +2.9134%</w:t>
            </w:r>
          </w:p>
        </w:tc>
        <w:tc>
          <w:tcPr/>
          <w:p>
            <w:pPr>
              <w:pStyle w:val="Compact"/>
              <w:jc w:val="right"/>
            </w:pPr>
            <w:r>
              <w:rPr>
                <w:rFonts w:hint="eastAsia"/>
              </w:rPr>
              <w:t xml:space="preserve">718.95亿</w:t>
            </w:r>
          </w:p>
        </w:tc>
      </w:tr>
      <w:tr>
        <w:tc>
          <w:tcPr/>
          <w:p>
            <w:pPr>
              <w:pStyle w:val="Compact"/>
            </w:pPr>
            <w:r>
              <w:rPr>
                <w:rFonts w:hint="eastAsia"/>
              </w:rPr>
              <w:t xml:space="preserve">沪深300</w:t>
            </w:r>
          </w:p>
        </w:tc>
        <w:tc>
          <w:tcPr/>
          <w:p>
            <w:pPr>
              <w:pStyle w:val="Compact"/>
              <w:jc w:val="right"/>
            </w:pPr>
            <w:r>
              <w:t xml:space="preserve">4585.6547</w:t>
            </w:r>
          </w:p>
        </w:tc>
        <w:tc>
          <w:tcPr/>
          <w:p>
            <w:pPr>
              <w:pStyle w:val="Compact"/>
              <w:jc w:val="right"/>
            </w:pPr>
            <w:r>
              <w:t xml:space="preserve">📈🔴 +0.9350%</w:t>
            </w:r>
          </w:p>
        </w:tc>
        <w:tc>
          <w:tcPr/>
          <w:p>
            <w:pPr>
              <w:pStyle w:val="Compact"/>
              <w:jc w:val="right"/>
            </w:pPr>
            <w:r>
              <w:rPr>
                <w:rFonts w:hint="eastAsia"/>
              </w:rPr>
              <w:t xml:space="preserve">4245.40亿</w:t>
            </w:r>
          </w:p>
        </w:tc>
      </w:tr>
    </w:tbl>
    <w:bookmarkStart w:id="9" w:name="市场宽度"/>
    <w:p>
      <w:pPr>
        <w:pStyle w:val="Heading3"/>
      </w:pPr>
      <w:r>
        <w:t xml:space="preserve">📌 </w:t>
      </w:r>
      <w:r>
        <w:rPr>
          <w:rFonts w:hint="eastAsia"/>
        </w:rPr>
        <w:t xml:space="preserve">市场宽度</w:t>
      </w:r>
    </w:p>
    <w:p>
      <w:pPr>
        <w:pStyle w:val="Compact"/>
        <w:numPr>
          <w:ilvl w:val="0"/>
          <w:numId w:val="1001"/>
        </w:numPr>
      </w:pPr>
      <w:r>
        <w:rPr>
          <w:rFonts w:hint="eastAsia"/>
        </w:rPr>
        <w:t xml:space="preserve">上涨家数：3760家</w:t>
      </w:r>
    </w:p>
    <w:p>
      <w:pPr>
        <w:pStyle w:val="Compact"/>
        <w:numPr>
          <w:ilvl w:val="0"/>
          <w:numId w:val="1001"/>
        </w:numPr>
      </w:pPr>
      <w:r>
        <w:rPr>
          <w:rFonts w:hint="eastAsia"/>
        </w:rPr>
        <w:t xml:space="preserve">下跌家数：1599家</w:t>
      </w:r>
    </w:p>
    <w:p>
      <w:pPr>
        <w:pStyle w:val="Compact"/>
        <w:numPr>
          <w:ilvl w:val="0"/>
          <w:numId w:val="1001"/>
        </w:numPr>
      </w:pPr>
      <w:r>
        <w:rPr>
          <w:rFonts w:hint="eastAsia"/>
        </w:rPr>
        <w:t xml:space="preserve">平盘：170家</w:t>
      </w:r>
    </w:p>
    <w:p>
      <w:pPr>
        <w:pStyle w:val="Compact"/>
        <w:numPr>
          <w:ilvl w:val="0"/>
          <w:numId w:val="1001"/>
        </w:numPr>
      </w:pPr>
      <w:r>
        <w:rPr>
          <w:rFonts w:hint="eastAsia"/>
        </w:rPr>
        <w:t xml:space="preserve">涨跌比：2.351:1</w:t>
      </w:r>
    </w:p>
    <w:p>
      <w:pPr>
        <w:pStyle w:val="Compact"/>
        <w:numPr>
          <w:ilvl w:val="0"/>
          <w:numId w:val="1001"/>
        </w:numPr>
      </w:pPr>
      <w:r>
        <w:rPr>
          <w:rFonts w:hint="eastAsia"/>
        </w:rPr>
        <w:t xml:space="preserve">涨停：85家</w:t>
      </w:r>
    </w:p>
    <w:p>
      <w:pPr>
        <w:pStyle w:val="Compact"/>
        <w:numPr>
          <w:ilvl w:val="0"/>
          <w:numId w:val="1001"/>
        </w:numPr>
      </w:pPr>
      <w:r>
        <w:rPr>
          <w:rFonts w:hint="eastAsia"/>
        </w:rPr>
        <w:t xml:space="preserve">跌停：1家</w:t>
      </w:r>
    </w:p>
    <w:bookmarkEnd w:id="9"/>
    <w:bookmarkStart w:id="10" w:name="情绪周期量化判定回暖偏强但未到全面高潮"/>
    <w:p>
      <w:pPr>
        <w:pStyle w:val="Heading3"/>
      </w:pPr>
      <w:r>
        <w:t xml:space="preserve">🔥 </w:t>
      </w:r>
      <w:r>
        <w:rPr>
          <w:rFonts w:hint="eastAsia"/>
        </w:rPr>
        <w:t xml:space="preserve">情绪周期量化判定：回暖偏强，但未到全面高潮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判定</w:t>
            </w:r>
          </w:p>
        </w:tc>
      </w:tr>
      <w:tr>
        <w:tc>
          <w:tcPr/>
          <w:p>
            <w:pPr>
              <w:pStyle w:val="Compact"/>
            </w:pPr>
            <w:r>
              <w:rPr>
                <w:rFonts w:hint="eastAsia"/>
              </w:rPr>
              <w:t xml:space="preserve">涨停数</w:t>
            </w:r>
          </w:p>
        </w:tc>
        <w:tc>
          <w:tcPr/>
          <w:p>
            <w:pPr>
              <w:pStyle w:val="Compact"/>
              <w:jc w:val="right"/>
            </w:pPr>
            <w:r>
              <w:rPr>
                <w:rFonts w:hint="eastAsia"/>
              </w:rPr>
              <w:t xml:space="preserve">85家</w:t>
            </w:r>
          </w:p>
        </w:tc>
        <w:tc>
          <w:tcPr/>
          <w:p>
            <w:pPr>
              <w:pStyle w:val="Compact"/>
            </w:pPr>
            <w:r>
              <w:rPr>
                <w:rFonts w:hint="eastAsia"/>
              </w:rPr>
              <w:t xml:space="preserve">情绪活跃</w:t>
            </w:r>
          </w:p>
        </w:tc>
      </w:tr>
      <w:tr>
        <w:tc>
          <w:tcPr/>
          <w:p>
            <w:pPr>
              <w:pStyle w:val="Compact"/>
            </w:pPr>
            <w:r>
              <w:rPr>
                <w:rFonts w:hint="eastAsia"/>
              </w:rPr>
              <w:t xml:space="preserve">跌停数</w:t>
            </w:r>
          </w:p>
        </w:tc>
        <w:tc>
          <w:tcPr/>
          <w:p>
            <w:pPr>
              <w:pStyle w:val="Compact"/>
              <w:jc w:val="right"/>
            </w:pPr>
            <w:r>
              <w:rPr>
                <w:rFonts w:hint="eastAsia"/>
              </w:rPr>
              <w:t xml:space="preserve">1家</w:t>
            </w:r>
          </w:p>
        </w:tc>
        <w:tc>
          <w:tcPr/>
          <w:p>
            <w:pPr>
              <w:pStyle w:val="Compact"/>
            </w:pPr>
            <w:r>
              <w:rPr>
                <w:rFonts w:hint="eastAsia"/>
              </w:rPr>
              <w:t xml:space="preserve">亏钱效应受控</w:t>
            </w:r>
          </w:p>
        </w:tc>
      </w:tr>
      <w:tr>
        <w:tc>
          <w:tcPr/>
          <w:p>
            <w:pPr>
              <w:pStyle w:val="Compact"/>
            </w:pPr>
            <w:r>
              <w:rPr>
                <w:rFonts w:hint="eastAsia"/>
              </w:rPr>
              <w:t xml:space="preserve">炸板率</w:t>
            </w:r>
          </w:p>
        </w:tc>
        <w:tc>
          <w:tcPr/>
          <w:p>
            <w:pPr>
              <w:pStyle w:val="Compact"/>
              <w:jc w:val="right"/>
            </w:pPr>
            <w:r>
              <w:t xml:space="preserve">11.6%</w:t>
            </w:r>
          </w:p>
        </w:tc>
        <w:tc>
          <w:tcPr/>
          <w:p>
            <w:pPr>
              <w:pStyle w:val="Compact"/>
            </w:pPr>
            <w:r>
              <w:rPr>
                <w:rFonts w:hint="eastAsia"/>
              </w:rPr>
              <w:t xml:space="preserve">封板质量较好</w:t>
            </w:r>
          </w:p>
        </w:tc>
      </w:tr>
      <w:tr>
        <w:tc>
          <w:tcPr/>
          <w:p>
            <w:pPr>
              <w:pStyle w:val="Compact"/>
            </w:pPr>
            <w:r>
              <w:rPr>
                <w:rFonts w:hint="eastAsia"/>
              </w:rPr>
              <w:t xml:space="preserve">连板高度</w:t>
            </w:r>
          </w:p>
        </w:tc>
        <w:tc>
          <w:tcPr/>
          <w:p>
            <w:pPr>
              <w:pStyle w:val="Compact"/>
              <w:jc w:val="right"/>
            </w:pPr>
            <w:r>
              <w:rPr>
                <w:rFonts w:hint="eastAsia"/>
              </w:rPr>
              <w:t xml:space="preserve">7板</w:t>
            </w:r>
          </w:p>
        </w:tc>
        <w:tc>
          <w:tcPr/>
          <w:p>
            <w:pPr>
              <w:pStyle w:val="Compact"/>
            </w:pPr>
            <w:r>
              <w:rPr>
                <w:rFonts w:hint="eastAsia"/>
              </w:rPr>
              <w:t xml:space="preserve">高度打开</w:t>
            </w:r>
          </w:p>
        </w:tc>
      </w:tr>
      <w:tr>
        <w:tc>
          <w:tcPr/>
          <w:p>
            <w:pPr>
              <w:pStyle w:val="Compact"/>
            </w:pPr>
            <w:r>
              <w:rPr>
                <w:rFonts w:hint="eastAsia"/>
              </w:rPr>
              <w:t xml:space="preserve">涨跌比</w:t>
            </w:r>
          </w:p>
        </w:tc>
        <w:tc>
          <w:tcPr/>
          <w:p>
            <w:pPr>
              <w:pStyle w:val="Compact"/>
              <w:jc w:val="right"/>
            </w:pPr>
            <w:r>
              <w:t xml:space="preserve">2.351</w:t>
            </w:r>
          </w:p>
        </w:tc>
        <w:tc>
          <w:tcPr/>
          <w:p>
            <w:pPr>
              <w:pStyle w:val="Compact"/>
            </w:pPr>
            <w:r>
              <w:rPr>
                <w:rFonts w:hint="eastAsia"/>
              </w:rPr>
              <w:t xml:space="preserve">普涨修复</w:t>
            </w:r>
          </w:p>
        </w:tc>
      </w:tr>
    </w:tbl>
    <w:p>
      <w:pPr>
        <w:pStyle w:val="BodyText"/>
      </w:pPr>
      <w:r>
        <w:t xml:space="preserve">💡 </w:t>
      </w:r>
      <w:r>
        <w:rPr>
          <w:rFonts w:hint="eastAsia"/>
        </w:rPr>
        <w:t xml:space="preserve">午盘情绪周期判定为“回暖偏强”。</w:t>
      </w:r>
    </w:p>
    <w:p>
      <w:pPr>
        <w:pStyle w:val="BodyText"/>
      </w:pPr>
      <w:r>
        <w:rPr>
          <w:rFonts w:hint="eastAsia"/>
        </w:rPr>
        <w:t xml:space="preserve">理由很明确：</w:t>
      </w:r>
    </w:p>
    <w:p>
      <w:pPr>
        <w:pStyle w:val="Compact"/>
        <w:numPr>
          <w:ilvl w:val="0"/>
          <w:numId w:val="1002"/>
        </w:numPr>
      </w:pPr>
      <w:r>
        <w:rPr>
          <w:rFonts w:hint="eastAsia"/>
        </w:rPr>
        <w:t xml:space="preserve">涨停85家、跌停1家，说明短线亏钱效应明显收敛。</w:t>
      </w:r>
    </w:p>
    <w:p>
      <w:pPr>
        <w:pStyle w:val="Compact"/>
        <w:numPr>
          <w:ilvl w:val="0"/>
          <w:numId w:val="1002"/>
        </w:numPr>
      </w:pPr>
      <w:r>
        <w:rPr>
          <w:rFonts w:hint="eastAsia"/>
        </w:rPr>
        <w:t xml:space="preserve">炸板率11.6%，封板率88.4%，接力没有明显失控。</w:t>
      </w:r>
    </w:p>
    <w:p>
      <w:pPr>
        <w:pStyle w:val="Compact"/>
        <w:numPr>
          <w:ilvl w:val="0"/>
          <w:numId w:val="1002"/>
        </w:numPr>
      </w:pPr>
      <w:r>
        <w:rPr>
          <w:rFonts w:hint="eastAsia"/>
        </w:rPr>
        <w:t xml:space="preserve">但连板梯队存在“7板到3板断层”，高标与中位之间并不连续，说明不是无脑高潮，而是局部主线加速。</w:t>
      </w:r>
    </w:p>
    <w:bookmarkEnd w:id="10"/>
    <w:bookmarkEnd w:id="11"/>
    <w:bookmarkStart w:id="14" w:name="领涨板块top10与龙头科技硬件cpo医药外包集中爆发"/>
    <w:p>
      <w:pPr>
        <w:pStyle w:val="Heading2"/>
      </w:pPr>
      <w:r>
        <w:t xml:space="preserve">② 🧭 </w:t>
      </w:r>
      <w:r>
        <w:rPr>
          <w:rFonts w:hint="eastAsia"/>
        </w:rPr>
        <w:t xml:space="preserve">领涨板块TOP10与龙头：科技硬件、CPO、医药外包集中爆发</w:t>
      </w:r>
    </w:p>
    <w:p>
      <w:pPr>
        <w:pStyle w:val="FirstParagraph"/>
      </w:pPr>
      <w:r>
        <w:rPr>
          <w:rFonts w:hint="eastAsia"/>
        </w:rPr>
        <w:t xml:space="preserve">上午领涨方向集中在元件、HBM、CPO、通信设备、光刻胶、数据中心、医疗服务等方向，主线从昨日盘前预判的“先看电网电力，再看科技止跌”切换为“科技成长强修复”。</w:t>
      </w:r>
    </w:p>
    <w:bookmarkStart w:id="12" w:name="领涨板块top10"/>
    <w:p>
      <w:pPr>
        <w:pStyle w:val="Heading3"/>
      </w:pPr>
      <w:r>
        <w:t xml:space="preserve">📈🔴 </w:t>
      </w:r>
      <w:r>
        <w:rPr>
          <w:rFonts w:hint="eastAsia"/>
        </w:rPr>
        <w:t xml:space="preserve">领涨板块TOP10</w:t>
      </w:r>
    </w:p>
    <w:p>
      <w:pPr>
        <w:pStyle w:val="Compact"/>
        <w:numPr>
          <w:ilvl w:val="0"/>
          <w:numId w:val="1003"/>
        </w:numPr>
      </w:pPr>
      <w:r>
        <w:rPr>
          <w:rFonts w:hint="eastAsia"/>
        </w:rPr>
        <w:t xml:space="preserve">元件：涨幅约+6%，代表东山精密、生益科技、中京电子。</w:t>
      </w:r>
    </w:p>
    <w:p>
      <w:pPr>
        <w:pStyle w:val="Compact"/>
        <w:numPr>
          <w:ilvl w:val="0"/>
          <w:numId w:val="1003"/>
        </w:numPr>
      </w:pPr>
      <w:r>
        <w:rPr>
          <w:rFonts w:hint="eastAsia"/>
        </w:rPr>
        <w:t xml:space="preserve">高带宽内存HBM：涨幅约+5%，受存储景气与AI算力链带动。</w:t>
      </w:r>
    </w:p>
    <w:p>
      <w:pPr>
        <w:pStyle w:val="Compact"/>
        <w:numPr>
          <w:ilvl w:val="0"/>
          <w:numId w:val="1003"/>
        </w:numPr>
      </w:pPr>
      <w:r>
        <w:rPr>
          <w:rFonts w:hint="eastAsia"/>
        </w:rPr>
        <w:t xml:space="preserve">CPO/光通信模块：涨幅约+4%至+5%，代表中际旭创、新易盛、天孚通信。</w:t>
      </w:r>
    </w:p>
    <w:p>
      <w:pPr>
        <w:pStyle w:val="Compact"/>
        <w:numPr>
          <w:ilvl w:val="0"/>
          <w:numId w:val="1003"/>
        </w:numPr>
      </w:pPr>
      <w:r>
        <w:rPr>
          <w:rFonts w:hint="eastAsia"/>
        </w:rPr>
        <w:t xml:space="preserve">5G概念：涨幅约+4%，通信设备与通信服务同步走强。</w:t>
      </w:r>
    </w:p>
    <w:p>
      <w:pPr>
        <w:pStyle w:val="Compact"/>
        <w:numPr>
          <w:ilvl w:val="0"/>
          <w:numId w:val="1003"/>
        </w:numPr>
      </w:pPr>
      <w:r>
        <w:rPr>
          <w:rFonts w:hint="eastAsia"/>
        </w:rPr>
        <w:t xml:space="preserve">光刻胶：涨幅约+4%，半导体材料国产替代催化。</w:t>
      </w:r>
    </w:p>
    <w:p>
      <w:pPr>
        <w:pStyle w:val="Compact"/>
        <w:numPr>
          <w:ilvl w:val="0"/>
          <w:numId w:val="1003"/>
        </w:numPr>
      </w:pPr>
      <w:r>
        <w:rPr>
          <w:rFonts w:hint="eastAsia"/>
        </w:rPr>
        <w:t xml:space="preserve">地热能：涨幅约+4%，冰轮环境涨停。</w:t>
      </w:r>
    </w:p>
    <w:p>
      <w:pPr>
        <w:pStyle w:val="Compact"/>
        <w:numPr>
          <w:ilvl w:val="0"/>
          <w:numId w:val="1003"/>
        </w:numPr>
      </w:pPr>
      <w:r>
        <w:rPr>
          <w:rFonts w:hint="eastAsia"/>
        </w:rPr>
        <w:t xml:space="preserve">数据中心：涨幅约+3%，中青宝涨20.02%，优刻得-W涨12.57%。</w:t>
      </w:r>
    </w:p>
    <w:p>
      <w:pPr>
        <w:pStyle w:val="Compact"/>
        <w:numPr>
          <w:ilvl w:val="0"/>
          <w:numId w:val="1003"/>
        </w:numPr>
      </w:pPr>
      <w:r>
        <w:rPr>
          <w:rFonts w:hint="eastAsia"/>
        </w:rPr>
        <w:t xml:space="preserve">2026一季报预增：涨幅约+3%，联讯仪器涨17.43%，光库科技涨16.79%。</w:t>
      </w:r>
    </w:p>
    <w:p>
      <w:pPr>
        <w:pStyle w:val="Compact"/>
        <w:numPr>
          <w:ilvl w:val="0"/>
          <w:numId w:val="1003"/>
        </w:numPr>
      </w:pPr>
      <w:r>
        <w:rPr>
          <w:rFonts w:hint="eastAsia"/>
        </w:rPr>
        <w:t xml:space="preserve">显示技术：涨幅约+3%，LED概念同步走强。</w:t>
      </w:r>
    </w:p>
    <w:p>
      <w:pPr>
        <w:pStyle w:val="Compact"/>
        <w:numPr>
          <w:ilvl w:val="0"/>
          <w:numId w:val="1003"/>
        </w:numPr>
      </w:pPr>
      <w:r>
        <w:rPr>
          <w:rFonts w:hint="eastAsia"/>
        </w:rPr>
        <w:t xml:space="preserve">Web3.0/数据要素：涨幅约+3%，数字经济应用端活跃。</w:t>
      </w:r>
    </w:p>
    <w:bookmarkEnd w:id="12"/>
    <w:bookmarkStart w:id="13" w:name="主线强度排序"/>
    <w:p>
      <w:pPr>
        <w:pStyle w:val="Heading3"/>
      </w:pPr>
      <w:r>
        <w:t xml:space="preserve">🔥 </w:t>
      </w:r>
      <w:r>
        <w:rPr>
          <w:rFonts w:hint="eastAsia"/>
        </w:rPr>
        <w:t xml:space="preserve">主线强度排序</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主线</w:t>
            </w:r>
          </w:p>
        </w:tc>
        <w:tc>
          <w:tcPr/>
          <w:p>
            <w:pPr>
              <w:pStyle w:val="Compact"/>
            </w:pPr>
            <w:r>
              <w:rPr>
                <w:rFonts w:hint="eastAsia"/>
              </w:rPr>
              <w:t xml:space="preserve">上午状态</w:t>
            </w:r>
          </w:p>
        </w:tc>
        <w:tc>
          <w:tcPr/>
          <w:p>
            <w:pPr>
              <w:pStyle w:val="Compact"/>
            </w:pPr>
            <w:r>
              <w:rPr>
                <w:rFonts w:hint="eastAsia"/>
              </w:rPr>
              <w:t xml:space="preserve">代表龙头</w:t>
            </w:r>
          </w:p>
        </w:tc>
      </w:tr>
      <w:tr>
        <w:tc>
          <w:tcPr/>
          <w:p>
            <w:pPr>
              <w:pStyle w:val="Compact"/>
            </w:pPr>
            <w:r>
              <w:rPr>
                <w:rFonts w:hint="eastAsia"/>
              </w:rPr>
              <w:t xml:space="preserve">元件</w:t>
            </w:r>
          </w:p>
        </w:tc>
        <w:tc>
          <w:tcPr/>
          <w:p>
            <w:pPr>
              <w:pStyle w:val="Compact"/>
            </w:pPr>
            <w:r>
              <w:rPr>
                <w:rFonts w:hint="eastAsia"/>
              </w:rPr>
              <w:t xml:space="preserve">加速/主升</w:t>
            </w:r>
          </w:p>
        </w:tc>
        <w:tc>
          <w:tcPr/>
          <w:p>
            <w:pPr>
              <w:pStyle w:val="Compact"/>
            </w:pPr>
            <w:r>
              <w:rPr>
                <w:rFonts w:hint="eastAsia"/>
              </w:rPr>
              <w:t xml:space="preserve">东山精密、生益科技、中京电子</w:t>
            </w:r>
          </w:p>
        </w:tc>
      </w:tr>
      <w:tr>
        <w:tc>
          <w:tcPr/>
          <w:p>
            <w:pPr>
              <w:pStyle w:val="Compact"/>
            </w:pPr>
            <w:r>
              <w:rPr>
                <w:rFonts w:hint="eastAsia"/>
              </w:rPr>
              <w:t xml:space="preserve">通信设备/CPO</w:t>
            </w:r>
          </w:p>
        </w:tc>
        <w:tc>
          <w:tcPr/>
          <w:p>
            <w:pPr>
              <w:pStyle w:val="Compact"/>
            </w:pPr>
            <w:r>
              <w:rPr>
                <w:rFonts w:hint="eastAsia"/>
              </w:rPr>
              <w:t xml:space="preserve">加速/主升</w:t>
            </w:r>
          </w:p>
        </w:tc>
        <w:tc>
          <w:tcPr/>
          <w:p>
            <w:pPr>
              <w:pStyle w:val="Compact"/>
            </w:pPr>
            <w:r>
              <w:rPr>
                <w:rFonts w:hint="eastAsia"/>
              </w:rPr>
              <w:t xml:space="preserve">欣天科技、永鼎股份、中际旭创、新易盛</w:t>
            </w:r>
          </w:p>
        </w:tc>
      </w:tr>
      <w:tr>
        <w:tc>
          <w:tcPr/>
          <w:p>
            <w:pPr>
              <w:pStyle w:val="Compact"/>
            </w:pPr>
            <w:r>
              <w:rPr>
                <w:rFonts w:hint="eastAsia"/>
              </w:rPr>
              <w:t xml:space="preserve">IT服务Ⅱ/算力租赁</w:t>
            </w:r>
          </w:p>
        </w:tc>
        <w:tc>
          <w:tcPr/>
          <w:p>
            <w:pPr>
              <w:pStyle w:val="Compact"/>
            </w:pPr>
            <w:r>
              <w:rPr>
                <w:rFonts w:hint="eastAsia"/>
              </w:rPr>
              <w:t xml:space="preserve">启动/扩散</w:t>
            </w:r>
          </w:p>
        </w:tc>
        <w:tc>
          <w:tcPr/>
          <w:p>
            <w:pPr>
              <w:pStyle w:val="Compact"/>
            </w:pPr>
            <w:r>
              <w:rPr>
                <w:rFonts w:hint="eastAsia"/>
              </w:rPr>
              <w:t xml:space="preserve">美利云、青云科技-U、达实智能</w:t>
            </w:r>
          </w:p>
        </w:tc>
      </w:tr>
      <w:tr>
        <w:tc>
          <w:tcPr/>
          <w:p>
            <w:pPr>
              <w:pStyle w:val="Compact"/>
            </w:pPr>
            <w:r>
              <w:rPr>
                <w:rFonts w:hint="eastAsia"/>
              </w:rPr>
              <w:t xml:space="preserve">医疗服务/CRO</w:t>
            </w:r>
          </w:p>
        </w:tc>
        <w:tc>
          <w:tcPr/>
          <w:p>
            <w:pPr>
              <w:pStyle w:val="Compact"/>
            </w:pPr>
            <w:r>
              <w:rPr>
                <w:rFonts w:hint="eastAsia"/>
              </w:rPr>
              <w:t xml:space="preserve">加速/主升</w:t>
            </w:r>
          </w:p>
        </w:tc>
        <w:tc>
          <w:tcPr/>
          <w:p>
            <w:pPr>
              <w:pStyle w:val="Compact"/>
            </w:pPr>
            <w:r>
              <w:rPr>
                <w:rFonts w:hint="eastAsia"/>
              </w:rPr>
              <w:t xml:space="preserve">药明康德、凯莱英、百花医药</w:t>
            </w:r>
          </w:p>
        </w:tc>
      </w:tr>
      <w:tr>
        <w:tc>
          <w:tcPr/>
          <w:p>
            <w:pPr>
              <w:pStyle w:val="Compact"/>
            </w:pPr>
            <w:r>
              <w:rPr>
                <w:rFonts w:hint="eastAsia"/>
              </w:rPr>
              <w:t xml:space="preserve">电网设备</w:t>
            </w:r>
          </w:p>
        </w:tc>
        <w:tc>
          <w:tcPr/>
          <w:p>
            <w:pPr>
              <w:pStyle w:val="Compact"/>
            </w:pPr>
            <w:r>
              <w:rPr>
                <w:rFonts w:hint="eastAsia"/>
              </w:rPr>
              <w:t xml:space="preserve">启动/扩散</w:t>
            </w:r>
          </w:p>
        </w:tc>
        <w:tc>
          <w:tcPr/>
          <w:p>
            <w:pPr>
              <w:pStyle w:val="Compact"/>
            </w:pPr>
            <w:r>
              <w:rPr>
                <w:rFonts w:hint="eastAsia"/>
              </w:rPr>
              <w:t xml:space="preserve">风范股份、顺钠股份</w:t>
            </w:r>
          </w:p>
        </w:tc>
      </w:tr>
    </w:tbl>
    <w:p>
      <w:pPr>
        <w:pStyle w:val="BodyText"/>
      </w:pPr>
      <w:r>
        <w:t xml:space="preserve">💡 </w:t>
      </w:r>
      <w:r>
        <w:rPr>
          <w:rFonts w:hint="eastAsia"/>
        </w:rPr>
        <w:t xml:space="preserve">结论：上午真正的主攻是“AI算力硬件+CPO+元件+医疗服务”，电网设备仍有涨停集群，但强度低于科技成长主线。</w:t>
      </w:r>
    </w:p>
    <w:bookmarkEnd w:id="13"/>
    <w:bookmarkEnd w:id="14"/>
    <w:bookmarkStart w:id="20" w:name="资金流向四张榜资金猛烈切入通信设备元件流出集中在银行电力乘用车"/>
    <w:p>
      <w:pPr>
        <w:pStyle w:val="Heading2"/>
      </w:pPr>
      <w:r>
        <w:t xml:space="preserve">③ 💰 </w:t>
      </w:r>
      <w:r>
        <w:rPr>
          <w:rFonts w:hint="eastAsia"/>
        </w:rPr>
        <w:t xml:space="preserve">资金流向四张榜：资金猛烈切入通信设备、元件，流出集中在银行、电力、乘用车</w:t>
      </w:r>
    </w:p>
    <w:p>
      <w:pPr>
        <w:pStyle w:val="FirstParagraph"/>
      </w:pPr>
      <w:r>
        <w:rPr>
          <w:rFonts w:hint="eastAsia"/>
        </w:rPr>
        <w:t xml:space="preserve">口径：2026-08-04</w:t>
      </w:r>
      <w:r>
        <w:t xml:space="preserve"> </w:t>
      </w:r>
      <w:r>
        <w:rPr>
          <w:rFonts w:hint="eastAsia"/>
        </w:rPr>
        <w:t xml:space="preserve">11:46，盘中午间快照，申万二级行业，来源huatai+eastmoney_push2delay_clist_f62。以下仅使用采集JSON真实数据。</w:t>
      </w:r>
    </w:p>
    <w:bookmarkStart w:id="15" w:name="流出top10板块"/>
    <w:p>
      <w:pPr>
        <w:pStyle w:val="Heading3"/>
      </w:pPr>
      <w:r>
        <w:t xml:space="preserve">💰 </w:t>
      </w:r>
      <w:r>
        <w:rPr>
          <w:rFonts w:hint="eastAsia"/>
        </w:rPr>
        <w:t xml:space="preserve">流出TOP10板块</w:t>
      </w:r>
    </w:p>
    <w:p>
      <w:pPr>
        <w:pStyle w:val="Compact"/>
        <w:numPr>
          <w:ilvl w:val="0"/>
          <w:numId w:val="1004"/>
        </w:numPr>
      </w:pPr>
      <w:r>
        <w:rPr>
          <w:rFonts w:hint="eastAsia"/>
        </w:rPr>
        <w:t xml:space="preserve">银行Ⅱ：-15.88亿元</w:t>
      </w:r>
    </w:p>
    <w:p>
      <w:pPr>
        <w:pStyle w:val="Compact"/>
        <w:numPr>
          <w:ilvl w:val="0"/>
          <w:numId w:val="1004"/>
        </w:numPr>
      </w:pPr>
      <w:r>
        <w:rPr>
          <w:rFonts w:hint="eastAsia"/>
        </w:rPr>
        <w:t xml:space="preserve">电力：-13.83亿元</w:t>
      </w:r>
    </w:p>
    <w:p>
      <w:pPr>
        <w:pStyle w:val="Compact"/>
        <w:numPr>
          <w:ilvl w:val="0"/>
          <w:numId w:val="1004"/>
        </w:numPr>
      </w:pPr>
      <w:r>
        <w:rPr>
          <w:rFonts w:hint="eastAsia"/>
        </w:rPr>
        <w:t xml:space="preserve">乘用车：-11.62亿元</w:t>
      </w:r>
    </w:p>
    <w:p>
      <w:pPr>
        <w:pStyle w:val="Compact"/>
        <w:numPr>
          <w:ilvl w:val="0"/>
          <w:numId w:val="1004"/>
        </w:numPr>
      </w:pPr>
      <w:r>
        <w:rPr>
          <w:rFonts w:hint="eastAsia"/>
        </w:rPr>
        <w:t xml:space="preserve">证券Ⅱ：-8.49亿元</w:t>
      </w:r>
    </w:p>
    <w:p>
      <w:pPr>
        <w:pStyle w:val="Compact"/>
        <w:numPr>
          <w:ilvl w:val="0"/>
          <w:numId w:val="1004"/>
        </w:numPr>
      </w:pPr>
      <w:r>
        <w:rPr>
          <w:rFonts w:hint="eastAsia"/>
        </w:rPr>
        <w:t xml:space="preserve">白酒Ⅱ：-8.48亿元</w:t>
      </w:r>
    </w:p>
    <w:p>
      <w:pPr>
        <w:pStyle w:val="Compact"/>
        <w:numPr>
          <w:ilvl w:val="0"/>
          <w:numId w:val="1004"/>
        </w:numPr>
      </w:pPr>
      <w:r>
        <w:rPr>
          <w:rFonts w:hint="eastAsia"/>
        </w:rPr>
        <w:t xml:space="preserve">工业金属：-6.75亿元</w:t>
      </w:r>
    </w:p>
    <w:p>
      <w:pPr>
        <w:pStyle w:val="Compact"/>
        <w:numPr>
          <w:ilvl w:val="0"/>
          <w:numId w:val="1004"/>
        </w:numPr>
      </w:pPr>
      <w:r>
        <w:rPr>
          <w:rFonts w:hint="eastAsia"/>
        </w:rPr>
        <w:t xml:space="preserve">白色家电：-5.84亿元</w:t>
      </w:r>
    </w:p>
    <w:p>
      <w:pPr>
        <w:pStyle w:val="Compact"/>
        <w:numPr>
          <w:ilvl w:val="0"/>
          <w:numId w:val="1004"/>
        </w:numPr>
      </w:pPr>
      <w:r>
        <w:rPr>
          <w:rFonts w:hint="eastAsia"/>
        </w:rPr>
        <w:t xml:space="preserve">保险Ⅱ：-5.62亿元</w:t>
      </w:r>
    </w:p>
    <w:p>
      <w:pPr>
        <w:pStyle w:val="Compact"/>
        <w:numPr>
          <w:ilvl w:val="0"/>
          <w:numId w:val="1004"/>
        </w:numPr>
      </w:pPr>
      <w:r>
        <w:rPr>
          <w:rFonts w:hint="eastAsia"/>
        </w:rPr>
        <w:t xml:space="preserve">化学制品：-5.41亿元</w:t>
      </w:r>
    </w:p>
    <w:p>
      <w:pPr>
        <w:pStyle w:val="Compact"/>
        <w:numPr>
          <w:ilvl w:val="0"/>
          <w:numId w:val="1004"/>
        </w:numPr>
      </w:pPr>
      <w:r>
        <w:rPr>
          <w:rFonts w:hint="eastAsia"/>
        </w:rPr>
        <w:t xml:space="preserve">基础建设：-5.17亿元</w:t>
      </w:r>
    </w:p>
    <w:bookmarkEnd w:id="15"/>
    <w:bookmarkStart w:id="16" w:name="流出top10个股"/>
    <w:p>
      <w:pPr>
        <w:pStyle w:val="Heading3"/>
      </w:pPr>
      <w:r>
        <w:t xml:space="preserve">💰 </w:t>
      </w:r>
      <w:r>
        <w:rPr>
          <w:rFonts w:hint="eastAsia"/>
        </w:rPr>
        <w:t xml:space="preserve">流出TOP10个股</w:t>
      </w:r>
    </w:p>
    <w:p>
      <w:pPr>
        <w:pStyle w:val="Compact"/>
        <w:numPr>
          <w:ilvl w:val="0"/>
          <w:numId w:val="1005"/>
        </w:numPr>
      </w:pPr>
      <w:r>
        <w:rPr>
          <w:rFonts w:hint="eastAsia"/>
        </w:rPr>
        <w:t xml:space="preserve">长鑫科技(688825)：主力净流出-10.09亿</w:t>
      </w:r>
    </w:p>
    <w:p>
      <w:pPr>
        <w:pStyle w:val="Compact"/>
        <w:numPr>
          <w:ilvl w:val="0"/>
          <w:numId w:val="1005"/>
        </w:numPr>
      </w:pPr>
      <w:r>
        <w:rPr>
          <w:rFonts w:hint="eastAsia"/>
        </w:rPr>
        <w:t xml:space="preserve">比亚迪(002594)：主力净流出-7.98亿</w:t>
      </w:r>
    </w:p>
    <w:p>
      <w:pPr>
        <w:pStyle w:val="Compact"/>
        <w:numPr>
          <w:ilvl w:val="0"/>
          <w:numId w:val="1005"/>
        </w:numPr>
      </w:pPr>
      <w:r>
        <w:rPr>
          <w:rFonts w:hint="eastAsia"/>
        </w:rPr>
        <w:t xml:space="preserve">紫金矿业(601899)：主力净流出-6.62亿</w:t>
      </w:r>
    </w:p>
    <w:p>
      <w:pPr>
        <w:pStyle w:val="Compact"/>
        <w:numPr>
          <w:ilvl w:val="0"/>
          <w:numId w:val="1005"/>
        </w:numPr>
      </w:pPr>
      <w:r>
        <w:rPr>
          <w:rFonts w:hint="eastAsia"/>
        </w:rPr>
        <w:t xml:space="preserve">农业银行(601288)：主力净流出-5.38亿</w:t>
      </w:r>
    </w:p>
    <w:p>
      <w:pPr>
        <w:pStyle w:val="Compact"/>
        <w:numPr>
          <w:ilvl w:val="0"/>
          <w:numId w:val="1005"/>
        </w:numPr>
      </w:pPr>
      <w:r>
        <w:rPr>
          <w:rFonts w:hint="eastAsia"/>
        </w:rPr>
        <w:t xml:space="preserve">风华高科(000636)：主力净流出-4.86亿</w:t>
      </w:r>
    </w:p>
    <w:p>
      <w:pPr>
        <w:pStyle w:val="Compact"/>
        <w:numPr>
          <w:ilvl w:val="0"/>
          <w:numId w:val="1005"/>
        </w:numPr>
      </w:pPr>
      <w:r>
        <w:rPr>
          <w:rFonts w:hint="eastAsia"/>
        </w:rPr>
        <w:t xml:space="preserve">中芯国际(688981)：主力净流出-4.64亿</w:t>
      </w:r>
    </w:p>
    <w:p>
      <w:pPr>
        <w:pStyle w:val="Compact"/>
        <w:numPr>
          <w:ilvl w:val="0"/>
          <w:numId w:val="1005"/>
        </w:numPr>
      </w:pPr>
      <w:r>
        <w:rPr>
          <w:rFonts w:hint="eastAsia"/>
        </w:rPr>
        <w:t xml:space="preserve">华电辽能(600396)：主力净流出-3.89亿</w:t>
      </w:r>
    </w:p>
    <w:p>
      <w:pPr>
        <w:pStyle w:val="Compact"/>
        <w:numPr>
          <w:ilvl w:val="0"/>
          <w:numId w:val="1005"/>
        </w:numPr>
      </w:pPr>
      <w:r>
        <w:rPr>
          <w:rFonts w:hint="eastAsia"/>
        </w:rPr>
        <w:t xml:space="preserve">贵州茅台(600519)：主力净流出-3.66亿</w:t>
      </w:r>
    </w:p>
    <w:p>
      <w:pPr>
        <w:pStyle w:val="Compact"/>
        <w:numPr>
          <w:ilvl w:val="0"/>
          <w:numId w:val="1005"/>
        </w:numPr>
      </w:pPr>
      <w:r>
        <w:rPr>
          <w:rFonts w:hint="eastAsia"/>
        </w:rPr>
        <w:t xml:space="preserve">太极实业(600667)：主力净流出-3.56亿</w:t>
      </w:r>
    </w:p>
    <w:p>
      <w:pPr>
        <w:pStyle w:val="Compact"/>
        <w:numPr>
          <w:ilvl w:val="0"/>
          <w:numId w:val="1005"/>
        </w:numPr>
      </w:pPr>
      <w:r>
        <w:rPr>
          <w:rFonts w:hint="eastAsia"/>
        </w:rPr>
        <w:t xml:space="preserve">中微公司(688012)：主力净流出-3.47亿</w:t>
      </w:r>
    </w:p>
    <w:bookmarkEnd w:id="16"/>
    <w:bookmarkStart w:id="17" w:name="流入top10板块"/>
    <w:p>
      <w:pPr>
        <w:pStyle w:val="Heading3"/>
      </w:pPr>
      <w:r>
        <w:t xml:space="preserve">💰 </w:t>
      </w:r>
      <w:r>
        <w:rPr>
          <w:rFonts w:hint="eastAsia"/>
        </w:rPr>
        <w:t xml:space="preserve">流入TOP10板块</w:t>
      </w:r>
    </w:p>
    <w:p>
      <w:pPr>
        <w:pStyle w:val="Compact"/>
        <w:numPr>
          <w:ilvl w:val="0"/>
          <w:numId w:val="1006"/>
        </w:numPr>
      </w:pPr>
      <w:r>
        <w:rPr>
          <w:rFonts w:hint="eastAsia"/>
        </w:rPr>
        <w:t xml:space="preserve">通信设备：+151.50亿元</w:t>
      </w:r>
    </w:p>
    <w:p>
      <w:pPr>
        <w:pStyle w:val="Compact"/>
        <w:numPr>
          <w:ilvl w:val="0"/>
          <w:numId w:val="1006"/>
        </w:numPr>
      </w:pPr>
      <w:r>
        <w:rPr>
          <w:rFonts w:hint="eastAsia"/>
        </w:rPr>
        <w:t xml:space="preserve">元件：+96.67亿元</w:t>
      </w:r>
    </w:p>
    <w:p>
      <w:pPr>
        <w:pStyle w:val="Compact"/>
        <w:numPr>
          <w:ilvl w:val="0"/>
          <w:numId w:val="1006"/>
        </w:numPr>
      </w:pPr>
      <w:r>
        <w:rPr>
          <w:rFonts w:hint="eastAsia"/>
        </w:rPr>
        <w:t xml:space="preserve">半导体：+41.34亿元</w:t>
      </w:r>
    </w:p>
    <w:p>
      <w:pPr>
        <w:pStyle w:val="Compact"/>
        <w:numPr>
          <w:ilvl w:val="0"/>
          <w:numId w:val="1006"/>
        </w:numPr>
      </w:pPr>
      <w:r>
        <w:rPr>
          <w:rFonts w:hint="eastAsia"/>
        </w:rPr>
        <w:t xml:space="preserve">IT服务Ⅱ：+28.56亿元</w:t>
      </w:r>
    </w:p>
    <w:p>
      <w:pPr>
        <w:pStyle w:val="Compact"/>
        <w:numPr>
          <w:ilvl w:val="0"/>
          <w:numId w:val="1006"/>
        </w:numPr>
      </w:pPr>
      <w:r>
        <w:rPr>
          <w:rFonts w:hint="eastAsia"/>
        </w:rPr>
        <w:t xml:space="preserve">医疗服务：+25.56亿元</w:t>
      </w:r>
    </w:p>
    <w:p>
      <w:pPr>
        <w:pStyle w:val="Compact"/>
        <w:numPr>
          <w:ilvl w:val="0"/>
          <w:numId w:val="1006"/>
        </w:numPr>
      </w:pPr>
      <w:r>
        <w:rPr>
          <w:rFonts w:hint="eastAsia"/>
        </w:rPr>
        <w:t xml:space="preserve">消费电子：+20.23亿元</w:t>
      </w:r>
    </w:p>
    <w:p>
      <w:pPr>
        <w:pStyle w:val="Compact"/>
        <w:numPr>
          <w:ilvl w:val="0"/>
          <w:numId w:val="1006"/>
        </w:numPr>
      </w:pPr>
      <w:r>
        <w:rPr>
          <w:rFonts w:hint="eastAsia"/>
        </w:rPr>
        <w:t xml:space="preserve">小金属：+18.67亿元</w:t>
      </w:r>
    </w:p>
    <w:p>
      <w:pPr>
        <w:pStyle w:val="Compact"/>
        <w:numPr>
          <w:ilvl w:val="0"/>
          <w:numId w:val="1006"/>
        </w:numPr>
      </w:pPr>
      <w:r>
        <w:rPr>
          <w:rFonts w:hint="eastAsia"/>
        </w:rPr>
        <w:t xml:space="preserve">光学光电子：+17.01亿元</w:t>
      </w:r>
    </w:p>
    <w:p>
      <w:pPr>
        <w:pStyle w:val="Compact"/>
        <w:numPr>
          <w:ilvl w:val="0"/>
          <w:numId w:val="1006"/>
        </w:numPr>
      </w:pPr>
      <w:r>
        <w:rPr>
          <w:rFonts w:hint="eastAsia"/>
        </w:rPr>
        <w:t xml:space="preserve">自动化设备：+16.05亿元</w:t>
      </w:r>
    </w:p>
    <w:p>
      <w:pPr>
        <w:pStyle w:val="Compact"/>
        <w:numPr>
          <w:ilvl w:val="0"/>
          <w:numId w:val="1006"/>
        </w:numPr>
      </w:pPr>
      <w:r>
        <w:rPr>
          <w:rFonts w:hint="eastAsia"/>
        </w:rPr>
        <w:t xml:space="preserve">通用设备：+12.82亿元</w:t>
      </w:r>
    </w:p>
    <w:bookmarkEnd w:id="17"/>
    <w:bookmarkStart w:id="18" w:name="流入top10个股"/>
    <w:p>
      <w:pPr>
        <w:pStyle w:val="Heading3"/>
      </w:pPr>
      <w:r>
        <w:t xml:space="preserve">💰 </w:t>
      </w:r>
      <w:r>
        <w:rPr>
          <w:rFonts w:hint="eastAsia"/>
        </w:rPr>
        <w:t xml:space="preserve">流入TOP10个股</w:t>
      </w:r>
    </w:p>
    <w:p>
      <w:pPr>
        <w:pStyle w:val="Compact"/>
        <w:numPr>
          <w:ilvl w:val="0"/>
          <w:numId w:val="1007"/>
        </w:numPr>
      </w:pPr>
      <w:r>
        <w:rPr>
          <w:rFonts w:hint="eastAsia"/>
        </w:rPr>
        <w:t xml:space="preserve">东山精密(002384)：+42.59亿</w:t>
      </w:r>
    </w:p>
    <w:p>
      <w:pPr>
        <w:pStyle w:val="Compact"/>
        <w:numPr>
          <w:ilvl w:val="0"/>
          <w:numId w:val="1007"/>
        </w:numPr>
      </w:pPr>
      <w:r>
        <w:rPr>
          <w:rFonts w:hint="eastAsia"/>
        </w:rPr>
        <w:t xml:space="preserve">中际旭创(300308)：+37.18亿</w:t>
      </w:r>
    </w:p>
    <w:p>
      <w:pPr>
        <w:pStyle w:val="Compact"/>
        <w:numPr>
          <w:ilvl w:val="0"/>
          <w:numId w:val="1007"/>
        </w:numPr>
      </w:pPr>
      <w:r>
        <w:rPr>
          <w:rFonts w:hint="eastAsia"/>
        </w:rPr>
        <w:t xml:space="preserve">新易盛(300502)：+34.84亿</w:t>
      </w:r>
    </w:p>
    <w:p>
      <w:pPr>
        <w:pStyle w:val="Compact"/>
        <w:numPr>
          <w:ilvl w:val="0"/>
          <w:numId w:val="1007"/>
        </w:numPr>
      </w:pPr>
      <w:r>
        <w:rPr>
          <w:rFonts w:hint="eastAsia"/>
        </w:rPr>
        <w:t xml:space="preserve">药明康德(603259)：+19.18亿</w:t>
      </w:r>
    </w:p>
    <w:p>
      <w:pPr>
        <w:pStyle w:val="Compact"/>
        <w:numPr>
          <w:ilvl w:val="0"/>
          <w:numId w:val="1007"/>
        </w:numPr>
      </w:pPr>
      <w:r>
        <w:rPr>
          <w:rFonts w:hint="eastAsia"/>
        </w:rPr>
        <w:t xml:space="preserve">天孚通信(300394)：+17.59亿</w:t>
      </w:r>
    </w:p>
    <w:p>
      <w:pPr>
        <w:pStyle w:val="Compact"/>
        <w:numPr>
          <w:ilvl w:val="0"/>
          <w:numId w:val="1007"/>
        </w:numPr>
      </w:pPr>
      <w:r>
        <w:rPr>
          <w:rFonts w:hint="eastAsia"/>
        </w:rPr>
        <w:t xml:space="preserve">永鼎股份(600105)：+15.65亿</w:t>
      </w:r>
    </w:p>
    <w:p>
      <w:pPr>
        <w:pStyle w:val="Compact"/>
        <w:numPr>
          <w:ilvl w:val="0"/>
          <w:numId w:val="1007"/>
        </w:numPr>
      </w:pPr>
      <w:r>
        <w:rPr>
          <w:rFonts w:hint="eastAsia"/>
        </w:rPr>
        <w:t xml:space="preserve">N嘉立创(001232)：+12.45亿</w:t>
      </w:r>
    </w:p>
    <w:p>
      <w:pPr>
        <w:pStyle w:val="Compact"/>
        <w:numPr>
          <w:ilvl w:val="0"/>
          <w:numId w:val="1007"/>
        </w:numPr>
      </w:pPr>
      <w:r>
        <w:rPr>
          <w:rFonts w:hint="eastAsia"/>
        </w:rPr>
        <w:t xml:space="preserve">生益科技(600183)：+9.89亿</w:t>
      </w:r>
    </w:p>
    <w:p>
      <w:pPr>
        <w:pStyle w:val="Compact"/>
        <w:numPr>
          <w:ilvl w:val="0"/>
          <w:numId w:val="1007"/>
        </w:numPr>
      </w:pPr>
      <w:r>
        <w:rPr>
          <w:rFonts w:hint="eastAsia"/>
        </w:rPr>
        <w:t xml:space="preserve">云南锗业(002428)：+8.51亿</w:t>
      </w:r>
    </w:p>
    <w:p>
      <w:pPr>
        <w:pStyle w:val="Compact"/>
        <w:numPr>
          <w:ilvl w:val="0"/>
          <w:numId w:val="1007"/>
        </w:numPr>
      </w:pPr>
      <w:r>
        <w:rPr>
          <w:rFonts w:hint="eastAsia"/>
        </w:rPr>
        <w:t xml:space="preserve">光迅科技(002281)：+7.39亿</w:t>
      </w:r>
    </w:p>
    <w:bookmarkEnd w:id="18"/>
    <w:bookmarkStart w:id="19" w:name="资金结论"/>
    <w:p>
      <w:pPr>
        <w:pStyle w:val="Heading3"/>
      </w:pPr>
      <w:r>
        <w:t xml:space="preserve">📌 </w:t>
      </w:r>
      <w:r>
        <w:rPr>
          <w:rFonts w:hint="eastAsia"/>
        </w:rPr>
        <w:t xml:space="preserve">资金结论</w:t>
      </w:r>
    </w:p>
    <w:p>
      <w:pPr>
        <w:pStyle w:val="FirstParagraph"/>
      </w:pPr>
      <w:r>
        <w:t xml:space="preserve">💡 </w:t>
      </w:r>
      <w:r>
        <w:rPr>
          <w:rFonts w:hint="eastAsia"/>
        </w:rPr>
        <w:t xml:space="preserve">上午资金不是平均普涨，而是典型的“从低弹性权重切向高弹性科技成长”。</w:t>
      </w:r>
    </w:p>
    <w:p>
      <w:pPr>
        <w:pStyle w:val="Compact"/>
        <w:numPr>
          <w:ilvl w:val="0"/>
          <w:numId w:val="1008"/>
        </w:numPr>
      </w:pPr>
      <w:r>
        <w:rPr>
          <w:rFonts w:hint="eastAsia"/>
        </w:rPr>
        <w:t xml:space="preserve">通信设备净流入+151.50亿元，断层第一，是午盘最强主线。</w:t>
      </w:r>
    </w:p>
    <w:p>
      <w:pPr>
        <w:pStyle w:val="Compact"/>
        <w:numPr>
          <w:ilvl w:val="0"/>
          <w:numId w:val="1008"/>
        </w:numPr>
      </w:pPr>
      <w:r>
        <w:rPr>
          <w:rFonts w:hint="eastAsia"/>
        </w:rPr>
        <w:t xml:space="preserve">元件净流入+96.67亿元，东山精密+42.59亿、生益科技+9.89亿，资金承接非常明确。</w:t>
      </w:r>
    </w:p>
    <w:p>
      <w:pPr>
        <w:pStyle w:val="Compact"/>
        <w:numPr>
          <w:ilvl w:val="0"/>
          <w:numId w:val="1008"/>
        </w:numPr>
      </w:pPr>
      <w:r>
        <w:rPr>
          <w:rFonts w:hint="eastAsia"/>
        </w:rPr>
        <w:t xml:space="preserve">半导体板块净流入+41.34亿元，但长鑫科技、中芯国际、中微公司仍在个股流出榜，说明半导体内部仍有分化。</w:t>
      </w:r>
    </w:p>
    <w:p>
      <w:pPr>
        <w:pStyle w:val="Compact"/>
        <w:numPr>
          <w:ilvl w:val="0"/>
          <w:numId w:val="1008"/>
        </w:numPr>
      </w:pPr>
      <w:r>
        <w:rPr>
          <w:rFonts w:hint="eastAsia"/>
        </w:rPr>
        <w:t xml:space="preserve">银行Ⅱ、电力、乘用车、证券Ⅱ、白酒Ⅱ同时流出，说明资金从权重、防御、昨日政策线中撤出。</w:t>
      </w:r>
    </w:p>
    <w:bookmarkEnd w:id="19"/>
    <w:bookmarkEnd w:id="20"/>
    <w:bookmarkStart w:id="23" w:name="资金流出预警权重退潮与高位科技分歧并存"/>
    <w:p>
      <w:pPr>
        <w:pStyle w:val="Heading2"/>
      </w:pPr>
      <w:r>
        <w:t xml:space="preserve">④ ⚠️ </w:t>
      </w:r>
      <w:r>
        <w:rPr>
          <w:rFonts w:hint="eastAsia"/>
        </w:rPr>
        <w:t xml:space="preserve">资金流出预警：权重退潮与高位科技分歧并存</w:t>
      </w:r>
    </w:p>
    <w:bookmarkStart w:id="21" w:name="流出板块风险"/>
    <w:p>
      <w:pPr>
        <w:pStyle w:val="Heading3"/>
      </w:pPr>
      <w:r>
        <w:t xml:space="preserve">⚠️ </w:t>
      </w:r>
      <w:r>
        <w:rPr>
          <w:rFonts w:hint="eastAsia"/>
        </w:rPr>
        <w:t xml:space="preserve">流出板块风险</w:t>
      </w:r>
    </w:p>
    <w:p>
      <w:pPr>
        <w:pStyle w:val="Compact"/>
        <w:numPr>
          <w:ilvl w:val="0"/>
          <w:numId w:val="1009"/>
        </w:numPr>
      </w:pPr>
      <w:r>
        <w:rPr>
          <w:rFonts w:hint="eastAsia"/>
        </w:rPr>
        <w:t xml:space="preserve">银行Ⅱ流出-15.88亿元，成为上午最大流出板块。</w:t>
      </w:r>
    </w:p>
    <w:p>
      <w:pPr>
        <w:pStyle w:val="Compact"/>
        <w:numPr>
          <w:ilvl w:val="0"/>
          <w:numId w:val="1009"/>
        </w:numPr>
      </w:pPr>
      <w:r>
        <w:rPr>
          <w:rFonts w:hint="eastAsia"/>
        </w:rPr>
        <w:t xml:space="preserve">电力流出-13.83亿元，与盘前“电力政策线优先”预判相反，说明政策线被科技成长虹吸。</w:t>
      </w:r>
    </w:p>
    <w:p>
      <w:pPr>
        <w:pStyle w:val="Compact"/>
        <w:numPr>
          <w:ilvl w:val="0"/>
          <w:numId w:val="1009"/>
        </w:numPr>
      </w:pPr>
      <w:r>
        <w:rPr>
          <w:rFonts w:hint="eastAsia"/>
        </w:rPr>
        <w:t xml:space="preserve">乘用车流出-11.62亿元，比亚迪个股流出-7.98亿，汽车权重承压。</w:t>
      </w:r>
    </w:p>
    <w:p>
      <w:pPr>
        <w:pStyle w:val="Compact"/>
        <w:numPr>
          <w:ilvl w:val="0"/>
          <w:numId w:val="1009"/>
        </w:numPr>
      </w:pPr>
      <w:r>
        <w:rPr>
          <w:rFonts w:hint="eastAsia"/>
        </w:rPr>
        <w:t xml:space="preserve">证券Ⅱ流出-8.49亿元，指数虽红，但券商没有成为进攻中军。</w:t>
      </w:r>
    </w:p>
    <w:p>
      <w:pPr>
        <w:pStyle w:val="Compact"/>
        <w:numPr>
          <w:ilvl w:val="0"/>
          <w:numId w:val="1009"/>
        </w:numPr>
      </w:pPr>
      <w:r>
        <w:rPr>
          <w:rFonts w:hint="eastAsia"/>
        </w:rPr>
        <w:t xml:space="preserve">白酒Ⅱ流出-8.48亿元，消费权重仍非资金主线。</w:t>
      </w:r>
    </w:p>
    <w:bookmarkEnd w:id="21"/>
    <w:bookmarkStart w:id="22" w:name="流出个股风险"/>
    <w:p>
      <w:pPr>
        <w:pStyle w:val="Heading3"/>
      </w:pPr>
      <w:r>
        <w:t xml:space="preserve">⚠️ </w:t>
      </w:r>
      <w:r>
        <w:rPr>
          <w:rFonts w:hint="eastAsia"/>
        </w:rPr>
        <w:t xml:space="preserve">流出个股风险</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个股</w:t>
            </w:r>
          </w:p>
        </w:tc>
        <w:tc>
          <w:tcPr/>
          <w:p>
            <w:pPr>
              <w:pStyle w:val="Compact"/>
              <w:jc w:val="right"/>
            </w:pPr>
            <w:r>
              <w:rPr>
                <w:rFonts w:hint="eastAsia"/>
              </w:rPr>
              <w:t xml:space="preserve">净流出</w:t>
            </w:r>
          </w:p>
        </w:tc>
        <w:tc>
          <w:tcPr/>
          <w:p>
            <w:pPr>
              <w:pStyle w:val="Compact"/>
            </w:pPr>
            <w:r>
              <w:rPr>
                <w:rFonts w:hint="eastAsia"/>
              </w:rPr>
              <w:t xml:space="preserve">风险点</w:t>
            </w:r>
          </w:p>
        </w:tc>
      </w:tr>
      <w:tr>
        <w:tc>
          <w:tcPr/>
          <w:p>
            <w:pPr>
              <w:pStyle w:val="Compact"/>
            </w:pPr>
            <w:r>
              <w:rPr>
                <w:rFonts w:hint="eastAsia"/>
              </w:rPr>
              <w:t xml:space="preserve">长鑫科技</w:t>
            </w:r>
          </w:p>
        </w:tc>
        <w:tc>
          <w:tcPr/>
          <w:p>
            <w:pPr>
              <w:pStyle w:val="Compact"/>
              <w:jc w:val="right"/>
            </w:pPr>
            <w:r>
              <w:rPr>
                <w:rFonts w:hint="eastAsia"/>
              </w:rPr>
              <w:t xml:space="preserve">-10.09亿</w:t>
            </w:r>
          </w:p>
        </w:tc>
        <w:tc>
          <w:tcPr/>
          <w:p>
            <w:pPr>
              <w:pStyle w:val="Compact"/>
            </w:pPr>
            <w:r>
              <w:rPr>
                <w:rFonts w:hint="eastAsia"/>
              </w:rPr>
              <w:t xml:space="preserve">半导体核心分歧仍未完全消除</w:t>
            </w:r>
          </w:p>
        </w:tc>
      </w:tr>
      <w:tr>
        <w:tc>
          <w:tcPr/>
          <w:p>
            <w:pPr>
              <w:pStyle w:val="Compact"/>
            </w:pPr>
            <w:r>
              <w:rPr>
                <w:rFonts w:hint="eastAsia"/>
              </w:rPr>
              <w:t xml:space="preserve">比亚迪</w:t>
            </w:r>
          </w:p>
        </w:tc>
        <w:tc>
          <w:tcPr/>
          <w:p>
            <w:pPr>
              <w:pStyle w:val="Compact"/>
              <w:jc w:val="right"/>
            </w:pPr>
            <w:r>
              <w:rPr>
                <w:rFonts w:hint="eastAsia"/>
              </w:rPr>
              <w:t xml:space="preserve">-7.98亿</w:t>
            </w:r>
          </w:p>
        </w:tc>
        <w:tc>
          <w:tcPr/>
          <w:p>
            <w:pPr>
              <w:pStyle w:val="Compact"/>
            </w:pPr>
            <w:r>
              <w:rPr>
                <w:rFonts w:hint="eastAsia"/>
              </w:rPr>
              <w:t xml:space="preserve">乘用车权重承压</w:t>
            </w:r>
          </w:p>
        </w:tc>
      </w:tr>
      <w:tr>
        <w:tc>
          <w:tcPr/>
          <w:p>
            <w:pPr>
              <w:pStyle w:val="Compact"/>
            </w:pPr>
            <w:r>
              <w:rPr>
                <w:rFonts w:hint="eastAsia"/>
              </w:rPr>
              <w:t xml:space="preserve">紫金矿业</w:t>
            </w:r>
          </w:p>
        </w:tc>
        <w:tc>
          <w:tcPr/>
          <w:p>
            <w:pPr>
              <w:pStyle w:val="Compact"/>
              <w:jc w:val="right"/>
            </w:pPr>
            <w:r>
              <w:rPr>
                <w:rFonts w:hint="eastAsia"/>
              </w:rPr>
              <w:t xml:space="preserve">-6.62亿</w:t>
            </w:r>
          </w:p>
        </w:tc>
        <w:tc>
          <w:tcPr/>
          <w:p>
            <w:pPr>
              <w:pStyle w:val="Compact"/>
            </w:pPr>
            <w:r>
              <w:rPr>
                <w:rFonts w:hint="eastAsia"/>
              </w:rPr>
              <w:t xml:space="preserve">工业金属资金撤离</w:t>
            </w:r>
          </w:p>
        </w:tc>
      </w:tr>
      <w:tr>
        <w:tc>
          <w:tcPr/>
          <w:p>
            <w:pPr>
              <w:pStyle w:val="Compact"/>
            </w:pPr>
            <w:r>
              <w:rPr>
                <w:rFonts w:hint="eastAsia"/>
              </w:rPr>
              <w:t xml:space="preserve">农业银行</w:t>
            </w:r>
          </w:p>
        </w:tc>
        <w:tc>
          <w:tcPr/>
          <w:p>
            <w:pPr>
              <w:pStyle w:val="Compact"/>
              <w:jc w:val="right"/>
            </w:pPr>
            <w:r>
              <w:rPr>
                <w:rFonts w:hint="eastAsia"/>
              </w:rPr>
              <w:t xml:space="preserve">-5.38亿</w:t>
            </w:r>
          </w:p>
        </w:tc>
        <w:tc>
          <w:tcPr/>
          <w:p>
            <w:pPr>
              <w:pStyle w:val="Compact"/>
            </w:pPr>
            <w:r>
              <w:rPr>
                <w:rFonts w:hint="eastAsia"/>
              </w:rPr>
              <w:t xml:space="preserve">银行权重拖累沪指</w:t>
            </w:r>
          </w:p>
        </w:tc>
      </w:tr>
      <w:tr>
        <w:tc>
          <w:tcPr/>
          <w:p>
            <w:pPr>
              <w:pStyle w:val="Compact"/>
            </w:pPr>
            <w:r>
              <w:rPr>
                <w:rFonts w:hint="eastAsia"/>
              </w:rPr>
              <w:t xml:space="preserve">风华高科</w:t>
            </w:r>
          </w:p>
        </w:tc>
        <w:tc>
          <w:tcPr/>
          <w:p>
            <w:pPr>
              <w:pStyle w:val="Compact"/>
              <w:jc w:val="right"/>
            </w:pPr>
            <w:r>
              <w:rPr>
                <w:rFonts w:hint="eastAsia"/>
              </w:rPr>
              <w:t xml:space="preserve">-4.86亿</w:t>
            </w:r>
          </w:p>
        </w:tc>
        <w:tc>
          <w:tcPr/>
          <w:p>
            <w:pPr>
              <w:pStyle w:val="Compact"/>
            </w:pPr>
            <w:r>
              <w:rPr>
                <w:rFonts w:hint="eastAsia"/>
              </w:rPr>
              <w:t xml:space="preserve">元件内部并非全面一致</w:t>
            </w:r>
          </w:p>
        </w:tc>
      </w:tr>
    </w:tbl>
    <w:p>
      <w:pPr>
        <w:pStyle w:val="BodyText"/>
      </w:pPr>
      <w:r>
        <w:t xml:space="preserve">💡 </w:t>
      </w:r>
      <w:r>
        <w:rPr>
          <w:rFonts w:hint="eastAsia"/>
        </w:rPr>
        <w:t xml:space="preserve">下午重点预警：</w:t>
      </w:r>
    </w:p>
    <w:p>
      <w:pPr>
        <w:pStyle w:val="Compact"/>
        <w:numPr>
          <w:ilvl w:val="0"/>
          <w:numId w:val="1010"/>
        </w:numPr>
      </w:pPr>
      <w:r>
        <w:rPr>
          <w:rFonts w:hint="eastAsia"/>
        </w:rPr>
        <w:t xml:space="preserve">若通信设备、元件流入继续扩大，市场仍可维持强修复。</w:t>
      </w:r>
    </w:p>
    <w:p>
      <w:pPr>
        <w:pStyle w:val="Compact"/>
        <w:numPr>
          <w:ilvl w:val="0"/>
          <w:numId w:val="1010"/>
        </w:numPr>
      </w:pPr>
      <w:r>
        <w:rPr>
          <w:rFonts w:hint="eastAsia"/>
        </w:rPr>
        <w:t xml:space="preserve">若长鑫科技、中芯国际、中微公司继续流出并拖累科创50，半导体不要盲目追。</w:t>
      </w:r>
    </w:p>
    <w:p>
      <w:pPr>
        <w:pStyle w:val="Compact"/>
        <w:numPr>
          <w:ilvl w:val="0"/>
          <w:numId w:val="1010"/>
        </w:numPr>
      </w:pPr>
      <w:r>
        <w:rPr>
          <w:rFonts w:hint="eastAsia"/>
        </w:rPr>
        <w:t xml:space="preserve">银行、电力、乘用车若下午继续流出，沪指可能弱于创业板的格局不变。</w:t>
      </w:r>
    </w:p>
    <w:bookmarkEnd w:id="22"/>
    <w:bookmarkEnd w:id="23"/>
    <w:bookmarkStart w:id="27" w:name="盘前预判vs实盘方向部分命中但主次发生明显切换"/>
    <w:p>
      <w:pPr>
        <w:pStyle w:val="Heading2"/>
      </w:pPr>
      <w:r>
        <w:t xml:space="preserve">⑤ 🔁 </w:t>
      </w:r>
      <w:r>
        <w:rPr>
          <w:rFonts w:hint="eastAsia"/>
        </w:rPr>
        <w:t xml:space="preserve">盘前预判vs实盘：方向部分命中，但主次发生明显切换</w:t>
      </w:r>
    </w:p>
    <w:bookmarkStart w:id="24" w:name="命中的部分"/>
    <w:p>
      <w:pPr>
        <w:pStyle w:val="Heading3"/>
      </w:pPr>
      <w:r>
        <w:t xml:space="preserve">✅ </w:t>
      </w:r>
      <w:r>
        <w:rPr>
          <w:rFonts w:hint="eastAsia"/>
        </w:rPr>
        <w:t xml:space="preserve">命中的部分</w:t>
      </w:r>
    </w:p>
    <w:p>
      <w:pPr>
        <w:pStyle w:val="FirstParagraph"/>
      </w:pPr>
      <w:r>
        <w:rPr>
          <w:rFonts w:hint="eastAsia"/>
        </w:rPr>
        <w:t xml:space="preserve">盘前强调通信设备/CPO/光模块是第二优先，实盘验证非常强：</w:t>
      </w:r>
    </w:p>
    <w:p>
      <w:pPr>
        <w:pStyle w:val="Compact"/>
        <w:numPr>
          <w:ilvl w:val="0"/>
          <w:numId w:val="1011"/>
        </w:numPr>
      </w:pPr>
      <w:r>
        <w:rPr>
          <w:rFonts w:hint="eastAsia"/>
        </w:rPr>
        <w:t xml:space="preserve">通信设备净流入+151.50亿元，流入板块第1。</w:t>
      </w:r>
    </w:p>
    <w:p>
      <w:pPr>
        <w:pStyle w:val="Compact"/>
        <w:numPr>
          <w:ilvl w:val="0"/>
          <w:numId w:val="1011"/>
        </w:numPr>
      </w:pPr>
      <w:r>
        <w:rPr>
          <w:rFonts w:hint="eastAsia"/>
        </w:rPr>
        <w:t xml:space="preserve">中际旭创净流入+37.18亿。</w:t>
      </w:r>
    </w:p>
    <w:p>
      <w:pPr>
        <w:pStyle w:val="Compact"/>
        <w:numPr>
          <w:ilvl w:val="0"/>
          <w:numId w:val="1011"/>
        </w:numPr>
      </w:pPr>
      <w:r>
        <w:rPr>
          <w:rFonts w:hint="eastAsia"/>
        </w:rPr>
        <w:t xml:space="preserve">新易盛净流入+34.84亿。</w:t>
      </w:r>
    </w:p>
    <w:p>
      <w:pPr>
        <w:pStyle w:val="Compact"/>
        <w:numPr>
          <w:ilvl w:val="0"/>
          <w:numId w:val="1011"/>
        </w:numPr>
      </w:pPr>
      <w:r>
        <w:rPr>
          <w:rFonts w:hint="eastAsia"/>
        </w:rPr>
        <w:t xml:space="preserve">天孚通信净流入+17.59亿。</w:t>
      </w:r>
    </w:p>
    <w:p>
      <w:pPr>
        <w:pStyle w:val="Compact"/>
        <w:numPr>
          <w:ilvl w:val="0"/>
          <w:numId w:val="1011"/>
        </w:numPr>
      </w:pPr>
      <w:r>
        <w:rPr>
          <w:rFonts w:hint="eastAsia"/>
        </w:rPr>
        <w:t xml:space="preserve">永鼎股份净流入+15.65亿并涨停。</w:t>
      </w:r>
    </w:p>
    <w:p>
      <w:pPr>
        <w:pStyle w:val="FirstParagraph"/>
      </w:pPr>
      <w:r>
        <w:t xml:space="preserve">💡 </w:t>
      </w:r>
      <w:r>
        <w:rPr>
          <w:rFonts w:hint="eastAsia"/>
        </w:rPr>
        <w:t xml:space="preserve">这一条是上午最核心的正确判断：通信/CPO确实成为科技修复中最强分支。</w:t>
      </w:r>
    </w:p>
    <w:bookmarkEnd w:id="24"/>
    <w:bookmarkStart w:id="25" w:name="偏差最大的部分"/>
    <w:p>
      <w:pPr>
        <w:pStyle w:val="Heading3"/>
      </w:pPr>
      <w:r>
        <w:t xml:space="preserve">❌ </w:t>
      </w:r>
      <w:r>
        <w:rPr>
          <w:rFonts w:hint="eastAsia"/>
        </w:rPr>
        <w:t xml:space="preserve">偏差最大的部分</w:t>
      </w:r>
    </w:p>
    <w:p>
      <w:pPr>
        <w:pStyle w:val="FirstParagraph"/>
      </w:pPr>
      <w:r>
        <w:rPr>
          <w:rFonts w:hint="eastAsia"/>
        </w:rPr>
        <w:t xml:space="preserve">盘前把电网设备、电力列为第一优先，但上午资金选择明显不支持电力：</w:t>
      </w:r>
    </w:p>
    <w:p>
      <w:pPr>
        <w:pStyle w:val="Compact"/>
        <w:numPr>
          <w:ilvl w:val="0"/>
          <w:numId w:val="1012"/>
        </w:numPr>
      </w:pPr>
      <w:r>
        <w:rPr>
          <w:rFonts w:hint="eastAsia"/>
        </w:rPr>
        <w:t xml:space="preserve">电力板块净流出-13.83亿元。</w:t>
      </w:r>
    </w:p>
    <w:p>
      <w:pPr>
        <w:pStyle w:val="Compact"/>
        <w:numPr>
          <w:ilvl w:val="0"/>
          <w:numId w:val="1012"/>
        </w:numPr>
      </w:pPr>
      <w:r>
        <w:rPr>
          <w:rFonts w:hint="eastAsia"/>
        </w:rPr>
        <w:t xml:space="preserve">华电辽能净流出-3.89亿。</w:t>
      </w:r>
    </w:p>
    <w:p>
      <w:pPr>
        <w:pStyle w:val="Compact"/>
        <w:numPr>
          <w:ilvl w:val="0"/>
          <w:numId w:val="1012"/>
        </w:numPr>
      </w:pPr>
      <w:r>
        <w:rPr>
          <w:rFonts w:hint="eastAsia"/>
        </w:rPr>
        <w:t xml:space="preserve">电网设备虽然有风范股份、顺钠股份等涨停，但主线强度不及通信设备、元件、IT服务Ⅱ。</w:t>
      </w:r>
    </w:p>
    <w:bookmarkEnd w:id="25"/>
    <w:bookmarkStart w:id="26" w:name="半导体判断"/>
    <w:p>
      <w:pPr>
        <w:pStyle w:val="Heading3"/>
      </w:pPr>
      <w:r>
        <w:t xml:space="preserve">👀 </w:t>
      </w:r>
      <w:r>
        <w:rPr>
          <w:rFonts w:hint="eastAsia"/>
        </w:rPr>
        <w:t xml:space="preserve">半导体判断</w:t>
      </w:r>
    </w:p>
    <w:p>
      <w:pPr>
        <w:pStyle w:val="FirstParagraph"/>
      </w:pPr>
      <w:r>
        <w:rPr>
          <w:rFonts w:hint="eastAsia"/>
        </w:rPr>
        <w:t xml:space="preserve">盘前对半导体的态度是“只观察止跌，不追第一根反抽”，上午看法仍需保持：</w:t>
      </w:r>
    </w:p>
    <w:p>
      <w:pPr>
        <w:pStyle w:val="Compact"/>
        <w:numPr>
          <w:ilvl w:val="0"/>
          <w:numId w:val="1013"/>
        </w:numPr>
      </w:pPr>
      <w:r>
        <w:rPr>
          <w:rFonts w:hint="eastAsia"/>
        </w:rPr>
        <w:t xml:space="preserve">半导体板块净流入+41.34亿元，说明从昨日极端流出中出现修复。</w:t>
      </w:r>
    </w:p>
    <w:p>
      <w:pPr>
        <w:pStyle w:val="Compact"/>
        <w:numPr>
          <w:ilvl w:val="0"/>
          <w:numId w:val="1013"/>
        </w:numPr>
      </w:pPr>
      <w:r>
        <w:rPr>
          <w:rFonts w:hint="eastAsia"/>
        </w:rPr>
        <w:t xml:space="preserve">但长鑫科技净流出-10.09亿，中芯国际净流出-4.64亿，中微公司净流出-3.47亿。</w:t>
      </w:r>
    </w:p>
    <w:p>
      <w:pPr>
        <w:pStyle w:val="Compact"/>
        <w:numPr>
          <w:ilvl w:val="0"/>
          <w:numId w:val="1013"/>
        </w:numPr>
      </w:pPr>
      <w:r>
        <w:rPr>
          <w:rFonts w:hint="eastAsia"/>
        </w:rPr>
        <w:t xml:space="preserve">因此半导体不是不能看，而是只能做分支中更强的右侧确认，不能把所有半导体都当作反转。</w:t>
      </w:r>
    </w:p>
    <w:bookmarkEnd w:id="26"/>
    <w:bookmarkEnd w:id="27"/>
    <w:bookmarkStart w:id="32" w:name="下午操作建议承认科技主线胜出但只做分歧转强"/>
    <w:p>
      <w:pPr>
        <w:pStyle w:val="Heading2"/>
      </w:pPr>
      <w:r>
        <w:t xml:space="preserve">⑥ 💡 </w:t>
      </w:r>
      <w:r>
        <w:rPr>
          <w:rFonts w:hint="eastAsia"/>
        </w:rPr>
        <w:t xml:space="preserve">下午操作建议：承认科技主线胜出，但只做分歧转强</w:t>
      </w:r>
    </w:p>
    <w:bookmarkStart w:id="28" w:name="总体策略"/>
    <w:p>
      <w:pPr>
        <w:pStyle w:val="Heading3"/>
      </w:pPr>
      <w:r>
        <w:t xml:space="preserve">💡 </w:t>
      </w:r>
      <w:r>
        <w:rPr>
          <w:rFonts w:hint="eastAsia"/>
        </w:rPr>
        <w:t xml:space="preserve">总体策略</w:t>
      </w:r>
    </w:p>
    <w:p>
      <w:pPr>
        <w:pStyle w:val="FirstParagraph"/>
      </w:pPr>
      <w:r>
        <w:rPr>
          <w:rFonts w:hint="eastAsia"/>
        </w:rPr>
        <w:t xml:space="preserve">下午不应再坚持盘前“电网电力第一优先”的静态排序，应根据午盘资金切换为：</w:t>
      </w:r>
    </w:p>
    <w:p>
      <w:pPr>
        <w:pStyle w:val="Compact"/>
        <w:numPr>
          <w:ilvl w:val="0"/>
          <w:numId w:val="1014"/>
        </w:numPr>
      </w:pPr>
      <w:r>
        <w:rPr>
          <w:rFonts w:hint="eastAsia"/>
        </w:rPr>
        <w:t xml:space="preserve">第一优先：通信设备/CPO/光模块</w:t>
      </w:r>
    </w:p>
    <w:p>
      <w:pPr>
        <w:pStyle w:val="Compact"/>
        <w:numPr>
          <w:ilvl w:val="0"/>
          <w:numId w:val="1014"/>
        </w:numPr>
      </w:pPr>
      <w:r>
        <w:rPr>
          <w:rFonts w:hint="eastAsia"/>
        </w:rPr>
        <w:t xml:space="preserve">第二优先：元件/PCB/AI硬件</w:t>
      </w:r>
    </w:p>
    <w:p>
      <w:pPr>
        <w:pStyle w:val="Compact"/>
        <w:numPr>
          <w:ilvl w:val="0"/>
          <w:numId w:val="1014"/>
        </w:numPr>
      </w:pPr>
      <w:r>
        <w:rPr>
          <w:rFonts w:hint="eastAsia"/>
        </w:rPr>
        <w:t xml:space="preserve">第三优先：医疗服务/CRO</w:t>
      </w:r>
    </w:p>
    <w:p>
      <w:pPr>
        <w:pStyle w:val="Compact"/>
        <w:numPr>
          <w:ilvl w:val="0"/>
          <w:numId w:val="1014"/>
        </w:numPr>
      </w:pPr>
      <w:r>
        <w:rPr>
          <w:rFonts w:hint="eastAsia"/>
        </w:rPr>
        <w:t xml:space="preserve">观察参与：IT服务Ⅱ/算力租赁</w:t>
      </w:r>
    </w:p>
    <w:p>
      <w:pPr>
        <w:pStyle w:val="Compact"/>
        <w:numPr>
          <w:ilvl w:val="0"/>
          <w:numId w:val="1014"/>
        </w:numPr>
      </w:pPr>
      <w:r>
        <w:rPr>
          <w:rFonts w:hint="eastAsia"/>
        </w:rPr>
        <w:t xml:space="preserve">降级观察：电网设备、电力</w:t>
      </w:r>
    </w:p>
    <w:p>
      <w:pPr>
        <w:pStyle w:val="Compact"/>
        <w:numPr>
          <w:ilvl w:val="0"/>
          <w:numId w:val="1014"/>
        </w:numPr>
      </w:pPr>
      <w:r>
        <w:rPr>
          <w:rFonts w:hint="eastAsia"/>
        </w:rPr>
        <w:t xml:space="preserve">谨慎观察：半导体核心分化</w:t>
      </w:r>
    </w:p>
    <w:bookmarkEnd w:id="28"/>
    <w:bookmarkStart w:id="29" w:name="可做条件"/>
    <w:p>
      <w:pPr>
        <w:pStyle w:val="Heading3"/>
      </w:pPr>
      <w:r>
        <w:t xml:space="preserve">✅ </w:t>
      </w:r>
      <w:r>
        <w:rPr>
          <w:rFonts w:hint="eastAsia"/>
        </w:rPr>
        <w:t xml:space="preserve">可做条件</w:t>
      </w:r>
    </w:p>
    <w:p>
      <w:pPr>
        <w:pStyle w:val="Compact"/>
        <w:numPr>
          <w:ilvl w:val="0"/>
          <w:numId w:val="1015"/>
        </w:numPr>
      </w:pPr>
      <w:r>
        <w:rPr>
          <w:rFonts w:hint="eastAsia"/>
        </w:rPr>
        <w:t xml:space="preserve">指数不跳水，创业板指维持强于沪指。</w:t>
      </w:r>
    </w:p>
    <w:p>
      <w:pPr>
        <w:pStyle w:val="Compact"/>
        <w:numPr>
          <w:ilvl w:val="0"/>
          <w:numId w:val="1015"/>
        </w:numPr>
      </w:pPr>
      <w:r>
        <w:rPr>
          <w:rFonts w:hint="eastAsia"/>
        </w:rPr>
        <w:t xml:space="preserve">通信设备、元件下午主力净流入继续居前。</w:t>
      </w:r>
    </w:p>
    <w:p>
      <w:pPr>
        <w:pStyle w:val="Compact"/>
        <w:numPr>
          <w:ilvl w:val="0"/>
          <w:numId w:val="1015"/>
        </w:numPr>
      </w:pPr>
      <w:r>
        <w:rPr>
          <w:rFonts w:hint="eastAsia"/>
        </w:rPr>
        <w:t xml:space="preserve">CPO核心中军不出现放量长上影。</w:t>
      </w:r>
    </w:p>
    <w:p>
      <w:pPr>
        <w:pStyle w:val="Compact"/>
        <w:numPr>
          <w:ilvl w:val="0"/>
          <w:numId w:val="1015"/>
        </w:numPr>
      </w:pPr>
      <w:r>
        <w:rPr>
          <w:rFonts w:hint="eastAsia"/>
        </w:rPr>
        <w:t xml:space="preserve">涨跌比维持在2以上，跌停数不明显增加。</w:t>
      </w:r>
    </w:p>
    <w:p>
      <w:pPr>
        <w:pStyle w:val="Compact"/>
        <w:numPr>
          <w:ilvl w:val="0"/>
          <w:numId w:val="1015"/>
        </w:numPr>
      </w:pPr>
      <w:r>
        <w:rPr>
          <w:rFonts w:hint="eastAsia"/>
        </w:rPr>
        <w:t xml:space="preserve">炸板率保持在20%以下。</w:t>
      </w:r>
    </w:p>
    <w:bookmarkEnd w:id="29"/>
    <w:bookmarkStart w:id="30" w:name="不做条件"/>
    <w:p>
      <w:pPr>
        <w:pStyle w:val="Heading3"/>
      </w:pPr>
      <w:r>
        <w:t xml:space="preserve">❌ </w:t>
      </w:r>
      <w:r>
        <w:rPr>
          <w:rFonts w:hint="eastAsia"/>
        </w:rPr>
        <w:t xml:space="preserve">不做条件</w:t>
      </w:r>
    </w:p>
    <w:p>
      <w:pPr>
        <w:pStyle w:val="Compact"/>
        <w:numPr>
          <w:ilvl w:val="0"/>
          <w:numId w:val="1016"/>
        </w:numPr>
      </w:pPr>
      <w:r>
        <w:rPr>
          <w:rFonts w:hint="eastAsia"/>
        </w:rPr>
        <w:t xml:space="preserve">通信设备、元件高位冲高回落，流入转弱。</w:t>
      </w:r>
    </w:p>
    <w:p>
      <w:pPr>
        <w:pStyle w:val="Compact"/>
        <w:numPr>
          <w:ilvl w:val="0"/>
          <w:numId w:val="1016"/>
        </w:numPr>
      </w:pPr>
      <w:r>
        <w:rPr>
          <w:rFonts w:hint="eastAsia"/>
        </w:rPr>
        <w:t xml:space="preserve">长鑫科技、中芯国际、中微公司继续扩大流出并压制科创50。</w:t>
      </w:r>
    </w:p>
    <w:p>
      <w:pPr>
        <w:pStyle w:val="Compact"/>
        <w:numPr>
          <w:ilvl w:val="0"/>
          <w:numId w:val="1016"/>
        </w:numPr>
      </w:pPr>
      <w:r>
        <w:rPr>
          <w:rFonts w:hint="eastAsia"/>
        </w:rPr>
        <w:t xml:space="preserve">银行、电力、白酒等权重继续流出导致沪指失守早盘低点。</w:t>
      </w:r>
    </w:p>
    <w:p>
      <w:pPr>
        <w:pStyle w:val="Compact"/>
        <w:numPr>
          <w:ilvl w:val="0"/>
          <w:numId w:val="1016"/>
        </w:numPr>
      </w:pPr>
      <w:r>
        <w:rPr>
          <w:rFonts w:hint="eastAsia"/>
        </w:rPr>
        <w:t xml:space="preserve">午后成交不能承接，热点只剩尾盘拉小票。</w:t>
      </w:r>
    </w:p>
    <w:bookmarkEnd w:id="30"/>
    <w:bookmarkStart w:id="31" w:name="执行纪律"/>
    <w:p>
      <w:pPr>
        <w:pStyle w:val="Heading3"/>
      </w:pPr>
      <w:r>
        <w:t xml:space="preserve">💡 </w:t>
      </w:r>
      <w:r>
        <w:rPr>
          <w:rFonts w:hint="eastAsia"/>
        </w:rPr>
        <w:t xml:space="preserve">执行纪律</w:t>
      </w:r>
    </w:p>
    <w:p>
      <w:pPr>
        <w:pStyle w:val="Compact"/>
        <w:numPr>
          <w:ilvl w:val="0"/>
          <w:numId w:val="1017"/>
        </w:numPr>
      </w:pPr>
      <w:r>
        <w:rPr>
          <w:rFonts w:hint="eastAsia"/>
        </w:rPr>
        <w:t xml:space="preserve">只做右侧上升趋势，不追已经连续加速的情绪票。</w:t>
      </w:r>
    </w:p>
    <w:p>
      <w:pPr>
        <w:pStyle w:val="Compact"/>
        <w:numPr>
          <w:ilvl w:val="0"/>
          <w:numId w:val="1017"/>
        </w:numPr>
      </w:pPr>
      <w:r>
        <w:rPr>
          <w:rFonts w:hint="eastAsia"/>
        </w:rPr>
        <w:t xml:space="preserve">核心股若上午涨停或大涨，下午只看回踩均价线不破后的再转强。</w:t>
      </w:r>
    </w:p>
    <w:p>
      <w:pPr>
        <w:pStyle w:val="Compact"/>
        <w:numPr>
          <w:ilvl w:val="0"/>
          <w:numId w:val="1017"/>
        </w:numPr>
      </w:pPr>
      <w:r>
        <w:rPr>
          <w:rFonts w:hint="eastAsia"/>
        </w:rPr>
        <w:t xml:space="preserve">已有盈利仓位可高抛一部分，保留底仓等确认。</w:t>
      </w:r>
    </w:p>
    <w:p>
      <w:pPr>
        <w:pStyle w:val="Compact"/>
        <w:numPr>
          <w:ilvl w:val="0"/>
          <w:numId w:val="1017"/>
        </w:numPr>
      </w:pPr>
      <w:r>
        <w:rPr>
          <w:rFonts w:hint="eastAsia"/>
        </w:rPr>
        <w:t xml:space="preserve">空仓账户不适合在午后情绪高点一次性满仓。</w:t>
      </w:r>
    </w:p>
    <w:bookmarkEnd w:id="31"/>
    <w:bookmarkEnd w:id="32"/>
    <w:bookmarkStart w:id="34" w:name="市场风格仪表盘成长进攻占优价值防御退潮"/>
    <w:p>
      <w:pPr>
        <w:pStyle w:val="Heading2"/>
      </w:pPr>
      <w:r>
        <w:t xml:space="preserve">⑦ 🎛️ </w:t>
      </w:r>
      <w:r>
        <w:rPr>
          <w:rFonts w:hint="eastAsia"/>
        </w:rPr>
        <w:t xml:space="preserve">市场风格仪表盘：成长进攻占优，价值防御退潮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风格维度</w:t>
            </w:r>
          </w:p>
        </w:tc>
        <w:tc>
          <w:tcPr/>
          <w:p>
            <w:pPr>
              <w:pStyle w:val="Compact"/>
            </w:pPr>
            <w:r>
              <w:rPr>
                <w:rFonts w:hint="eastAsia"/>
              </w:rPr>
              <w:t xml:space="preserve">午盘判定</w:t>
            </w:r>
          </w:p>
        </w:tc>
        <w:tc>
          <w:tcPr/>
          <w:p>
            <w:pPr>
              <w:pStyle w:val="Compact"/>
            </w:pPr>
            <w:r>
              <w:rPr>
                <w:rFonts w:hint="eastAsia"/>
              </w:rPr>
              <w:t xml:space="preserve">证据</w:t>
            </w:r>
          </w:p>
        </w:tc>
      </w:tr>
      <w:tr>
        <w:tc>
          <w:tcPr/>
          <w:p>
            <w:pPr>
              <w:pStyle w:val="Compact"/>
            </w:pPr>
            <w:r>
              <w:rPr>
                <w:rFonts w:hint="eastAsia"/>
              </w:rPr>
              <w:t xml:space="preserve">大盘/小盘</w:t>
            </w:r>
          </w:p>
        </w:tc>
        <w:tc>
          <w:tcPr/>
          <w:p>
            <w:pPr>
              <w:pStyle w:val="Compact"/>
            </w:pPr>
            <w:r>
              <w:rPr>
                <w:rFonts w:hint="eastAsia"/>
              </w:rPr>
              <w:t xml:space="preserve">偏成长/小盘</w:t>
            </w:r>
          </w:p>
        </w:tc>
        <w:tc>
          <w:tcPr/>
          <w:p>
            <w:pPr>
              <w:pStyle w:val="Compact"/>
            </w:pPr>
            <w:r>
              <w:rPr>
                <w:rFonts w:hint="eastAsia"/>
              </w:rPr>
              <w:t xml:space="preserve">创业板指+4.8295%，深成指+2.7446%</w:t>
            </w:r>
          </w:p>
        </w:tc>
      </w:tr>
      <w:tr>
        <w:tc>
          <w:tcPr/>
          <w:p>
            <w:pPr>
              <w:pStyle w:val="Compact"/>
            </w:pPr>
            <w:r>
              <w:rPr>
                <w:rFonts w:hint="eastAsia"/>
              </w:rPr>
              <w:t xml:space="preserve">成长/价值</w:t>
            </w:r>
          </w:p>
        </w:tc>
        <w:tc>
          <w:tcPr/>
          <w:p>
            <w:pPr>
              <w:pStyle w:val="Compact"/>
            </w:pPr>
            <w:r>
              <w:rPr>
                <w:rFonts w:hint="eastAsia"/>
              </w:rPr>
              <w:t xml:space="preserve">偏成长</w:t>
            </w:r>
          </w:p>
        </w:tc>
        <w:tc>
          <w:tcPr/>
          <w:p>
            <w:pPr>
              <w:pStyle w:val="Compact"/>
            </w:pPr>
            <w:r>
              <w:rPr>
                <w:rFonts w:hint="eastAsia"/>
              </w:rPr>
              <w:t xml:space="preserve">通信设备、元件、半导体大幅流入</w:t>
            </w:r>
          </w:p>
        </w:tc>
      </w:tr>
      <w:tr>
        <w:tc>
          <w:tcPr/>
          <w:p>
            <w:pPr>
              <w:pStyle w:val="Compact"/>
            </w:pPr>
            <w:r>
              <w:rPr>
                <w:rFonts w:hint="eastAsia"/>
              </w:rPr>
              <w:t xml:space="preserve">高位/低位</w:t>
            </w:r>
          </w:p>
        </w:tc>
        <w:tc>
          <w:tcPr/>
          <w:p>
            <w:pPr>
              <w:pStyle w:val="Compact"/>
            </w:pPr>
            <w:r>
              <w:rPr>
                <w:rFonts w:hint="eastAsia"/>
              </w:rPr>
              <w:t xml:space="preserve">接力相对健康</w:t>
            </w:r>
          </w:p>
        </w:tc>
        <w:tc>
          <w:tcPr/>
          <w:p>
            <w:pPr>
              <w:pStyle w:val="Compact"/>
            </w:pPr>
            <w:r>
              <w:rPr>
                <w:rFonts w:hint="eastAsia"/>
              </w:rPr>
              <w:t xml:space="preserve">炸板率11.6%，封板率88.4%</w:t>
            </w:r>
          </w:p>
        </w:tc>
      </w:tr>
      <w:tr>
        <w:tc>
          <w:tcPr/>
          <w:p>
            <w:pPr>
              <w:pStyle w:val="Compact"/>
            </w:pPr>
            <w:r>
              <w:rPr>
                <w:rFonts w:hint="eastAsia"/>
              </w:rPr>
              <w:t xml:space="preserve">主题/机构</w:t>
            </w:r>
          </w:p>
        </w:tc>
        <w:tc>
          <w:tcPr/>
          <w:p>
            <w:pPr>
              <w:pStyle w:val="Compact"/>
            </w:pPr>
            <w:r>
              <w:rPr>
                <w:rFonts w:hint="eastAsia"/>
              </w:rPr>
              <w:t xml:space="preserve">题材与机构共振待核验</w:t>
            </w:r>
          </w:p>
        </w:tc>
        <w:tc>
          <w:tcPr/>
          <w:p>
            <w:pPr>
              <w:pStyle w:val="Compact"/>
            </w:pPr>
            <w:r>
              <w:rPr>
                <w:rFonts w:hint="eastAsia"/>
              </w:rPr>
              <w:t xml:space="preserve">CPO中军与涨停小票同步活跃</w:t>
            </w:r>
          </w:p>
        </w:tc>
      </w:tr>
      <w:tr>
        <w:tc>
          <w:tcPr/>
          <w:p>
            <w:pPr>
              <w:pStyle w:val="Compact"/>
            </w:pPr>
            <w:r>
              <w:rPr>
                <w:rFonts w:hint="eastAsia"/>
              </w:rPr>
              <w:t xml:space="preserve">防御/进攻</w:t>
            </w:r>
          </w:p>
        </w:tc>
        <w:tc>
          <w:tcPr/>
          <w:p>
            <w:pPr>
              <w:pStyle w:val="Compact"/>
            </w:pPr>
            <w:r>
              <w:rPr>
                <w:rFonts w:hint="eastAsia"/>
              </w:rPr>
              <w:t xml:space="preserve">进攻</w:t>
            </w:r>
          </w:p>
        </w:tc>
        <w:tc>
          <w:tcPr/>
          <w:p>
            <w:pPr>
              <w:pStyle w:val="Compact"/>
            </w:pPr>
            <w:r>
              <w:rPr>
                <w:rFonts w:hint="eastAsia"/>
              </w:rPr>
              <w:t xml:space="preserve">银行、白酒、保险流出，科技成长流入</w:t>
            </w:r>
          </w:p>
        </w:tc>
      </w:tr>
    </w:tbl>
    <w:bookmarkStart w:id="33" w:name="宽基etf成交额恐慌联合信号"/>
    <w:p>
      <w:pPr>
        <w:pStyle w:val="Heading3"/>
      </w:pPr>
      <w:r>
        <w:t xml:space="preserve">💧 </w:t>
      </w:r>
      <w:r>
        <w:rPr>
          <w:rFonts w:hint="eastAsia"/>
        </w:rPr>
        <w:t xml:space="preserve">宽基ETF·成交额·恐慌联合信号</w:t>
      </w:r>
    </w:p>
    <w:p>
      <w:pPr>
        <w:pStyle w:val="FirstParagraph"/>
      </w:pPr>
      <w:r>
        <w:rPr>
          <w:rFonts w:hint="eastAsia"/>
        </w:rPr>
        <w:t xml:space="preserve">本轮午盘联合信号只使用宽基ETF、半日成交额和QVIX。</w:t>
      </w:r>
    </w:p>
    <w:p>
      <w:pPr>
        <w:pStyle w:val="Compact"/>
        <w:numPr>
          <w:ilvl w:val="0"/>
          <w:numId w:val="1018"/>
        </w:numPr>
      </w:pPr>
      <w:r>
        <w:rPr>
          <w:rFonts w:hint="eastAsia"/>
        </w:rPr>
        <w:t xml:space="preserve">半日成交额：13695.60亿元。</w:t>
      </w:r>
    </w:p>
    <w:p>
      <w:pPr>
        <w:pStyle w:val="Compact"/>
        <w:numPr>
          <w:ilvl w:val="0"/>
          <w:numId w:val="1018"/>
        </w:numPr>
      </w:pPr>
      <w:r>
        <w:rPr>
          <w:rFonts w:hint="eastAsia"/>
        </w:rPr>
        <w:t xml:space="preserve">昨日成交额：20110.58亿元。</w:t>
      </w:r>
    </w:p>
    <w:p>
      <w:pPr>
        <w:pStyle w:val="Compact"/>
        <w:numPr>
          <w:ilvl w:val="0"/>
          <w:numId w:val="1018"/>
        </w:numPr>
      </w:pPr>
      <w:r>
        <w:rPr>
          <w:rFonts w:hint="eastAsia"/>
        </w:rPr>
        <w:t xml:space="preserve">较昨日变动：-51.84亿元。</w:t>
      </w:r>
    </w:p>
    <w:p>
      <w:pPr>
        <w:pStyle w:val="Compact"/>
        <w:numPr>
          <w:ilvl w:val="0"/>
          <w:numId w:val="1018"/>
        </w:numPr>
      </w:pPr>
      <w:r>
        <w:rPr>
          <w:rFonts w:hint="eastAsia"/>
        </w:rPr>
        <w:t xml:space="preserve">成交额变化幅度：-31.9%。</w:t>
      </w:r>
    </w:p>
    <w:p>
      <w:pPr>
        <w:pStyle w:val="Compact"/>
        <w:numPr>
          <w:ilvl w:val="0"/>
          <w:numId w:val="1018"/>
        </w:numPr>
      </w:pPr>
      <w:r>
        <w:rPr>
          <w:rFonts w:hint="eastAsia"/>
        </w:rPr>
        <w:t xml:space="preserve">预测全天成交额：20034.75亿元。</w:t>
      </w:r>
    </w:p>
    <w:p>
      <w:pPr>
        <w:pStyle w:val="Compact"/>
        <w:numPr>
          <w:ilvl w:val="0"/>
          <w:numId w:val="1018"/>
        </w:numPr>
      </w:pPr>
      <w:r>
        <w:rPr>
          <w:rFonts w:hint="eastAsia"/>
        </w:rPr>
        <w:t xml:space="preserve">成交额状态：明显缩量。</w:t>
      </w:r>
    </w:p>
    <w:p>
      <w:pPr>
        <w:pStyle w:val="FirstParagraph"/>
      </w:pPr>
      <w:r>
        <w:rPr>
          <w:rFonts w:hint="eastAsia"/>
        </w:rPr>
        <w:t xml:space="preserve">宽基ETF份额信号：</w:t>
      </w:r>
    </w:p>
    <w:p>
      <w:pPr>
        <w:pStyle w:val="Compact"/>
        <w:numPr>
          <w:ilvl w:val="0"/>
          <w:numId w:val="1019"/>
        </w:numPr>
      </w:pPr>
      <w:r>
        <w:rPr>
          <w:rFonts w:hint="eastAsia"/>
        </w:rPr>
        <w:t xml:space="preserve">上证50ETF连续流入区间数：2。</w:t>
      </w:r>
    </w:p>
    <w:p>
      <w:pPr>
        <w:pStyle w:val="Compact"/>
        <w:numPr>
          <w:ilvl w:val="0"/>
          <w:numId w:val="1019"/>
        </w:numPr>
      </w:pPr>
      <w:r>
        <w:rPr>
          <w:rFonts w:hint="eastAsia"/>
        </w:rPr>
        <w:t xml:space="preserve">中证500ETF连续流入区间数：2。</w:t>
      </w:r>
    </w:p>
    <w:p>
      <w:pPr>
        <w:pStyle w:val="Compact"/>
        <w:numPr>
          <w:ilvl w:val="0"/>
          <w:numId w:val="1019"/>
        </w:numPr>
      </w:pPr>
      <w:r>
        <w:rPr>
          <w:rFonts w:hint="eastAsia"/>
        </w:rPr>
        <w:t xml:space="preserve">中证500ETF属于连续大额净申购。</w:t>
      </w:r>
    </w:p>
    <w:p>
      <w:pPr>
        <w:pStyle w:val="Compact"/>
        <w:numPr>
          <w:ilvl w:val="0"/>
          <w:numId w:val="1019"/>
        </w:numPr>
      </w:pPr>
      <w:r>
        <w:rPr>
          <w:rFonts w:hint="eastAsia"/>
        </w:rPr>
        <w:t xml:space="preserve">宽基ETF最新可用份额日期：2026-08-03。</w:t>
      </w:r>
    </w:p>
    <w:p>
      <w:pPr>
        <w:pStyle w:val="FirstParagraph"/>
      </w:pPr>
      <w:r>
        <w:rPr>
          <w:rFonts w:hint="eastAsia"/>
        </w:rPr>
        <w:t xml:space="preserve">QVIX恐慌代理：</w:t>
      </w:r>
    </w:p>
    <w:p>
      <w:pPr>
        <w:pStyle w:val="Compact"/>
        <w:numPr>
          <w:ilvl w:val="0"/>
          <w:numId w:val="1020"/>
        </w:numPr>
      </w:pPr>
      <w:r>
        <w:t xml:space="preserve">300ETF </w:t>
      </w:r>
      <w:r>
        <w:rPr>
          <w:rFonts w:hint="eastAsia"/>
        </w:rPr>
        <w:t xml:space="preserve">QVIX最新值：22.67。</w:t>
      </w:r>
    </w:p>
    <w:p>
      <w:pPr>
        <w:pStyle w:val="Compact"/>
        <w:numPr>
          <w:ilvl w:val="0"/>
          <w:numId w:val="1020"/>
        </w:numPr>
      </w:pPr>
      <w:r>
        <w:rPr>
          <w:rFonts w:hint="eastAsia"/>
        </w:rPr>
        <w:t xml:space="preserve">前收盘：22.72。</w:t>
      </w:r>
    </w:p>
    <w:p>
      <w:pPr>
        <w:pStyle w:val="Compact"/>
        <w:numPr>
          <w:ilvl w:val="0"/>
          <w:numId w:val="1020"/>
        </w:numPr>
      </w:pPr>
      <w:r>
        <w:rPr>
          <w:rFonts w:hint="eastAsia"/>
        </w:rPr>
        <w:t xml:space="preserve">变化：-0.05。</w:t>
      </w:r>
    </w:p>
    <w:p>
      <w:pPr>
        <w:pStyle w:val="Compact"/>
        <w:numPr>
          <w:ilvl w:val="0"/>
          <w:numId w:val="1020"/>
        </w:numPr>
      </w:pPr>
      <w:r>
        <w:rPr>
          <w:rFonts w:hint="eastAsia"/>
        </w:rPr>
        <w:t xml:space="preserve">变化幅度：-0.2201%。</w:t>
      </w:r>
    </w:p>
    <w:p>
      <w:pPr>
        <w:pStyle w:val="Compact"/>
        <w:numPr>
          <w:ilvl w:val="0"/>
          <w:numId w:val="1020"/>
        </w:numPr>
      </w:pPr>
      <w:r>
        <w:rPr>
          <w:rFonts w:hint="eastAsia"/>
        </w:rPr>
        <w:t xml:space="preserve">20日峰值：28.39。</w:t>
      </w:r>
    </w:p>
    <w:p>
      <w:pPr>
        <w:pStyle w:val="Compact"/>
        <w:numPr>
          <w:ilvl w:val="0"/>
          <w:numId w:val="1020"/>
        </w:numPr>
      </w:pPr>
      <w:r>
        <w:rPr>
          <w:rFonts w:hint="eastAsia"/>
        </w:rPr>
        <w:t xml:space="preserve">较20日峰值回落：20.1479%。</w:t>
      </w:r>
    </w:p>
    <w:p>
      <w:pPr>
        <w:pStyle w:val="FirstParagraph"/>
      </w:pPr>
      <w:r>
        <w:t xml:space="preserve">💡 </w:t>
      </w:r>
      <w:r>
        <w:rPr>
          <w:rFonts w:hint="eastAsia"/>
        </w:rPr>
        <w:t xml:space="preserve">联合信号结论：</w:t>
      </w:r>
    </w:p>
    <w:p>
      <w:pPr>
        <w:pStyle w:val="BodyText"/>
      </w:pPr>
      <w:r>
        <w:rPr>
          <w:rStyle w:val="VerbatimChar"/>
        </w:rPr>
        <w:t xml:space="preserve">derived.liquidity_panic_signal.status=confirmed</w:t>
      </w:r>
      <w:r>
        <w:rPr>
          <w:rFonts w:hint="eastAsia"/>
        </w:rPr>
        <w:t xml:space="preserve">，因此可以确认：恐慌高位降温且宽基ETF持续流入已确认。</w:t>
      </w:r>
    </w:p>
    <w:p>
      <w:pPr>
        <w:pStyle w:val="BodyText"/>
      </w:pPr>
      <w:r>
        <w:rPr>
          <w:rFonts w:hint="eastAsia"/>
        </w:rPr>
        <w:t xml:space="preserve">但要注意：成交额仍为明显缩量，说明这是“情绪修复+结构进攻”，不是无条件全面牛市加速。</w:t>
      </w:r>
    </w:p>
    <w:bookmarkEnd w:id="33"/>
    <w:bookmarkEnd w:id="34"/>
    <w:bookmarkStart w:id="39" w:name="盘前策略复盘评分7分通信命中拉高分电力主线降分"/>
    <w:p>
      <w:pPr>
        <w:pStyle w:val="Heading2"/>
      </w:pPr>
      <w:r>
        <w:t xml:space="preserve">⑧ 🧮 </w:t>
      </w:r>
      <w:r>
        <w:rPr>
          <w:rFonts w:hint="eastAsia"/>
        </w:rPr>
        <w:t xml:space="preserve">盘前策略复盘评分：7分，通信命中拉高分，电力主线降分</w:t>
      </w:r>
    </w:p>
    <w:bookmarkStart w:id="35" w:name="自动参考分"/>
    <w:p>
      <w:pPr>
        <w:pStyle w:val="Heading3"/>
      </w:pPr>
      <w:r>
        <w:t xml:space="preserve">📌 </w:t>
      </w:r>
      <w:r>
        <w:rPr>
          <w:rFonts w:hint="eastAsia"/>
        </w:rPr>
        <w:t xml:space="preserve">自动参考分</w:t>
      </w:r>
    </w:p>
    <w:p>
      <w:pPr>
        <w:pStyle w:val="FirstParagraph"/>
      </w:pPr>
      <w:r>
        <w:rPr>
          <w:rFonts w:hint="eastAsia"/>
        </w:rPr>
        <w:t xml:space="preserve">采集JSON给出的盘前策略自动参考分为5分，写稿模型结合实盘资金与主线表现后调整为7分。</w:t>
      </w:r>
    </w:p>
    <w:bookmarkEnd w:id="35"/>
    <w:bookmarkStart w:id="36" w:name="加分项"/>
    <w:p>
      <w:pPr>
        <w:pStyle w:val="Heading3"/>
      </w:pPr>
      <w:r>
        <w:t xml:space="preserve">✅ </w:t>
      </w:r>
      <w:r>
        <w:rPr>
          <w:rFonts w:hint="eastAsia"/>
        </w:rPr>
        <w:t xml:space="preserve">加分项</w:t>
      </w:r>
    </w:p>
    <w:p>
      <w:pPr>
        <w:pStyle w:val="Compact"/>
        <w:numPr>
          <w:ilvl w:val="0"/>
          <w:numId w:val="1021"/>
        </w:numPr>
      </w:pPr>
      <w:r>
        <w:rPr>
          <w:rFonts w:hint="eastAsia"/>
        </w:rPr>
        <w:t xml:space="preserve">通信设备/CPO判断命中：通信设备净流入+151.50亿元，成为全市场第一。</w:t>
      </w:r>
    </w:p>
    <w:p>
      <w:pPr>
        <w:pStyle w:val="Compact"/>
        <w:numPr>
          <w:ilvl w:val="0"/>
          <w:numId w:val="1021"/>
        </w:numPr>
      </w:pPr>
      <w:r>
        <w:rPr>
          <w:rFonts w:hint="eastAsia"/>
        </w:rPr>
        <w:t xml:space="preserve">半导体“不追第一根反抽”的风控仍有效：板块虽修复，但长鑫科技、中芯国际、中微公司仍流出。</w:t>
      </w:r>
    </w:p>
    <w:p>
      <w:pPr>
        <w:pStyle w:val="Compact"/>
        <w:numPr>
          <w:ilvl w:val="0"/>
          <w:numId w:val="1021"/>
        </w:numPr>
      </w:pPr>
      <w:r>
        <w:rPr>
          <w:rFonts w:hint="eastAsia"/>
        </w:rPr>
        <w:t xml:space="preserve">对成交额缩量的约束判断有效：半日成交额13695.60亿元，预测全天20034.75亿元，仍低于昨日20110.58亿元附近，追高难度仍大。</w:t>
      </w:r>
    </w:p>
    <w:p>
      <w:pPr>
        <w:pStyle w:val="Compact"/>
        <w:numPr>
          <w:ilvl w:val="0"/>
          <w:numId w:val="1021"/>
        </w:numPr>
      </w:pPr>
      <w:r>
        <w:rPr>
          <w:rFonts w:hint="eastAsia"/>
        </w:rPr>
        <w:t xml:space="preserve">对成长进攻风格的方向判断部分命中：创业板指+4.8295%，科创50+2.9134%。</w:t>
      </w:r>
    </w:p>
    <w:bookmarkEnd w:id="36"/>
    <w:bookmarkStart w:id="37" w:name="扣分项"/>
    <w:p>
      <w:pPr>
        <w:pStyle w:val="Heading3"/>
      </w:pPr>
      <w:r>
        <w:t xml:space="preserve">❌ </w:t>
      </w:r>
      <w:r>
        <w:rPr>
          <w:rFonts w:hint="eastAsia"/>
        </w:rPr>
        <w:t xml:space="preserve">扣分项</w:t>
      </w:r>
    </w:p>
    <w:p>
      <w:pPr>
        <w:pStyle w:val="Compact"/>
        <w:numPr>
          <w:ilvl w:val="0"/>
          <w:numId w:val="1022"/>
        </w:numPr>
      </w:pPr>
      <w:r>
        <w:rPr>
          <w:rFonts w:hint="eastAsia"/>
        </w:rPr>
        <w:t xml:space="preserve">电网设备、电力被列为第一优先，但实盘电力净流出-13.83亿元。</w:t>
      </w:r>
    </w:p>
    <w:p>
      <w:pPr>
        <w:pStyle w:val="Compact"/>
        <w:numPr>
          <w:ilvl w:val="0"/>
          <w:numId w:val="1022"/>
        </w:numPr>
      </w:pPr>
      <w:r>
        <w:rPr>
          <w:rFonts w:hint="eastAsia"/>
        </w:rPr>
        <w:t xml:space="preserve">市场比盘前预期更激进，科技成长从“观察止跌”直接演化为主攻。</w:t>
      </w:r>
    </w:p>
    <w:p>
      <w:pPr>
        <w:pStyle w:val="Compact"/>
        <w:numPr>
          <w:ilvl w:val="0"/>
          <w:numId w:val="1022"/>
        </w:numPr>
      </w:pPr>
      <w:r>
        <w:rPr>
          <w:rFonts w:hint="eastAsia"/>
        </w:rPr>
        <w:t xml:space="preserve">医疗服务/CRO强度超预期，药明康德净流入+19.18亿并涨停，盘前权重不足。</w:t>
      </w:r>
    </w:p>
    <w:bookmarkEnd w:id="37"/>
    <w:bookmarkStart w:id="38" w:name="评分结论"/>
    <w:p>
      <w:pPr>
        <w:pStyle w:val="Heading3"/>
      </w:pPr>
      <w:r>
        <w:t xml:space="preserve">🎯 </w:t>
      </w:r>
      <w:r>
        <w:rPr>
          <w:rFonts w:hint="eastAsia"/>
        </w:rPr>
        <w:t xml:space="preserve">评分结论</w:t>
      </w:r>
    </w:p>
    <w:p>
      <w:pPr>
        <w:pStyle w:val="FirstParagraph"/>
      </w:pPr>
      <w:r>
        <w:rPr>
          <w:rFonts w:hint="eastAsia"/>
        </w:rPr>
        <w:t xml:space="preserve">盘前策略方向不差，但主次排序需要午盘修正。综合评分：7/10。</w:t>
      </w:r>
    </w:p>
    <w:bookmarkEnd w:id="38"/>
    <w:bookmarkEnd w:id="39"/>
    <w:bookmarkStart w:id="40" w:name="下午投资方向分层abcd四档执行"/>
    <w:p>
      <w:pPr>
        <w:pStyle w:val="Heading2"/>
      </w:pPr>
      <w:r>
        <w:t xml:space="preserve">⑨ 🧱 </w:t>
      </w:r>
      <w:r>
        <w:rPr>
          <w:rFonts w:hint="eastAsia"/>
        </w:rPr>
        <w:t xml:space="preserve">下午投资方向分层：A/B/C/D四档执行</w:t>
      </w:r>
    </w:p>
    <w:bookmarkEnd w:id="40"/>
    <w:bookmarkStart w:id="43" w:name="a档通信设备cpo光模块"/>
    <w:p>
      <w:pPr>
        <w:pStyle w:val="Heading2"/>
      </w:pPr>
      <w:r>
        <w:t xml:space="preserve">✅ </w:t>
      </w:r>
      <w:r>
        <w:rPr>
          <w:rFonts w:hint="eastAsia"/>
        </w:rPr>
        <w:t xml:space="preserve">A档：通信设备/CPO/光模块</w:t>
      </w:r>
    </w:p>
    <w:bookmarkStart w:id="41" w:name="证据链"/>
    <w:p>
      <w:pPr>
        <w:pStyle w:val="Heading3"/>
      </w:pPr>
      <w:r>
        <w:t xml:space="preserve">🔗 </w:t>
      </w:r>
      <w:r>
        <w:rPr>
          <w:rFonts w:hint="eastAsia"/>
        </w:rPr>
        <w:t xml:space="preserve">证据链</w:t>
      </w:r>
    </w:p>
    <w:p>
      <w:pPr>
        <w:pStyle w:val="Compact"/>
        <w:numPr>
          <w:ilvl w:val="0"/>
          <w:numId w:val="1023"/>
        </w:numPr>
      </w:pPr>
      <w:r>
        <w:rPr>
          <w:rFonts w:hint="eastAsia"/>
        </w:rPr>
        <w:t xml:space="preserve">通信设备净流入+151.50亿元，流入板块第1。</w:t>
      </w:r>
    </w:p>
    <w:p>
      <w:pPr>
        <w:pStyle w:val="Compact"/>
        <w:numPr>
          <w:ilvl w:val="0"/>
          <w:numId w:val="1023"/>
        </w:numPr>
      </w:pPr>
      <w:r>
        <w:rPr>
          <w:rFonts w:hint="eastAsia"/>
        </w:rPr>
        <w:t xml:space="preserve">中际旭创净流入+37.18亿。</w:t>
      </w:r>
    </w:p>
    <w:p>
      <w:pPr>
        <w:pStyle w:val="Compact"/>
        <w:numPr>
          <w:ilvl w:val="0"/>
          <w:numId w:val="1023"/>
        </w:numPr>
      </w:pPr>
      <w:r>
        <w:rPr>
          <w:rFonts w:hint="eastAsia"/>
        </w:rPr>
        <w:t xml:space="preserve">新易盛净流入+34.84亿。</w:t>
      </w:r>
    </w:p>
    <w:p>
      <w:pPr>
        <w:pStyle w:val="Compact"/>
        <w:numPr>
          <w:ilvl w:val="0"/>
          <w:numId w:val="1023"/>
        </w:numPr>
      </w:pPr>
      <w:r>
        <w:rPr>
          <w:rFonts w:hint="eastAsia"/>
        </w:rPr>
        <w:t xml:space="preserve">天孚通信净流入+17.59亿。</w:t>
      </w:r>
    </w:p>
    <w:p>
      <w:pPr>
        <w:pStyle w:val="Compact"/>
        <w:numPr>
          <w:ilvl w:val="0"/>
          <w:numId w:val="1023"/>
        </w:numPr>
      </w:pPr>
      <w:r>
        <w:rPr>
          <w:rFonts w:hint="eastAsia"/>
        </w:rPr>
        <w:t xml:space="preserve">永鼎股份净流入+15.65亿并涨停。</w:t>
      </w:r>
    </w:p>
    <w:bookmarkEnd w:id="41"/>
    <w:bookmarkStart w:id="42" w:name="操作"/>
    <w:p>
      <w:pPr>
        <w:pStyle w:val="Heading3"/>
      </w:pPr>
      <w:r>
        <w:t xml:space="preserve">💡 </w:t>
      </w:r>
      <w:r>
        <w:rPr>
          <w:rFonts w:hint="eastAsia"/>
        </w:rPr>
        <w:t xml:space="preserve">操作</w:t>
      </w:r>
    </w:p>
    <w:p>
      <w:pPr>
        <w:pStyle w:val="Compact"/>
        <w:numPr>
          <w:ilvl w:val="0"/>
          <w:numId w:val="1024"/>
        </w:numPr>
      </w:pPr>
      <w:r>
        <w:rPr>
          <w:rFonts w:hint="eastAsia"/>
        </w:rPr>
        <w:t xml:space="preserve">已持有强趋势核心：保留底仓，冲高兑现部分利润。</w:t>
      </w:r>
    </w:p>
    <w:p>
      <w:pPr>
        <w:pStyle w:val="Compact"/>
        <w:numPr>
          <w:ilvl w:val="0"/>
          <w:numId w:val="1024"/>
        </w:numPr>
      </w:pPr>
      <w:r>
        <w:rPr>
          <w:rFonts w:hint="eastAsia"/>
        </w:rPr>
        <w:t xml:space="preserve">未持有：只等回踩分时均价线不破，或下午再放量突破上午高点。</w:t>
      </w:r>
    </w:p>
    <w:p>
      <w:pPr>
        <w:pStyle w:val="Compact"/>
        <w:numPr>
          <w:ilvl w:val="0"/>
          <w:numId w:val="1024"/>
        </w:numPr>
      </w:pPr>
      <w:r>
        <w:rPr>
          <w:rFonts w:hint="eastAsia"/>
        </w:rPr>
        <w:t xml:space="preserve">不追连续直线拉升后的缩量尖顶。</w:t>
      </w:r>
    </w:p>
    <w:bookmarkEnd w:id="42"/>
    <w:bookmarkEnd w:id="43"/>
    <w:bookmarkStart w:id="46" w:name="b档元件pcbai硬件"/>
    <w:p>
      <w:pPr>
        <w:pStyle w:val="Heading2"/>
      </w:pPr>
      <w:r>
        <w:t xml:space="preserve">✅ </w:t>
      </w:r>
      <w:r>
        <w:rPr>
          <w:rFonts w:hint="eastAsia"/>
        </w:rPr>
        <w:t xml:space="preserve">B档：元件/PCB/AI硬件</w:t>
      </w:r>
    </w:p>
    <w:bookmarkStart w:id="44" w:name="证据链-1"/>
    <w:p>
      <w:pPr>
        <w:pStyle w:val="Heading3"/>
      </w:pPr>
      <w:r>
        <w:t xml:space="preserve">🔗 </w:t>
      </w:r>
      <w:r>
        <w:rPr>
          <w:rFonts w:hint="eastAsia"/>
        </w:rPr>
        <w:t xml:space="preserve">证据链</w:t>
      </w:r>
    </w:p>
    <w:p>
      <w:pPr>
        <w:pStyle w:val="Compact"/>
        <w:numPr>
          <w:ilvl w:val="0"/>
          <w:numId w:val="1025"/>
        </w:numPr>
      </w:pPr>
      <w:r>
        <w:rPr>
          <w:rFonts w:hint="eastAsia"/>
        </w:rPr>
        <w:t xml:space="preserve">元件净流入+96.67亿元，流入板块第2。</w:t>
      </w:r>
    </w:p>
    <w:p>
      <w:pPr>
        <w:pStyle w:val="Compact"/>
        <w:numPr>
          <w:ilvl w:val="0"/>
          <w:numId w:val="1025"/>
        </w:numPr>
      </w:pPr>
      <w:r>
        <w:rPr>
          <w:rFonts w:hint="eastAsia"/>
        </w:rPr>
        <w:t xml:space="preserve">东山精密净流入+42.59亿并涨停。</w:t>
      </w:r>
    </w:p>
    <w:p>
      <w:pPr>
        <w:pStyle w:val="Compact"/>
        <w:numPr>
          <w:ilvl w:val="0"/>
          <w:numId w:val="1025"/>
        </w:numPr>
      </w:pPr>
      <w:r>
        <w:rPr>
          <w:rFonts w:hint="eastAsia"/>
        </w:rPr>
        <w:t xml:space="preserve">生益科技净流入+9.89亿并涨停。</w:t>
      </w:r>
    </w:p>
    <w:p>
      <w:pPr>
        <w:pStyle w:val="Compact"/>
        <w:numPr>
          <w:ilvl w:val="0"/>
          <w:numId w:val="1025"/>
        </w:numPr>
      </w:pPr>
      <w:r>
        <w:rPr>
          <w:rFonts w:hint="eastAsia"/>
        </w:rPr>
        <w:t xml:space="preserve">板块处于加速/主升阶段。</w:t>
      </w:r>
    </w:p>
    <w:bookmarkEnd w:id="44"/>
    <w:bookmarkStart w:id="45" w:name="操作-1"/>
    <w:p>
      <w:pPr>
        <w:pStyle w:val="Heading3"/>
      </w:pPr>
      <w:r>
        <w:t xml:space="preserve">💡 </w:t>
      </w:r>
      <w:r>
        <w:rPr>
          <w:rFonts w:hint="eastAsia"/>
        </w:rPr>
        <w:t xml:space="preserve">操作</w:t>
      </w:r>
    </w:p>
    <w:p>
      <w:pPr>
        <w:pStyle w:val="Compact"/>
        <w:numPr>
          <w:ilvl w:val="0"/>
          <w:numId w:val="1026"/>
        </w:numPr>
      </w:pPr>
      <w:r>
        <w:rPr>
          <w:rFonts w:hint="eastAsia"/>
        </w:rPr>
        <w:t xml:space="preserve">东山精密、生益科技这类核心只适合低吸确认，不适合午后情绪化追板。</w:t>
      </w:r>
    </w:p>
    <w:p>
      <w:pPr>
        <w:pStyle w:val="Compact"/>
        <w:numPr>
          <w:ilvl w:val="0"/>
          <w:numId w:val="1026"/>
        </w:numPr>
      </w:pPr>
      <w:r>
        <w:rPr>
          <w:rFonts w:hint="eastAsia"/>
        </w:rPr>
        <w:t xml:space="preserve">景旺电子作为右侧候选，最新价79.44元，涨幅+6.27%，换手率3.08%，主力净额+1.92亿，可作为趋势观察，不直接等同买入结论。</w:t>
      </w:r>
    </w:p>
    <w:p>
      <w:pPr>
        <w:pStyle w:val="Compact"/>
        <w:numPr>
          <w:ilvl w:val="0"/>
          <w:numId w:val="1026"/>
        </w:numPr>
      </w:pPr>
      <w:r>
        <w:rPr>
          <w:rFonts w:hint="eastAsia"/>
        </w:rPr>
        <w:t xml:space="preserve">若板块下午放量分歧后仍能回封或新高，才是确认信号。</w:t>
      </w:r>
    </w:p>
    <w:bookmarkEnd w:id="45"/>
    <w:bookmarkEnd w:id="46"/>
    <w:bookmarkStart w:id="49" w:name="c档医疗服务cro"/>
    <w:p>
      <w:pPr>
        <w:pStyle w:val="Heading2"/>
      </w:pPr>
      <w:r>
        <w:t xml:space="preserve">👀 </w:t>
      </w:r>
      <w:r>
        <w:rPr>
          <w:rFonts w:hint="eastAsia"/>
        </w:rPr>
        <w:t xml:space="preserve">C档：医疗服务/CRO</w:t>
      </w:r>
    </w:p>
    <w:bookmarkStart w:id="47" w:name="证据链-2"/>
    <w:p>
      <w:pPr>
        <w:pStyle w:val="Heading3"/>
      </w:pPr>
      <w:r>
        <w:t xml:space="preserve">🔗 </w:t>
      </w:r>
      <w:r>
        <w:rPr>
          <w:rFonts w:hint="eastAsia"/>
        </w:rPr>
        <w:t xml:space="preserve">证据链</w:t>
      </w:r>
    </w:p>
    <w:p>
      <w:pPr>
        <w:pStyle w:val="Compact"/>
        <w:numPr>
          <w:ilvl w:val="0"/>
          <w:numId w:val="1027"/>
        </w:numPr>
      </w:pPr>
      <w:r>
        <w:rPr>
          <w:rFonts w:hint="eastAsia"/>
        </w:rPr>
        <w:t xml:space="preserve">医疗服务净流入+25.56亿元。</w:t>
      </w:r>
    </w:p>
    <w:p>
      <w:pPr>
        <w:pStyle w:val="Compact"/>
        <w:numPr>
          <w:ilvl w:val="0"/>
          <w:numId w:val="1027"/>
        </w:numPr>
      </w:pPr>
      <w:r>
        <w:rPr>
          <w:rFonts w:hint="eastAsia"/>
        </w:rPr>
        <w:t xml:space="preserve">药明康德净流入+19.18亿并涨停。</w:t>
      </w:r>
    </w:p>
    <w:p>
      <w:pPr>
        <w:pStyle w:val="Compact"/>
        <w:numPr>
          <w:ilvl w:val="0"/>
          <w:numId w:val="1027"/>
        </w:numPr>
      </w:pPr>
      <w:r>
        <w:rPr>
          <w:rFonts w:hint="eastAsia"/>
        </w:rPr>
        <w:t xml:space="preserve">凯莱英、百花医药均涨停。</w:t>
      </w:r>
    </w:p>
    <w:p>
      <w:pPr>
        <w:pStyle w:val="Compact"/>
        <w:numPr>
          <w:ilvl w:val="0"/>
          <w:numId w:val="1027"/>
        </w:numPr>
      </w:pPr>
      <w:r>
        <w:rPr>
          <w:rFonts w:hint="eastAsia"/>
        </w:rPr>
        <w:t xml:space="preserve">药明康德上调2026年全年业绩指引，持续经营业务收入同比增速预期由18%-22%上调至35%-39%。</w:t>
      </w:r>
    </w:p>
    <w:bookmarkEnd w:id="47"/>
    <w:bookmarkStart w:id="48" w:name="操作-2"/>
    <w:p>
      <w:pPr>
        <w:pStyle w:val="Heading3"/>
      </w:pPr>
      <w:r>
        <w:t xml:space="preserve">💡 </w:t>
      </w:r>
      <w:r>
        <w:rPr>
          <w:rFonts w:hint="eastAsia"/>
        </w:rPr>
        <w:t xml:space="preserve">操作</w:t>
      </w:r>
    </w:p>
    <w:p>
      <w:pPr>
        <w:pStyle w:val="Compact"/>
        <w:numPr>
          <w:ilvl w:val="0"/>
          <w:numId w:val="1028"/>
        </w:numPr>
      </w:pPr>
      <w:r>
        <w:rPr>
          <w:rFonts w:hint="eastAsia"/>
        </w:rPr>
        <w:t xml:space="preserve">医疗服务属于业绩催化+资金共振，强度真实。</w:t>
      </w:r>
    </w:p>
    <w:p>
      <w:pPr>
        <w:pStyle w:val="Compact"/>
        <w:numPr>
          <w:ilvl w:val="0"/>
          <w:numId w:val="1028"/>
        </w:numPr>
      </w:pPr>
      <w:r>
        <w:rPr>
          <w:rFonts w:hint="eastAsia"/>
        </w:rPr>
        <w:t xml:space="preserve">但上午已经明显发酵，下午不适合追缩量高位。</w:t>
      </w:r>
    </w:p>
    <w:p>
      <w:pPr>
        <w:pStyle w:val="Compact"/>
        <w:numPr>
          <w:ilvl w:val="0"/>
          <w:numId w:val="1028"/>
        </w:numPr>
      </w:pPr>
      <w:r>
        <w:rPr>
          <w:rFonts w:hint="eastAsia"/>
        </w:rPr>
        <w:t xml:space="preserve">药明康德若开板回封且资金不流出，可看作机构方向确认；若炸板放量，则医药只观察。</w:t>
      </w:r>
    </w:p>
    <w:bookmarkEnd w:id="48"/>
    <w:bookmarkEnd w:id="49"/>
    <w:bookmarkStart w:id="51" w:name="d档电力银行乘用车白酒证券"/>
    <w:p>
      <w:pPr>
        <w:pStyle w:val="Heading2"/>
      </w:pPr>
      <w:r>
        <w:t xml:space="preserve">⚠️ </w:t>
      </w:r>
      <w:r>
        <w:rPr>
          <w:rFonts w:hint="eastAsia"/>
        </w:rPr>
        <w:t xml:space="preserve">D档：电力、银行、乘用车、白酒、证券</w:t>
      </w:r>
    </w:p>
    <w:bookmarkStart w:id="50" w:name="回避理由"/>
    <w:p>
      <w:pPr>
        <w:pStyle w:val="Heading3"/>
      </w:pPr>
      <w:r>
        <w:t xml:space="preserve">⚠️ </w:t>
      </w:r>
      <w:r>
        <w:rPr>
          <w:rFonts w:hint="eastAsia"/>
        </w:rPr>
        <w:t xml:space="preserve">回避理由</w:t>
      </w:r>
    </w:p>
    <w:p>
      <w:pPr>
        <w:pStyle w:val="Compact"/>
        <w:numPr>
          <w:ilvl w:val="0"/>
          <w:numId w:val="1029"/>
        </w:numPr>
      </w:pPr>
      <w:r>
        <w:rPr>
          <w:rFonts w:hint="eastAsia"/>
        </w:rPr>
        <w:t xml:space="preserve">电力净流出-13.83亿元，盘前政策主线被资金证伪。</w:t>
      </w:r>
    </w:p>
    <w:p>
      <w:pPr>
        <w:pStyle w:val="Compact"/>
        <w:numPr>
          <w:ilvl w:val="0"/>
          <w:numId w:val="1029"/>
        </w:numPr>
      </w:pPr>
      <w:r>
        <w:rPr>
          <w:rFonts w:hint="eastAsia"/>
        </w:rPr>
        <w:t xml:space="preserve">银行Ⅱ净流出-15.88亿元，压制沪指。</w:t>
      </w:r>
    </w:p>
    <w:p>
      <w:pPr>
        <w:pStyle w:val="Compact"/>
        <w:numPr>
          <w:ilvl w:val="0"/>
          <w:numId w:val="1029"/>
        </w:numPr>
      </w:pPr>
      <w:r>
        <w:rPr>
          <w:rFonts w:hint="eastAsia"/>
        </w:rPr>
        <w:t xml:space="preserve">乘用车净流出-11.62亿元，比亚迪净流出-7.98亿。</w:t>
      </w:r>
    </w:p>
    <w:p>
      <w:pPr>
        <w:pStyle w:val="Compact"/>
        <w:numPr>
          <w:ilvl w:val="0"/>
          <w:numId w:val="1029"/>
        </w:numPr>
      </w:pPr>
      <w:r>
        <w:rPr>
          <w:rFonts w:hint="eastAsia"/>
        </w:rPr>
        <w:t xml:space="preserve">白酒Ⅱ净流出-8.48亿元，消费防御不受资金青睐。</w:t>
      </w:r>
    </w:p>
    <w:p>
      <w:pPr>
        <w:pStyle w:val="Compact"/>
        <w:numPr>
          <w:ilvl w:val="0"/>
          <w:numId w:val="1029"/>
        </w:numPr>
      </w:pPr>
      <w:r>
        <w:rPr>
          <w:rFonts w:hint="eastAsia"/>
        </w:rPr>
        <w:t xml:space="preserve">证券Ⅱ净流出-8.49亿元，指数反弹但券商未跟随。</w:t>
      </w:r>
    </w:p>
    <w:bookmarkEnd w:id="50"/>
    <w:bookmarkEnd w:id="51"/>
    <w:bookmarkStart w:id="56" w:name="下午仓位模型最高50但不因普涨盲目加到满仓"/>
    <w:p>
      <w:pPr>
        <w:pStyle w:val="Heading2"/>
      </w:pPr>
      <w:r>
        <w:t xml:space="preserve">⑩ 🧮 </w:t>
      </w:r>
      <w:r>
        <w:rPr>
          <w:rFonts w:hint="eastAsia"/>
        </w:rPr>
        <w:t xml:space="preserve">下午仓位模型：最高50%，但不因普涨盲目加到满仓</w:t>
      </w:r>
    </w:p>
    <w:bookmarkStart w:id="52" w:name="自动仓位输入"/>
    <w:p>
      <w:pPr>
        <w:pStyle w:val="Heading3"/>
      </w:pPr>
      <w:r>
        <w:t xml:space="preserve">📊 </w:t>
      </w:r>
      <w:r>
        <w:rPr>
          <w:rFonts w:hint="eastAsia"/>
        </w:rPr>
        <w:t xml:space="preserve">自动仓位输入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2.351</w:t>
            </w:r>
          </w:p>
        </w:tc>
        <w:tc>
          <w:tcPr/>
          <w:p>
            <w:pPr>
              <w:pStyle w:val="Compact"/>
              <w:jc w:val="right"/>
            </w:pPr>
            <w:r>
              <w:t xml:space="preserve">+10</w:t>
            </w:r>
          </w:p>
        </w:tc>
      </w:tr>
      <w:tr>
        <w:tc>
          <w:tcPr/>
          <w:p>
            <w:pPr>
              <w:pStyle w:val="Compact"/>
            </w:pPr>
            <w:r>
              <w:rPr>
                <w:rFonts w:hint="eastAsia"/>
              </w:rPr>
              <w:t xml:space="preserve">炸板率</w:t>
            </w:r>
          </w:p>
        </w:tc>
        <w:tc>
          <w:tcPr/>
          <w:p>
            <w:pPr>
              <w:pStyle w:val="Compact"/>
              <w:jc w:val="right"/>
            </w:pPr>
            <w:r>
              <w:t xml:space="preserve">11.6%</w:t>
            </w:r>
          </w:p>
        </w:tc>
        <w:tc>
          <w:tcPr/>
          <w:p>
            <w:pPr>
              <w:pStyle w:val="Compact"/>
              <w:jc w:val="right"/>
            </w:pPr>
            <w:r>
              <w:t xml:space="preserve">+5</w:t>
            </w:r>
          </w:p>
        </w:tc>
      </w:tr>
      <w:tr>
        <w:tc>
          <w:tcPr/>
          <w:p>
            <w:pPr>
              <w:pStyle w:val="Compact"/>
            </w:pPr>
            <w:r>
              <w:rPr>
                <w:rFonts w:hint="eastAsia"/>
              </w:rPr>
              <w:t xml:space="preserve">跌停数</w:t>
            </w:r>
          </w:p>
        </w:tc>
        <w:tc>
          <w:tcPr/>
          <w:p>
            <w:pPr>
              <w:pStyle w:val="Compact"/>
              <w:jc w:val="right"/>
            </w:pPr>
            <w:r>
              <w:t xml:space="preserve">1</w:t>
            </w:r>
          </w:p>
        </w:tc>
        <w:tc>
          <w:tcPr/>
          <w:p>
            <w:pPr>
              <w:pStyle w:val="Compact"/>
              <w:jc w:val="right"/>
            </w:pPr>
            <w:r>
              <w:t xml:space="preserve">0</w:t>
            </w:r>
          </w:p>
        </w:tc>
      </w:tr>
      <w:tr>
        <w:tc>
          <w:tcPr/>
          <w:p>
            <w:pPr>
              <w:pStyle w:val="Compact"/>
            </w:pPr>
            <w:r>
              <w:rPr>
                <w:rFonts w:hint="eastAsia"/>
              </w:rPr>
              <w:t xml:space="preserve">成交额变化</w:t>
            </w:r>
          </w:p>
        </w:tc>
        <w:tc>
          <w:tcPr/>
          <w:p>
            <w:pPr>
              <w:pStyle w:val="Compact"/>
              <w:jc w:val="right"/>
            </w:pPr>
            <w:r>
              <w:t xml:space="preserve">-31.9%</w:t>
            </w:r>
          </w:p>
        </w:tc>
        <w:tc>
          <w:tcPr/>
          <w:p>
            <w:pPr>
              <w:pStyle w:val="Compact"/>
              <w:jc w:val="right"/>
            </w:pPr>
            <w:r>
              <w:t xml:space="preserve">-8</w:t>
            </w:r>
          </w:p>
        </w:tc>
      </w:tr>
      <w:tr>
        <w:tc>
          <w:tcPr/>
          <w:p>
            <w:pPr>
              <w:pStyle w:val="Compact"/>
            </w:pPr>
            <w:r>
              <w:rPr>
                <w:rFonts w:hint="eastAsia"/>
              </w:rPr>
              <w:t xml:space="preserve">最大仓位</w:t>
            </w:r>
          </w:p>
        </w:tc>
        <w:tc>
          <w:tcPr/>
          <w:p>
            <w:pPr>
              <w:pStyle w:val="Compact"/>
              <w:jc w:val="right"/>
            </w:pPr>
            <w:r>
              <w:t xml:space="preserve">50%</w:t>
            </w:r>
          </w:p>
        </w:tc>
        <w:tc>
          <w:tcPr/>
          <w:p>
            <w:pPr>
              <w:pStyle w:val="Compact"/>
              <w:jc w:val="right"/>
            </w:pPr>
            <w:r>
              <w:rPr>
                <w:rFonts w:hint="eastAsia"/>
              </w:rPr>
              <w:t xml:space="preserve">上限约束</w:t>
            </w:r>
          </w:p>
        </w:tc>
      </w:tr>
    </w:tbl>
    <w:bookmarkEnd w:id="52"/>
    <w:bookmarkStart w:id="53" w:name="仓位结论"/>
    <w:p>
      <w:pPr>
        <w:pStyle w:val="Heading3"/>
      </w:pPr>
      <w:r>
        <w:t xml:space="preserve">💡 </w:t>
      </w:r>
      <w:r>
        <w:rPr>
          <w:rFonts w:hint="eastAsia"/>
        </w:rPr>
        <w:t xml:space="preserve">仓位结论</w:t>
      </w:r>
    </w:p>
    <w:p>
      <w:pPr>
        <w:pStyle w:val="Compact"/>
        <w:numPr>
          <w:ilvl w:val="0"/>
          <w:numId w:val="1030"/>
        </w:numPr>
      </w:pPr>
      <w:r>
        <w:rPr>
          <w:rFonts w:hint="eastAsia"/>
        </w:rPr>
        <w:t xml:space="preserve">激进仓位：50%</w:t>
      </w:r>
    </w:p>
    <w:p>
      <w:pPr>
        <w:pStyle w:val="Compact"/>
        <w:numPr>
          <w:ilvl w:val="0"/>
          <w:numId w:val="1030"/>
        </w:numPr>
      </w:pPr>
      <w:r>
        <w:rPr>
          <w:rFonts w:hint="eastAsia"/>
        </w:rPr>
        <w:t xml:space="preserve">均衡仓位：47%</w:t>
      </w:r>
    </w:p>
    <w:p>
      <w:pPr>
        <w:pStyle w:val="Compact"/>
        <w:numPr>
          <w:ilvl w:val="0"/>
          <w:numId w:val="1030"/>
        </w:numPr>
      </w:pPr>
      <w:r>
        <w:rPr>
          <w:rFonts w:hint="eastAsia"/>
        </w:rPr>
        <w:t xml:space="preserve">保守仓位：32%</w:t>
      </w:r>
    </w:p>
    <w:p>
      <w:pPr>
        <w:pStyle w:val="Compact"/>
        <w:numPr>
          <w:ilvl w:val="0"/>
          <w:numId w:val="1030"/>
        </w:numPr>
      </w:pPr>
      <w:r>
        <w:rPr>
          <w:rFonts w:hint="eastAsia"/>
        </w:rPr>
        <w:t xml:space="preserve">最大仓位：50%</w:t>
      </w:r>
    </w:p>
    <w:bookmarkEnd w:id="53"/>
    <w:bookmarkStart w:id="54" w:name="下午执行建议"/>
    <w:p>
      <w:pPr>
        <w:pStyle w:val="Heading3"/>
      </w:pPr>
      <w:r>
        <w:t xml:space="preserve">📌 </w:t>
      </w:r>
      <w:r>
        <w:rPr>
          <w:rFonts w:hint="eastAsia"/>
        </w:rPr>
        <w:t xml:space="preserve">下午执行建议</w:t>
      </w:r>
    </w:p>
    <w:p>
      <w:pPr>
        <w:pStyle w:val="Compact"/>
        <w:numPr>
          <w:ilvl w:val="0"/>
          <w:numId w:val="1031"/>
        </w:numPr>
      </w:pPr>
      <w:r>
        <w:rPr>
          <w:rFonts w:hint="eastAsia"/>
        </w:rPr>
        <w:t xml:space="preserve">已持仓且持有通信/CPO/元件强趋势：仓位可维持47%至50%，但必须分批兑现涨幅过大的部分。</w:t>
      </w:r>
    </w:p>
    <w:p>
      <w:pPr>
        <w:pStyle w:val="Compact"/>
        <w:numPr>
          <w:ilvl w:val="0"/>
          <w:numId w:val="1031"/>
        </w:numPr>
      </w:pPr>
      <w:r>
        <w:rPr>
          <w:rFonts w:hint="eastAsia"/>
        </w:rPr>
        <w:t xml:space="preserve">空仓或低仓位：不建议午后直接打满，合理上限32%至47%。</w:t>
      </w:r>
    </w:p>
    <w:p>
      <w:pPr>
        <w:pStyle w:val="Compact"/>
        <w:numPr>
          <w:ilvl w:val="0"/>
          <w:numId w:val="1031"/>
        </w:numPr>
      </w:pPr>
      <w:r>
        <w:rPr>
          <w:rFonts w:hint="eastAsia"/>
        </w:rPr>
        <w:t xml:space="preserve">若创业板指维持强势、涨跌比保持2以上、炸板率不升破20%，可以维持中高仓。</w:t>
      </w:r>
    </w:p>
    <w:p>
      <w:pPr>
        <w:pStyle w:val="Compact"/>
        <w:numPr>
          <w:ilvl w:val="0"/>
          <w:numId w:val="1031"/>
        </w:numPr>
      </w:pPr>
      <w:r>
        <w:rPr>
          <w:rFonts w:hint="eastAsia"/>
        </w:rPr>
        <w:t xml:space="preserve">若半导体核心流出扩大，或通信设备/元件资金转弱，仓位降回32%。</w:t>
      </w:r>
    </w:p>
    <w:p>
      <w:pPr>
        <w:pStyle w:val="Compact"/>
        <w:numPr>
          <w:ilvl w:val="0"/>
          <w:numId w:val="1031"/>
        </w:numPr>
      </w:pPr>
      <w:r>
        <w:rPr>
          <w:rFonts w:hint="eastAsia"/>
        </w:rPr>
        <w:t xml:space="preserve">若尾盘成交不足、题材轮动过快，不为“怕踏空”加仓。</w:t>
      </w:r>
    </w:p>
    <w:bookmarkEnd w:id="54"/>
    <w:bookmarkStart w:id="55" w:name="行为金融约束"/>
    <w:p>
      <w:pPr>
        <w:pStyle w:val="Heading3"/>
      </w:pPr>
      <w:r>
        <w:t xml:space="preserve">🧠 </w:t>
      </w:r>
      <w:r>
        <w:rPr>
          <w:rFonts w:hint="eastAsia"/>
        </w:rPr>
        <w:t xml:space="preserve">行为金融约束</w:t>
      </w:r>
    </w:p>
    <w:p>
      <w:pPr>
        <w:pStyle w:val="FirstParagraph"/>
      </w:pPr>
      <w:r>
        <w:rPr>
          <w:rStyle w:val="VerbatimChar"/>
        </w:rPr>
        <w:t xml:space="preserve">derived.behavioral_finance_signals</w:t>
      </w:r>
      <w:r>
        <w:rPr>
          <w:rFonts w:hint="eastAsia"/>
        </w:rPr>
        <w:t xml:space="preserve">显示：</w:t>
      </w:r>
    </w:p>
    <w:p>
      <w:pPr>
        <w:pStyle w:val="Compact"/>
        <w:numPr>
          <w:ilvl w:val="0"/>
          <w:numId w:val="1032"/>
        </w:numPr>
      </w:pPr>
      <w:r>
        <w:rPr>
          <w:rFonts w:hint="eastAsia"/>
        </w:rPr>
        <w:t xml:space="preserve">核心票估值/换手拥挤风险为medium。</w:t>
      </w:r>
    </w:p>
    <w:p>
      <w:pPr>
        <w:pStyle w:val="Compact"/>
        <w:numPr>
          <w:ilvl w:val="0"/>
          <w:numId w:val="1032"/>
        </w:numPr>
      </w:pPr>
      <w:r>
        <w:rPr>
          <w:rFonts w:hint="eastAsia"/>
        </w:rPr>
        <w:t xml:space="preserve">重点股高PE≥80共3只。</w:t>
      </w:r>
    </w:p>
    <w:p>
      <w:pPr>
        <w:pStyle w:val="Compact"/>
        <w:numPr>
          <w:ilvl w:val="0"/>
          <w:numId w:val="1032"/>
        </w:numPr>
      </w:pPr>
      <w:r>
        <w:rPr>
          <w:rFonts w:hint="eastAsia"/>
        </w:rPr>
        <w:t xml:space="preserve">高换手≥20%共0只。</w:t>
      </w:r>
    </w:p>
    <w:p>
      <w:pPr>
        <w:pStyle w:val="Compact"/>
        <w:numPr>
          <w:ilvl w:val="0"/>
          <w:numId w:val="1032"/>
        </w:numPr>
      </w:pPr>
      <w:r>
        <w:rPr>
          <w:rFonts w:hint="eastAsia"/>
        </w:rPr>
        <w:t xml:space="preserve">行为风险分：2。</w:t>
      </w:r>
    </w:p>
    <w:p>
      <w:pPr>
        <w:pStyle w:val="Compact"/>
        <w:numPr>
          <w:ilvl w:val="0"/>
          <w:numId w:val="1032"/>
        </w:numPr>
      </w:pPr>
      <w:r>
        <w:rPr>
          <w:rFonts w:hint="eastAsia"/>
        </w:rPr>
        <w:t xml:space="preserve">立场：按原仓位模型执行，避免无依据扩大仓位。</w:t>
      </w:r>
    </w:p>
    <w:p>
      <w:pPr>
        <w:pStyle w:val="FirstParagraph"/>
      </w:pPr>
      <w:r>
        <w:t xml:space="preserve">💡 </w:t>
      </w:r>
      <w:r>
        <w:rPr>
          <w:rFonts w:hint="eastAsia"/>
        </w:rPr>
        <w:t xml:space="preserve">这意味着下午不是不能做，而是不能因为创业板大涨就FOMO追高。高PE核心票已经存在估值拥挤，必须用趋势和资金确认过滤。</w:t>
      </w:r>
    </w:p>
    <w:bookmarkEnd w:id="55"/>
    <w:bookmarkEnd w:id="56"/>
    <w:bookmarkStart w:id="60" w:name="下午回避清单不接权重流出不追高位分歧"/>
    <w:p>
      <w:pPr>
        <w:pStyle w:val="Heading2"/>
      </w:pPr>
      <w:r>
        <w:t xml:space="preserve">⑪ 🚫 </w:t>
      </w:r>
      <w:r>
        <w:rPr>
          <w:rFonts w:hint="eastAsia"/>
        </w:rPr>
        <w:t xml:space="preserve">下午回避清单：不接权重流出，不追高位分歧</w:t>
      </w:r>
    </w:p>
    <w:bookmarkStart w:id="57" w:name="明确回避"/>
    <w:p>
      <w:pPr>
        <w:pStyle w:val="Heading3"/>
      </w:pPr>
      <w:r>
        <w:t xml:space="preserve">🚫 </w:t>
      </w:r>
      <w:r>
        <w:rPr>
          <w:rFonts w:hint="eastAsia"/>
        </w:rPr>
        <w:t xml:space="preserve">明确回避</w:t>
      </w:r>
    </w:p>
    <w:p>
      <w:pPr>
        <w:pStyle w:val="Compact"/>
        <w:numPr>
          <w:ilvl w:val="0"/>
          <w:numId w:val="1033"/>
        </w:numPr>
      </w:pPr>
      <w:r>
        <w:rPr>
          <w:rFonts w:hint="eastAsia"/>
        </w:rPr>
        <w:t xml:space="preserve">银行Ⅱ：板块净流出-15.88亿元，农业银行净流出-5.38亿。</w:t>
      </w:r>
    </w:p>
    <w:p>
      <w:pPr>
        <w:pStyle w:val="Compact"/>
        <w:numPr>
          <w:ilvl w:val="0"/>
          <w:numId w:val="1033"/>
        </w:numPr>
      </w:pPr>
      <w:r>
        <w:rPr>
          <w:rFonts w:hint="eastAsia"/>
        </w:rPr>
        <w:t xml:space="preserve">电力：板块净流出-13.83亿元，华电辽能净流出-3.89亿。</w:t>
      </w:r>
    </w:p>
    <w:p>
      <w:pPr>
        <w:pStyle w:val="Compact"/>
        <w:numPr>
          <w:ilvl w:val="0"/>
          <w:numId w:val="1033"/>
        </w:numPr>
      </w:pPr>
      <w:r>
        <w:rPr>
          <w:rFonts w:hint="eastAsia"/>
        </w:rPr>
        <w:t xml:space="preserve">乘用车：板块净流出-11.62亿元，比亚迪净流出-7.98亿。</w:t>
      </w:r>
    </w:p>
    <w:p>
      <w:pPr>
        <w:pStyle w:val="Compact"/>
        <w:numPr>
          <w:ilvl w:val="0"/>
          <w:numId w:val="1033"/>
        </w:numPr>
      </w:pPr>
      <w:r>
        <w:rPr>
          <w:rFonts w:hint="eastAsia"/>
        </w:rPr>
        <w:t xml:space="preserve">白酒Ⅱ：板块净流出-8.48亿元，贵州茅台净流出-3.66亿。</w:t>
      </w:r>
    </w:p>
    <w:p>
      <w:pPr>
        <w:pStyle w:val="Compact"/>
        <w:numPr>
          <w:ilvl w:val="0"/>
          <w:numId w:val="1033"/>
        </w:numPr>
      </w:pPr>
      <w:r>
        <w:rPr>
          <w:rFonts w:hint="eastAsia"/>
        </w:rPr>
        <w:t xml:space="preserve">证券Ⅱ：板块净流出-8.49亿元，指数反弹但券商无承接。</w:t>
      </w:r>
    </w:p>
    <w:bookmarkEnd w:id="57"/>
    <w:bookmarkStart w:id="58" w:name="高位科技分歧回避"/>
    <w:p>
      <w:pPr>
        <w:pStyle w:val="Heading3"/>
      </w:pPr>
      <w:r>
        <w:t xml:space="preserve">⚠️ </w:t>
      </w:r>
      <w:r>
        <w:rPr>
          <w:rFonts w:hint="eastAsia"/>
        </w:rPr>
        <w:t xml:space="preserve">高位科技分歧回避</w:t>
      </w:r>
    </w:p>
    <w:p>
      <w:pPr>
        <w:pStyle w:val="Compact"/>
        <w:numPr>
          <w:ilvl w:val="0"/>
          <w:numId w:val="1034"/>
        </w:numPr>
      </w:pPr>
      <w:r>
        <w:rPr>
          <w:rFonts w:hint="eastAsia"/>
        </w:rPr>
        <w:t xml:space="preserve">长鑫科技净流出-10.09亿：半导体核心仍有分歧，不追高位反抽。</w:t>
      </w:r>
    </w:p>
    <w:p>
      <w:pPr>
        <w:pStyle w:val="Compact"/>
        <w:numPr>
          <w:ilvl w:val="0"/>
          <w:numId w:val="1034"/>
        </w:numPr>
      </w:pPr>
      <w:r>
        <w:rPr>
          <w:rFonts w:hint="eastAsia"/>
        </w:rPr>
        <w:t xml:space="preserve">中芯国际净流出-4.64亿：半导体中军承接不足时不加仓。</w:t>
      </w:r>
    </w:p>
    <w:p>
      <w:pPr>
        <w:pStyle w:val="Compact"/>
        <w:numPr>
          <w:ilvl w:val="0"/>
          <w:numId w:val="1034"/>
        </w:numPr>
      </w:pPr>
      <w:r>
        <w:rPr>
          <w:rFonts w:hint="eastAsia"/>
        </w:rPr>
        <w:t xml:space="preserve">中微公司净流出-3.47亿：设备方向不能只看政策逻辑。</w:t>
      </w:r>
    </w:p>
    <w:p>
      <w:pPr>
        <w:pStyle w:val="Compact"/>
        <w:numPr>
          <w:ilvl w:val="0"/>
          <w:numId w:val="1034"/>
        </w:numPr>
      </w:pPr>
      <w:r>
        <w:rPr>
          <w:rFonts w:hint="eastAsia"/>
        </w:rPr>
        <w:t xml:space="preserve">风华高科净流出-4.86亿：元件内部也有分化，不做无筛选追涨。</w:t>
      </w:r>
    </w:p>
    <w:p>
      <w:pPr>
        <w:pStyle w:val="Compact"/>
        <w:numPr>
          <w:ilvl w:val="0"/>
          <w:numId w:val="1034"/>
        </w:numPr>
      </w:pPr>
      <w:r>
        <w:rPr>
          <w:rFonts w:hint="eastAsia"/>
        </w:rPr>
        <w:t xml:space="preserve">太极实业净流出-3.56亿：前期流出延续，不参与弱修复。</w:t>
      </w:r>
    </w:p>
    <w:bookmarkEnd w:id="58"/>
    <w:bookmarkStart w:id="59" w:name="下午最重要的纪律"/>
    <w:p>
      <w:pPr>
        <w:pStyle w:val="Heading3"/>
      </w:pPr>
      <w:r>
        <w:t xml:space="preserve">💡 </w:t>
      </w:r>
      <w:r>
        <w:rPr>
          <w:rFonts w:hint="eastAsia"/>
        </w:rPr>
        <w:t xml:space="preserve">下午最重要的纪律</w:t>
      </w:r>
    </w:p>
    <w:p>
      <w:pPr>
        <w:pStyle w:val="Compact"/>
        <w:numPr>
          <w:ilvl w:val="0"/>
          <w:numId w:val="1035"/>
        </w:numPr>
      </w:pPr>
      <w:r>
        <w:rPr>
          <w:rFonts w:hint="eastAsia"/>
        </w:rPr>
        <w:t xml:space="preserve">买在无人问津处，卖在人声鼎沸时。</w:t>
      </w:r>
    </w:p>
    <w:p>
      <w:pPr>
        <w:pStyle w:val="Compact"/>
        <w:numPr>
          <w:ilvl w:val="0"/>
          <w:numId w:val="1035"/>
        </w:numPr>
      </w:pPr>
      <w:r>
        <w:rPr>
          <w:rFonts w:hint="eastAsia"/>
        </w:rPr>
        <w:t xml:space="preserve">上午已经大涨的核心，下午只等分歧后的再确认。</w:t>
      </w:r>
    </w:p>
    <w:p>
      <w:pPr>
        <w:pStyle w:val="Compact"/>
        <w:numPr>
          <w:ilvl w:val="0"/>
          <w:numId w:val="1035"/>
        </w:numPr>
      </w:pPr>
      <w:r>
        <w:rPr>
          <w:rFonts w:hint="eastAsia"/>
        </w:rPr>
        <w:t xml:space="preserve">情绪票不追缩量秒板，不接炸板回落。</w:t>
      </w:r>
    </w:p>
    <w:p>
      <w:pPr>
        <w:pStyle w:val="Compact"/>
        <w:numPr>
          <w:ilvl w:val="0"/>
          <w:numId w:val="1035"/>
        </w:numPr>
      </w:pPr>
      <w:r>
        <w:rPr>
          <w:rFonts w:hint="eastAsia"/>
        </w:rPr>
        <w:t xml:space="preserve">题材扩散过快时，宁可错过，不做杂毛补涨。</w:t>
      </w:r>
    </w:p>
    <w:p>
      <w:pPr>
        <w:pStyle w:val="Compact"/>
        <w:numPr>
          <w:ilvl w:val="0"/>
          <w:numId w:val="1035"/>
        </w:numPr>
      </w:pPr>
      <w:r>
        <w:rPr>
          <w:rFonts w:hint="eastAsia"/>
        </w:rPr>
        <w:t xml:space="preserve">趋势破位、资金转弱、板块失去领涨地位，立即降仓。</w:t>
      </w:r>
    </w:p>
    <w:bookmarkEnd w:id="59"/>
    <w:bookmarkEnd w:id="60"/>
    <w:bookmarkStart w:id="63" w:name="午盘结论科技成长强修复成立下午看承接而不是再追高"/>
    <w:p>
      <w:pPr>
        <w:pStyle w:val="Heading2"/>
      </w:pPr>
      <w:r>
        <w:t xml:space="preserve">🧭 </w:t>
      </w:r>
      <w:r>
        <w:rPr>
          <w:rFonts w:hint="eastAsia"/>
        </w:rPr>
        <w:t xml:space="preserve">午盘结论：科技成长强修复成立，下午看承接而不是再追高</w:t>
      </w:r>
    </w:p>
    <w:p>
      <w:pPr>
        <w:pStyle w:val="FirstParagraph"/>
      </w:pPr>
      <w:r>
        <w:rPr>
          <w:rFonts w:hint="eastAsia"/>
        </w:rPr>
        <w:t xml:space="preserve">上午最清晰的变化是：资金从银行、电力、乘用车、白酒、证券等权重与防御方向撤出，集中攻击通信设备、元件、半导体、IT服务Ⅱ、医疗服务。</w:t>
      </w:r>
    </w:p>
    <w:bookmarkStart w:id="61" w:name="明确观点"/>
    <w:p>
      <w:pPr>
        <w:pStyle w:val="Heading3"/>
      </w:pPr>
      <w:r>
        <w:t xml:space="preserve">✅ </w:t>
      </w:r>
      <w:r>
        <w:rPr>
          <w:rFonts w:hint="eastAsia"/>
        </w:rPr>
        <w:t xml:space="preserve">明确观点</w:t>
      </w:r>
    </w:p>
    <w:p>
      <w:pPr>
        <w:pStyle w:val="Compact"/>
        <w:numPr>
          <w:ilvl w:val="0"/>
          <w:numId w:val="1036"/>
        </w:numPr>
      </w:pPr>
      <w:r>
        <w:rPr>
          <w:rFonts w:hint="eastAsia"/>
        </w:rPr>
        <w:t xml:space="preserve">情绪周期：回暖偏强。</w:t>
      </w:r>
    </w:p>
    <w:p>
      <w:pPr>
        <w:pStyle w:val="Compact"/>
        <w:numPr>
          <w:ilvl w:val="0"/>
          <w:numId w:val="1036"/>
        </w:numPr>
      </w:pPr>
      <w:r>
        <w:rPr>
          <w:rFonts w:hint="eastAsia"/>
        </w:rPr>
        <w:t xml:space="preserve">主线状态：通信设备/CPO、元件/PCB、医疗服务最强。</w:t>
      </w:r>
    </w:p>
    <w:p>
      <w:pPr>
        <w:pStyle w:val="Compact"/>
        <w:numPr>
          <w:ilvl w:val="0"/>
          <w:numId w:val="1036"/>
        </w:numPr>
      </w:pPr>
      <w:r>
        <w:rPr>
          <w:rFonts w:hint="eastAsia"/>
        </w:rPr>
        <w:t xml:space="preserve">风格状态：成长进攻占优，价值防御退潮。</w:t>
      </w:r>
    </w:p>
    <w:p>
      <w:pPr>
        <w:pStyle w:val="Compact"/>
        <w:numPr>
          <w:ilvl w:val="0"/>
          <w:numId w:val="1036"/>
        </w:numPr>
      </w:pPr>
      <w:r>
        <w:rPr>
          <w:rFonts w:hint="eastAsia"/>
        </w:rPr>
        <w:t xml:space="preserve">仓位状态：均衡47%，最高50%，不建议因普涨继续扩大。</w:t>
      </w:r>
    </w:p>
    <w:p>
      <w:pPr>
        <w:pStyle w:val="Compact"/>
        <w:numPr>
          <w:ilvl w:val="0"/>
          <w:numId w:val="1036"/>
        </w:numPr>
      </w:pPr>
      <w:r>
        <w:rPr>
          <w:rFonts w:hint="eastAsia"/>
        </w:rPr>
        <w:t xml:space="preserve">风险状态：成交额仍明显缩量，高位科技仍有局部分歧。</w:t>
      </w:r>
    </w:p>
    <w:bookmarkEnd w:id="61"/>
    <w:bookmarkStart w:id="62" w:name="下午优先级"/>
    <w:p>
      <w:pPr>
        <w:pStyle w:val="Heading3"/>
      </w:pPr>
      <w:r>
        <w:t xml:space="preserve">🎯 </w:t>
      </w:r>
      <w:r>
        <w:rPr>
          <w:rFonts w:hint="eastAsia"/>
        </w:rPr>
        <w:t xml:space="preserve">下午优先级</w:t>
      </w:r>
    </w:p>
    <w:p>
      <w:pPr>
        <w:pStyle w:val="Compact"/>
        <w:numPr>
          <w:ilvl w:val="0"/>
          <w:numId w:val="1037"/>
        </w:numPr>
      </w:pPr>
      <w:r>
        <w:rPr>
          <w:rFonts w:hint="eastAsia"/>
        </w:rPr>
        <w:t xml:space="preserve">通信设备/CPO/光模块：第一主线，只做强者回踩确认。</w:t>
      </w:r>
    </w:p>
    <w:p>
      <w:pPr>
        <w:pStyle w:val="Compact"/>
        <w:numPr>
          <w:ilvl w:val="0"/>
          <w:numId w:val="1037"/>
        </w:numPr>
      </w:pPr>
      <w:r>
        <w:rPr>
          <w:rFonts w:hint="eastAsia"/>
        </w:rPr>
        <w:t xml:space="preserve">元件/PCB/AI硬件：第二主线，关注东山精密、生益科技的承接。</w:t>
      </w:r>
    </w:p>
    <w:p>
      <w:pPr>
        <w:pStyle w:val="Compact"/>
        <w:numPr>
          <w:ilvl w:val="0"/>
          <w:numId w:val="1037"/>
        </w:numPr>
      </w:pPr>
      <w:r>
        <w:rPr>
          <w:rFonts w:hint="eastAsia"/>
        </w:rPr>
        <w:t xml:space="preserve">医疗服务/CRO：业绩催化明确，但午后不追高。</w:t>
      </w:r>
    </w:p>
    <w:p>
      <w:pPr>
        <w:pStyle w:val="Compact"/>
        <w:numPr>
          <w:ilvl w:val="0"/>
          <w:numId w:val="1037"/>
        </w:numPr>
      </w:pPr>
      <w:r>
        <w:rPr>
          <w:rFonts w:hint="eastAsia"/>
        </w:rPr>
        <w:t xml:space="preserve">IT服务Ⅱ/算力租赁：观察美利云、达实智能等龙头强度。</w:t>
      </w:r>
    </w:p>
    <w:p>
      <w:pPr>
        <w:pStyle w:val="Compact"/>
        <w:numPr>
          <w:ilvl w:val="0"/>
          <w:numId w:val="1037"/>
        </w:numPr>
      </w:pPr>
      <w:r>
        <w:rPr>
          <w:rFonts w:hint="eastAsia"/>
        </w:rPr>
        <w:t xml:space="preserve">半导体：分化修复，只做资金确认的右侧，不碰流出核心。</w:t>
      </w:r>
    </w:p>
    <w:p>
      <w:pPr>
        <w:pStyle w:val="Compact"/>
        <w:numPr>
          <w:ilvl w:val="0"/>
          <w:numId w:val="1037"/>
        </w:numPr>
      </w:pPr>
      <w:r>
        <w:rPr>
          <w:rFonts w:hint="eastAsia"/>
        </w:rPr>
        <w:t xml:space="preserve">电力、银行、乘用车、白酒、证券：资金流出方向，下午回避。</w:t>
      </w:r>
    </w:p>
    <w:p>
      <w:pPr>
        <w:pStyle w:val="BlockText"/>
      </w:pPr>
      <w:r>
        <w:t xml:space="preserve">📊 </w:t>
      </w:r>
      <w:r>
        <w:rPr>
          <w:rFonts w:hint="eastAsia"/>
        </w:rPr>
        <w:t xml:space="preserve">生成时间：2026-08-04</w:t>
      </w:r>
      <w:r>
        <w:t xml:space="preserve"> 11:45:46 +0800</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62"/>
    <w:bookmarkEnd w:id="63"/>
    <w:bookmarkEnd w:id="6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1"/>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2026-08-04T03:51:32Z</dcterms:created>
  <dcterms:modified xsi:type="dcterms:W3CDTF">2026-08-04T03:51:32Z</dcterms:modified>
</cp:coreProperties>
</file>

<file path=docProps/custom.xml><?xml version="1.0" encoding="utf-8"?>
<Properties xmlns="http://schemas.openxmlformats.org/officeDocument/2006/custom-properties" xmlns:vt="http://schemas.openxmlformats.org/officeDocument/2006/docPropsVTypes"/>
</file>