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3" w:name="奇迹早知道2026年10月28日全天复盘"/>
    <w:p>
      <w:pPr>
        <w:pStyle w:val="Heading1"/>
      </w:pPr>
      <w:r>
        <w:t xml:space="preserve">🌇 </w:t>
      </w:r>
      <w:r>
        <w:rPr>
          <w:rFonts w:hint="eastAsia"/>
        </w:rPr>
        <w:t xml:space="preserve">奇迹早知道｜2026年10月28日全天复盘</w:t>
      </w:r>
    </w:p>
    <w:p>
      <w:pPr>
        <w:pStyle w:val="FirstParagraph"/>
      </w:pPr>
      <w:r>
        <w:t xml:space="preserve">📈🔴 </w:t>
      </w:r>
      <w:r>
        <w:rPr>
          <w:rFonts w:hint="eastAsia"/>
        </w:rPr>
        <w:t xml:space="preserve">A股放量普涨，创业板指领涨，通信、半导体、机器人及PCB成为进攻主线；但49.60%的炸板率说明短线接力仍处于高位分歧，指数修复强度明显高于情绪接力质量。</w:t>
      </w:r>
    </w:p>
    <w:bookmarkStart w:id="10" w:name="一-全天行情概览"/>
    <w:p>
      <w:pPr>
        <w:pStyle w:val="Heading2"/>
      </w:pPr>
      <w:r>
        <w:rPr>
          <w:rFonts w:hint="eastAsia"/>
        </w:rPr>
        <w:t xml:space="preserve">一、📈</w:t>
      </w:r>
      <w:r>
        <w:t xml:space="preserve"> </w:t>
      </w:r>
      <w:r>
        <w:rPr>
          <w:rFonts w:hint="eastAsia"/>
        </w:rPr>
        <w:t xml:space="preserve">全天行情概览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📈🔴 </w:t>
            </w: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3681.4691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+0.9091%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7510.19亿元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📈🔴 </w:t>
            </w: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11473.1810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+2.0225%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8774.59亿元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📈🔴 </w:t>
            </w: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2634.7600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+3.3990%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4522.26亿元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📈🔴 </w:t>
            </w: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1282.9312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+2.4478%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756.76亿元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📈🔴 </w:t>
            </w: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4083.8702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+0.8475%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4192.79亿元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📈🔴 </w:t>
      </w:r>
      <w:r>
        <w:rPr>
          <w:rFonts w:hint="eastAsia"/>
        </w:rPr>
        <w:t xml:space="preserve">全市场上涨4156家、下跌1239家、平盘175家、停牌6家，涨跌比为3.354。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涨停73家，🟢跌停6家，市场宽度从前一交易日的普跌状态明显修复。</w:t>
      </w:r>
    </w:p>
    <w:p>
      <w:pPr>
        <w:pStyle w:val="Compact"/>
        <w:numPr>
          <w:ilvl w:val="0"/>
          <w:numId w:val="1001"/>
        </w:numPr>
      </w:pPr>
      <w:r>
        <w:t xml:space="preserve">💰 </w:t>
      </w:r>
      <w:r>
        <w:rPr>
          <w:rFonts w:hint="eastAsia"/>
        </w:rPr>
        <w:t xml:space="preserve">全市场成交额16420.93亿元，较前一交易日14728.81亿元增加1692.12亿元，增幅11.49%，属于温和放量。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普涨并未消除接力风险：炸板69家、炸板率49.60%，封板率50.40%，赚钱效应与高位亏钱效应并存。</w:t>
      </w:r>
    </w:p>
    <w:bookmarkStart w:id="9" w:name="宽基etf成交额恐慌联合信号"/>
    <w:p>
      <w:pPr>
        <w:pStyle w:val="Heading3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1827"/>
        <w:gridCol w:w="2436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截止时间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具体数据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300ETF QVIX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10月28日14:56:50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19.44，较前收盘19.51下降0.358790%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恐慌指标降温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QVIX距近期峰值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峰值日期10月15日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较22.10回落12.036199%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满足高位降温条件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宽基ETF连续净申购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最新份额日10月27日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5只连续流入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份额数据滞后1个交易日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最新份额日10月27日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净申购估算32.846472亿元，连续3个区间流入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持续大额流入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科创50ETF、创业板ETF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最新份额日10月27日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分别净申购7.433460亿元、11.576130亿元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均连续3个区间流入</w:t>
            </w:r>
          </w:p>
        </w:tc>
      </w:tr>
    </w:tbl>
    <w:p>
      <w:pPr>
        <w:pStyle w:val="BodyText"/>
      </w:pPr>
      <w:r>
        <w:t xml:space="preserve">✅ </w:t>
      </w:r>
      <w:r>
        <w:rPr>
          <w:rFonts w:hint="eastAsia"/>
        </w:rPr>
        <w:t xml:space="preserve">恐慌高位降温且宽基ETF持续流入已确认。</w:t>
      </w:r>
    </w:p>
    <w:p>
      <w:pPr>
        <w:pStyle w:val="Compact"/>
        <w:numPr>
          <w:ilvl w:val="0"/>
          <w:numId w:val="1002"/>
        </w:numPr>
      </w:pPr>
      <w:r>
        <w:t xml:space="preserve">💰 </w:t>
      </w:r>
      <w:r>
        <w:rPr>
          <w:rFonts w:hint="eastAsia"/>
        </w:rPr>
        <w:t xml:space="preserve">当日成交额同步放大11.49%，说明修复不仅来自缩量反抽。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宽基ETF份额数据最新截至10月27日，联合信号确认的是“连续配置资金承接＋当日恐慌回落”，不能替代10月28日ETF最终份额数据。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Collector本轮未取得10月28日收盘后的官方ETF份额字段，因此不对当日最终净申购额进行补算。</w:t>
      </w:r>
    </w:p>
    <w:bookmarkEnd w:id="9"/>
    <w:bookmarkEnd w:id="10"/>
    <w:bookmarkStart w:id="11" w:name="二-上午-vs-下午对比"/>
    <w:p>
      <w:pPr>
        <w:pStyle w:val="Heading2"/>
      </w:pPr>
      <w:r>
        <w:rPr>
          <w:rFonts w:hint="eastAsia"/>
        </w:rPr>
        <w:t xml:space="preserve">二、🕰️</w:t>
      </w:r>
      <w:r>
        <w:t xml:space="preserve"> </w:t>
      </w:r>
      <w:r>
        <w:rPr>
          <w:rFonts w:hint="eastAsia"/>
        </w:rPr>
        <w:t xml:space="preserve">上午</w:t>
      </w:r>
      <w:r>
        <w:t xml:space="preserve"> vs </w:t>
      </w:r>
      <w:r>
        <w:rPr>
          <w:rFonts w:hint="eastAsia"/>
        </w:rPr>
        <w:t xml:space="preserve">下午对比</w:t>
      </w:r>
    </w:p>
    <w:p>
      <w:pPr>
        <w:pStyle w:val="FirstParagraph"/>
      </w:pPr>
      <w:r>
        <w:rPr>
          <w:rFonts w:hint="eastAsia"/>
        </w:rPr>
        <w:t xml:space="preserve">当日正式午盘总结与午间定点快照均未取得，无法拆分上午、下午各自成交额及半日涨跌幅；以下仅使用开盘、收盘及涨停封板时间进行降级对照。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开盘点位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收盘较开盘变化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日内特征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3676.9185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3681.4691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+4.5506点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高开后收盘略高于开盘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11359.0840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11473.1810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+114.0970点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成长方向推动走强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2593.1540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2634.7600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+41.6060点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收盘显著高于开盘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1279.8996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1282.9312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+3.0316点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高开后维持强势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4084.6154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4083.8702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-0.7452点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权重弹性弱于成长指数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t xml:space="preserve">🌅 </w:t>
      </w:r>
      <w:r>
        <w:rPr>
          <w:rFonts w:hint="eastAsia"/>
        </w:rPr>
        <w:t xml:space="preserve">上午：金安国纪、青岛食品09:25封板，豪恩汽电、光洋股份、联明股份、长城科技09:30附近封板，襄阳轴承09:32封住5连板，机器人、业绩增长和PCB率先建立强度。</w:t>
      </w:r>
    </w:p>
    <w:p>
      <w:pPr>
        <w:pStyle w:val="Compact"/>
        <w:numPr>
          <w:ilvl w:val="0"/>
          <w:numId w:val="1003"/>
        </w:numPr>
      </w:pPr>
      <w:r>
        <w:t xml:space="preserve">🌇 </w:t>
      </w:r>
      <w:r>
        <w:rPr>
          <w:rFonts w:hint="eastAsia"/>
        </w:rPr>
        <w:t xml:space="preserve">下午：中重科技13:01封板，近岸蛋白13:14触板，铖昌科技13:27、澳洋健康13:29、百纳千成13:45、西子洁能14:27、斯迪克14:32完成扩散。</w:t>
      </w:r>
    </w:p>
    <w:p>
      <w:pPr>
        <w:pStyle w:val="Compact"/>
        <w:numPr>
          <w:ilvl w:val="0"/>
          <w:numId w:val="1003"/>
        </w:numPr>
      </w:pPr>
      <w:r>
        <w:t xml:space="preserve">📈🔴 </w:t>
      </w:r>
      <w:r>
        <w:rPr>
          <w:rFonts w:hint="eastAsia"/>
        </w:rPr>
        <w:t xml:space="preserve">午后新增涨停扩散至商业航天、医药、短剧及PCB，深证成指和创业板指收盘明显高于开盘。</w:t>
      </w:r>
    </w:p>
    <w:p>
      <w:pPr>
        <w:pStyle w:val="Compact"/>
        <w:numPr>
          <w:ilvl w:val="0"/>
          <w:numId w:val="1003"/>
        </w:numPr>
      </w:pPr>
      <w:r>
        <w:t xml:space="preserve">⚠️ </w:t>
      </w:r>
      <w:r>
        <w:rPr>
          <w:rFonts w:hint="eastAsia"/>
        </w:rPr>
        <w:t xml:space="preserve">杰克科技14:56才完成最后封板，泰山石油、铖昌科技等多次开板，说明午后虽有扩散，但封板稳定性并不一致。</w:t>
      </w:r>
    </w:p>
    <w:bookmarkEnd w:id="11"/>
    <w:bookmarkStart w:id="12" w:name="三-领涨板块top10与龙头"/>
    <w:p>
      <w:pPr>
        <w:pStyle w:val="Heading2"/>
      </w:pPr>
      <w:r>
        <w:rPr>
          <w:rFonts w:hint="eastAsia"/>
        </w:rPr>
        <w:t xml:space="preserve">三、🚀</w:t>
      </w:r>
      <w:r>
        <w:t xml:space="preserve"> </w:t>
      </w:r>
      <w:r>
        <w:rPr>
          <w:rFonts w:hint="eastAsia"/>
        </w:rPr>
        <w:t xml:space="preserve">领涨板块TOP10与龙头</w:t>
      </w:r>
    </w:p>
    <w:p>
      <w:pPr>
        <w:pStyle w:val="FirstParagraph"/>
      </w:pPr>
      <w:r>
        <w:rPr>
          <w:rFonts w:hint="eastAsia"/>
        </w:rPr>
        <w:t xml:space="preserve">以下排名采用KPL精选概念口径，不等同于申万二级行业资金榜。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机器人概念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板块涨3.240%；涨停集群19家，事由聚类命中33次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襄阳轴承5板、光洋股份3板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三季报增长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板块涨2.425%；业绩催化向机器人、PCB扩散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富瀚微、金安国纪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板块涨3.106%；半导体主力净流入68.91亿元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兆易创新、富瀚微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板块涨3.039%；行业主力净流入25.24亿元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光洋股份、万向钱潮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板块涨3.167%；通信设备主力净流入78.53亿元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中际旭创、新易盛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AI应用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板块涨1.721%；短剧、AI视频午后扩散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百纳千成、果麦文化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板块涨1.674%；医疗服务净流入8.07亿元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莱美药业、近岸蛋白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商业航天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板块涨2.681%；涨停集群4家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上海沪工、铖昌科技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业绩增长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板块涨2.236%；涨停集群6家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索通发展、东南电子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端侧AI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板块涨3.083%；芯片与消费电子共振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富瀚微、博杰股份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强度结构不是单一题材行情：通信、半导体由大成交额核心股主导，机器人由连板梯队主导，PCB同时获得元件资金流入、涨停池和龙虎榜支持。</w:t>
      </w:r>
    </w:p>
    <w:bookmarkEnd w:id="12"/>
    <w:bookmarkStart w:id="21" w:name="四-资金流向四张榜"/>
    <w:p>
      <w:pPr>
        <w:pStyle w:val="Heading2"/>
      </w:pPr>
      <w:r>
        <w:rPr>
          <w:rFonts w:hint="eastAsia"/>
        </w:rPr>
        <w:t xml:space="preserve">四、💰</w:t>
      </w:r>
      <w:r>
        <w:t xml:space="preserve">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资金榜来自华泰全日数据，截止10月28日15:00；板块口径为申万二级行业。</w:t>
      </w:r>
    </w:p>
    <w:bookmarkStart w:id="13" w:name="资金流出top10板块第15名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资金流出TOP10板块：第1—5名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-14.40亿元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一般零售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航海装备Ⅱ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-5.79亿元</w:t>
            </w:r>
          </w:p>
        </w:tc>
      </w:tr>
    </w:tbl>
    <w:bookmarkEnd w:id="13"/>
    <w:bookmarkStart w:id="14" w:name="资金流出top10板块第610名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资金流出TOP10板块：第6—10名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-5.05亿元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-4.01亿元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-3.80亿元</w:t>
            </w:r>
          </w:p>
        </w:tc>
      </w:tr>
    </w:tbl>
    <w:bookmarkEnd w:id="14"/>
    <w:bookmarkStart w:id="15" w:name="资金流出top10个股第15名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资金流出TOP10个股：第1—5名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-6.42亿元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西安奕材-U（688783）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-4.81亿元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中国船舶（600150）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大洋电机（002249）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-3.46亿元</w:t>
            </w:r>
          </w:p>
        </w:tc>
      </w:tr>
    </w:tbl>
    <w:bookmarkEnd w:id="15"/>
    <w:bookmarkStart w:id="16" w:name="资金流出top10个股第610名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资金流出TOP10个股：第6—10名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阳光电源（300274）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上海九百（600838）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-3.16亿元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中兴通讯（000063）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东方财富（300059）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-2.81亿元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五粮液（000858）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-2.75亿元</w:t>
            </w:r>
          </w:p>
        </w:tc>
      </w:tr>
    </w:tbl>
    <w:bookmarkEnd w:id="16"/>
    <w:bookmarkStart w:id="17" w:name="资金流入top10板块第15名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资金流入TOP10板块：第1—5名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+78.53亿元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+68.91亿元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+50.31亿元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+18.01亿元</w:t>
            </w:r>
          </w:p>
        </w:tc>
      </w:tr>
    </w:tbl>
    <w:bookmarkEnd w:id="17"/>
    <w:bookmarkStart w:id="18" w:name="资金流入top10板块第610名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资金流入TOP10板块：第6—10名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+17.57亿元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+14.28亿元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+8.07亿元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+7.81亿元</w:t>
            </w:r>
          </w:p>
        </w:tc>
      </w:tr>
    </w:tbl>
    <w:bookmarkEnd w:id="18"/>
    <w:bookmarkStart w:id="19" w:name="资金流入top10个股第15名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资金流入TOP10个股：第1—5名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+14.36亿元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工业富联（601138）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+8.47亿元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+8.45亿元</w:t>
            </w:r>
          </w:p>
        </w:tc>
      </w:tr>
    </w:tbl>
    <w:bookmarkEnd w:id="19"/>
    <w:bookmarkStart w:id="20" w:name="资金流入top10个股第610名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资金流入TOP10个股：第6—10名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君正股份（300223）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金安国纪（002636）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方正科技（600601）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沪电股份（002463）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+6.04亿元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恒瑞医药（600276）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+5.44亿元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资金结论：通信设备、半导体、元件合计净流入197.75亿元，AI硬件是全天最明确的机构型增量方向；电池、证券、软件开发合计净流出40.18亿元，仍是修复中的主要资金拖累。</w:t>
      </w:r>
    </w:p>
    <w:bookmarkEnd w:id="20"/>
    <w:bookmarkEnd w:id="21"/>
    <w:bookmarkStart w:id="22" w:name="五-领跌板块top5与资金流出预警"/>
    <w:p>
      <w:pPr>
        <w:pStyle w:val="Heading2"/>
      </w:pPr>
      <w:r>
        <w:rPr>
          <w:rFonts w:hint="eastAsia"/>
        </w:rPr>
        <w:t xml:space="preserve">五、📉</w:t>
      </w:r>
      <w:r>
        <w:t xml:space="preserve"> </w:t>
      </w:r>
      <w:r>
        <w:rPr>
          <w:rFonts w:hint="eastAsia"/>
        </w:rPr>
        <w:t xml:space="preserve">领跌板块TOP5与资金流出预警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62"/>
        <w:gridCol w:w="1697"/>
        <w:gridCol w:w="2262"/>
        <w:gridCol w:w="169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t xml:space="preserve">📉🟢 </w:t>
            </w:r>
            <w:r>
              <w:rPr>
                <w:rFonts w:hint="eastAsia"/>
              </w:rPr>
              <w:t xml:space="preserve">领跌方向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当日跌幅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资金交叉验证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-2.20%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主力净流出3.80亿元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食品饮料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-1.46%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资金四榜采用申万二级口径，未提供食品饮料一级行业金额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-0.87%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主力净流出13.98亿元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-0.82%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主力净流出5.05亿元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-0.58%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银行Ⅱ净流入7.81亿元，形成价跌资金流入背离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资金流出预警：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电池净流出14.40亿元居板块首位，宁德时代同时净流出12.26亿元并下跌1.66%，板块与龙头形成双重弱势。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证券Ⅱ净流出13.98亿元，证券ETF下跌0.80%，华鑫股份跌停，防御切换失败。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软件开发净流出11.80亿元，多伦科技跌停，说明科技内部并非全面修复。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西安奕材-U主力净流出4.81亿元，龙虎榜净卖出70718.6339万元，资金负反馈高度一致。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医疗服务净流入8.07亿元、医疗器械净流出4.01亿元，医药内部存在明显分化。</w:t>
      </w:r>
    </w:p>
    <w:bookmarkEnd w:id="22"/>
    <w:bookmarkStart w:id="26" w:name="六-市场情绪综合判断"/>
    <w:p>
      <w:pPr>
        <w:pStyle w:val="Heading2"/>
      </w:pPr>
      <w:r>
        <w:rPr>
          <w:rFonts w:hint="eastAsia"/>
        </w:rPr>
        <w:t xml:space="preserve">六、🌡️</w:t>
      </w:r>
      <w:r>
        <w:t xml:space="preserve"> </w:t>
      </w:r>
      <w:r>
        <w:rPr>
          <w:rFonts w:hint="eastAsia"/>
        </w:rPr>
        <w:t xml:space="preserve">市场情绪综合判断</w:t>
      </w:r>
    </w:p>
    <w:bookmarkStart w:id="23" w:name="情绪周期量化"/>
    <w:p>
      <w:pPr>
        <w:pStyle w:val="Heading3"/>
      </w:pPr>
      <w:r>
        <w:t xml:space="preserve">🌡️ </w:t>
      </w:r>
      <w:r>
        <w:rPr>
          <w:rFonts w:hint="eastAsia"/>
        </w:rPr>
        <w:t xml:space="preserve">情绪周期量化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当日数据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标准映射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涨停数量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73家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正常区间60—120家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活跃度恢复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49.60%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退潮阈值高于35%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高位分歧严重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跌停数量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低于过热区间下限10家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恐慌明显收敛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正常区间4—6板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高度仍在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3.354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高于过热区间上限3.0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广度强修复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综合周期判定：退潮中的强修复。</w:t>
      </w:r>
    </w:p>
    <w:p>
      <w:pPr>
        <w:pStyle w:val="Compact"/>
        <w:numPr>
          <w:ilvl w:val="0"/>
          <w:numId w:val="1005"/>
        </w:numPr>
      </w:pPr>
      <w:r>
        <w:t xml:space="preserve">📈🔴 </w:t>
      </w:r>
      <w:r>
        <w:rPr>
          <w:rFonts w:hint="eastAsia"/>
        </w:rPr>
        <w:t xml:space="preserve">指数、涨跌比、涨停数量均指向强修复。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炸板率49.60%已触发退潮标准，且5板与3板之间存在梯队断层。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结构化梯队为首板62家、2板5家、3板2家、5板1家，KPL梯队池合计70家；全市场终值为73家，两者覆盖范围不同，不对差额补数。</w:t>
      </w:r>
    </w:p>
    <w:bookmarkEnd w:id="23"/>
    <w:bookmarkStart w:id="24" w:name="连板梯队"/>
    <w:p>
      <w:pPr>
        <w:pStyle w:val="Heading3"/>
      </w:pPr>
      <w:r>
        <w:t xml:space="preserve">🪜 </w:t>
      </w:r>
      <w:r>
        <w:rPr>
          <w:rFonts w:hint="eastAsia"/>
        </w:rPr>
        <w:t xml:space="preserve">连板梯队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62"/>
        <w:gridCol w:w="2262"/>
        <w:gridCol w:w="1697"/>
        <w:gridCol w:w="169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高度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唯一高度锚，拥挤风险高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青岛食品、光洋股份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次高梯队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东贝集团、茂业商业、凯众股份、文投控股、江顺科技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晋级率偏低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多方向扩散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首板繁荣、接力不足</w:t>
            </w:r>
          </w:p>
        </w:tc>
      </w:tr>
    </w:tbl>
    <w:bookmarkEnd w:id="24"/>
    <w:bookmarkStart w:id="25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已确认信号：高位分歧／后悔厌恶触发，等级为高，证据为炸板率49.60%。</w:t>
      </w:r>
    </w:p>
    <w:p>
      <w:pPr>
        <w:pStyle w:val="Compact"/>
        <w:numPr>
          <w:ilvl w:val="0"/>
          <w:numId w:val="1006"/>
        </w:numPr>
      </w:pPr>
      <w:r>
        <w:t xml:space="preserve">🧠 </w:t>
      </w:r>
      <w:r>
        <w:rPr>
          <w:rFonts w:hint="eastAsia"/>
        </w:rPr>
        <w:t xml:space="preserve">行为金融风险分为3分，系统立场为“控制仓位，优先低吸核心中军”。</w:t>
      </w:r>
    </w:p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衍生层只确认了高位分歧信号，没有独立生成FOMO追涨标记；但73家涨停与机器人高热度容易诱发一致性追涨，不能将普涨直接等同于低风险。</w:t>
      </w:r>
    </w:p>
    <w:p>
      <w:pPr>
        <w:pStyle w:val="Compact"/>
        <w:numPr>
          <w:ilvl w:val="0"/>
          <w:numId w:val="1006"/>
        </w:numPr>
      </w:pPr>
      <w:r>
        <w:t xml:space="preserve">📉 </w:t>
      </w:r>
      <w:r>
        <w:rPr>
          <w:rFonts w:hint="eastAsia"/>
        </w:rPr>
        <w:t xml:space="preserve">昨日涨停股41家中28家上涨、12家下跌，平均涨幅2.33%；多伦科技、桂发祥等仍出现显著负反馈，接力意愿偏弱。</w:t>
      </w:r>
    </w:p>
    <w:bookmarkEnd w:id="25"/>
    <w:bookmarkEnd w:id="26"/>
    <w:bookmarkStart w:id="30" w:name="七-涨停事由聚类与关键涨停股"/>
    <w:p>
      <w:pPr>
        <w:pStyle w:val="Heading2"/>
      </w:pPr>
      <w:r>
        <w:rPr>
          <w:rFonts w:hint="eastAsia"/>
        </w:rPr>
        <w:t xml:space="preserve">七、🧩</w:t>
      </w:r>
      <w:r>
        <w:t xml:space="preserve"> </w:t>
      </w:r>
      <w:r>
        <w:rPr>
          <w:rFonts w:hint="eastAsia"/>
        </w:rPr>
        <w:t xml:space="preserve">涨停事由聚类与关键涨停股</w:t>
      </w:r>
    </w:p>
    <w:bookmarkStart w:id="27" w:name="严格涨停池核验"/>
    <w:p>
      <w:pPr>
        <w:pStyle w:val="Heading3"/>
      </w:pPr>
      <w:r>
        <w:t xml:space="preserve">🧩 </w:t>
      </w:r>
      <w:r>
        <w:rPr>
          <w:rFonts w:hint="eastAsia"/>
        </w:rPr>
        <w:t xml:space="preserve">严格涨停池核验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全市场涨停数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73家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同花顺全市场终值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严格事由池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10jqka事由分析口径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事由命中数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69家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已匹配主源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事由命中率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95.80%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可用于聚类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事由来源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10jqka涨停池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主源可用，未启用备用源</w:t>
            </w:r>
          </w:p>
        </w:tc>
      </w:tr>
    </w:tbl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严格事由池72家与KPL结构化梯队池70家属于不同数据口径；前者用于事由覆盖，后者用于连板结构，不能混合计算。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备用事由源StockApi因无Token调用额度不可用，但主源已命中69家，因此未改变涨停池事实。</w:t>
      </w:r>
    </w:p>
    <w:bookmarkEnd w:id="27"/>
    <w:bookmarkStart w:id="28" w:name="涨停事由聚类"/>
    <w:p>
      <w:pPr>
        <w:pStyle w:val="Heading3"/>
      </w:pPr>
      <w:r>
        <w:t xml:space="preserve">🧩 </w:t>
      </w:r>
      <w:r>
        <w:rPr>
          <w:rFonts w:hint="eastAsia"/>
        </w:rPr>
        <w:t xml:space="preserve">涨停事由聚类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980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聚类主线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多标签命中数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资金交叉验证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等级与行动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机器人／高端装备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襄阳轴承、光洋股份、凯众股份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自动化设备净流入14.28亿元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A-：只做分歧转强，不追一致高开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半导体／电子材料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光洋股份、方正科技、金安国纪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半导体净流入68.91亿元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A-：主线共振，等待承接确认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AI算力／通信／CPO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江顺科技、世运电路、博杰股份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通信设备净流入78.53亿元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A-：不追涨，观察中军持续性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创新药／mRNA／医疗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近岸蛋白、澳洋健康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医疗服务流入8.07亿元、医疗器械流出4.01亿元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B+：等待连续流入确认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消费电子／苹果链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斯迪克、科森科技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消费电子净流入18.01亿元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B+：等待梯队形成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上述为多标签聚类，同一股票可以归入多个主题，各组命中数不可相加为严格涨停池总数。</w:t>
      </w:r>
    </w:p>
    <w:bookmarkEnd w:id="28"/>
    <w:bookmarkStart w:id="29" w:name="关键涨停股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襄阳轴承（5板）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核心催化：部分精密轴承可应用于谐波减速器等领域，同时具有汽车轴承和军车轴承供应概念。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主要风险：处于唯一5板高度，PE为负、PB为10.41倍，2026年三季报加权ROE为-3.35%；相关机器人业务尚处市场拓展阶段，高位一致后存在快速兑现风险。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光洋股份（3板）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核心催化：拟建设新能源汽车及机器人用精密零部件项目，并已获得小鹏飞行汽车X3项目定点。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主要风险：已处3板次高梯队，风险集中于高位接力与机器人板块资金背离；本轮重点股技术样本未提供其A／B／C／D评级，不做趋势确认。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青岛食品（3板）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核心催化：股权转让、三季报增长及休闲食品题材，第三季度净利润同比增长31.17%。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主要风险：大消费资金强度弱于科技主线，且一般零售净流出7.19亿元；3板位置对次日承接要求较高。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江顺科技（2板）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核心催化：三季报增长、3D打印、铝挤压模具及新一代液冷模块。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主要风险：当日换手率19.9864%，盘中开板1次；本轮重点股技术样本未覆盖，只能观察二板分歧承接。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凯众股份（2板）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核心催化：机器人零部件、汽车减震及拟收购拓盛相关催化。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主要风险：处于机器人后排晋级环节，板块首板数量多而二板晋级率偏低，次日存在后排淘汰风险。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茂业商业（2板）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核心催化：百货零售、全渠道运营、自有物业及离境退税店布局。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主要风险：一般零售主力净流出7.19亿元，个股龙虎榜净买入为-1786.2055万元，板块资金与连板表现背离。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文投控股（2板）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核心催化：AI漫剧、游戏运营及影院运营。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主要风险：短剧／互动影游生命周期处于退潮／分歧，题材扩散不等于连续资金确认，二板后不宜追一致高开。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东贝集团（2板）</w:t>
      </w:r>
    </w:p>
    <w:p>
      <w:pPr>
        <w:pStyle w:val="Compact"/>
        <w:numPr>
          <w:ilvl w:val="1"/>
          <w:numId w:val="1016"/>
        </w:numPr>
      </w:pPr>
      <w:r>
        <w:rPr>
          <w:rFonts w:hint="eastAsia"/>
        </w:rPr>
        <w:t xml:space="preserve">核心催化：机器人电机、制冷压缩机及商用制冷。</w:t>
      </w:r>
    </w:p>
    <w:p>
      <w:pPr>
        <w:pStyle w:val="Compact"/>
        <w:numPr>
          <w:ilvl w:val="1"/>
          <w:numId w:val="1016"/>
        </w:numPr>
      </w:pPr>
      <w:r>
        <w:rPr>
          <w:rFonts w:hint="eastAsia"/>
        </w:rPr>
        <w:t xml:space="preserve">主要风险：人形机器人关节电机仍处研发测试阶段，产业化兑现度低于成熟主营业务；二板后需防题材预期先行。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方正科技（首板）</w:t>
      </w:r>
    </w:p>
    <w:p>
      <w:pPr>
        <w:pStyle w:val="Compact"/>
        <w:numPr>
          <w:ilvl w:val="1"/>
          <w:numId w:val="1017"/>
        </w:numPr>
      </w:pPr>
      <w:r>
        <w:rPr>
          <w:rFonts w:hint="eastAsia"/>
        </w:rPr>
        <w:t xml:space="preserve">核心催化：PCB、业绩高增及AI扩产，产品覆盖高密度互连板、多层板、系统板和车载板。</w:t>
      </w:r>
    </w:p>
    <w:p>
      <w:pPr>
        <w:pStyle w:val="Compact"/>
        <w:numPr>
          <w:ilvl w:val="1"/>
          <w:numId w:val="1017"/>
        </w:numPr>
      </w:pPr>
      <w:r>
        <w:rPr>
          <w:rFonts w:hint="eastAsia"/>
        </w:rPr>
        <w:t xml:space="preserve">主要风险：虽有主力净流入6.41亿元，但仍是首板扩散样本，次日晋级及板块承接尚需确认。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斯迪克（首板）</w:t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核心催化：MLCC离型膜、折叠屏OCA及功能性材料。</w:t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主要风险：当日为20CM涨停，龙虎榜净买入21357.3135万元，但高弹性也对应次日波动放大；本轮技术样本未覆盖，不做趋势确认。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金安国纪（首板）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核心催化：覆铜板、三季报高增及产能扩张，第三季度净利润高增。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主要风险：虽然完成资金、涨停池、龙虎榜三线共振，但PB为7.83倍，且仍处首板阶段，不能将共振直接等同于次日买入确认。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科森科技（首板）</w:t>
      </w:r>
    </w:p>
    <w:p>
      <w:pPr>
        <w:pStyle w:val="Compact"/>
        <w:numPr>
          <w:ilvl w:val="1"/>
          <w:numId w:val="1020"/>
        </w:numPr>
      </w:pPr>
      <w:r>
        <w:rPr>
          <w:rFonts w:hint="eastAsia"/>
        </w:rPr>
        <w:t xml:space="preserve">核心催化：机器人结构件、消费电子结构件及三季报扭亏。</w:t>
      </w:r>
    </w:p>
    <w:p>
      <w:pPr>
        <w:pStyle w:val="Compact"/>
        <w:numPr>
          <w:ilvl w:val="1"/>
          <w:numId w:val="1020"/>
        </w:numPr>
      </w:pPr>
      <w:r>
        <w:rPr>
          <w:rFonts w:hint="eastAsia"/>
        </w:rPr>
        <w:t xml:space="preserve">主要风险：属于首板扩散样本，本轮重点股技术及估值样本未覆盖，不做右侧趋势确认，只观察晋级质量。</w:t>
      </w:r>
    </w:p>
    <w:bookmarkEnd w:id="29"/>
    <w:bookmarkEnd w:id="30"/>
    <w:bookmarkStart w:id="40" w:name="八-龙虎榜与买卖席位"/>
    <w:p>
      <w:pPr>
        <w:pStyle w:val="Heading2"/>
      </w:pPr>
      <w:r>
        <w:rPr>
          <w:rFonts w:hint="eastAsia"/>
        </w:rPr>
        <w:t xml:space="preserve">八、🐉</w:t>
      </w:r>
      <w:r>
        <w:t xml:space="preserve"> </w:t>
      </w:r>
      <w:r>
        <w:rPr>
          <w:rFonts w:hint="eastAsia"/>
        </w:rPr>
        <w:t xml:space="preserve">龙虎榜与买卖席位</w:t>
      </w:r>
    </w:p>
    <w:bookmarkStart w:id="31" w:name="当日龙虎榜概览"/>
    <w:p>
      <w:pPr>
        <w:pStyle w:val="Heading3"/>
      </w:pPr>
      <w:r>
        <w:t xml:space="preserve">🐉 </w:t>
      </w:r>
      <w:r>
        <w:rPr>
          <w:rFonts w:hint="eastAsia"/>
        </w:rPr>
        <w:t xml:space="preserve">当日龙虎榜概览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上榜标的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67只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含三日榜及可转债口径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席位明细已抓取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东财买入／卖出前五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上榜标的合计净买入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+45619.60万元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仅对应龙虎榜汇总样本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净买入第一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万向钱潮</w:t>
            </w:r>
            <w:r>
              <w:t xml:space="preserve"> </w:t>
            </w:r>
            <w:r>
              <w:rPr>
                <w:rFonts w:hint="eastAsia"/>
              </w:rPr>
              <w:t xml:space="preserve">+28192.3932万元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机器人、汽车零部件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净卖出第一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西安奕材</w:t>
            </w:r>
            <w:r>
              <w:t xml:space="preserve"> </w:t>
            </w:r>
            <w:r>
              <w:rPr>
                <w:rFonts w:hint="eastAsia"/>
              </w:rPr>
              <w:t xml:space="preserve">-70718.6339万元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与资金流出榜共振</w:t>
            </w:r>
          </w:p>
        </w:tc>
      </w:tr>
    </w:tbl>
    <w:bookmarkEnd w:id="31"/>
    <w:bookmarkStart w:id="32" w:name="万向钱潮买入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万向钱潮：买入前五席位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40"/>
        <w:gridCol w:w="1080"/>
        <w:gridCol w:w="1080"/>
        <w:gridCol w:w="1440"/>
        <w:gridCol w:w="1440"/>
        <w:gridCol w:w="14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国泰海通证券股份有限公司武汉紫阳东路证券营业部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11972.11万元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72.62万元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+11899.49万元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10928.19万元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7835.59万元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+3092.60万元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国泰海通证券股份有限公司湛江万豪世家证券营业部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7815.13万元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3.87万元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+7811.26万元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国泰海通证券股份有限公司上海自贸试验区第二分公司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量化／互联网席位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4906.95万元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+4906.95万元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国泰海通证券股份有限公司上海静安区新闸路证券营业部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3995.91万元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+3995.91万元</w:t>
            </w:r>
          </w:p>
        </w:tc>
      </w:tr>
    </w:tbl>
    <w:bookmarkEnd w:id="32"/>
    <w:bookmarkStart w:id="33" w:name="万向钱潮卖出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万向钱潮：卖出前五席位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40"/>
        <w:gridCol w:w="1080"/>
        <w:gridCol w:w="1080"/>
        <w:gridCol w:w="1440"/>
        <w:gridCol w:w="1440"/>
        <w:gridCol w:w="14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10928.19万元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7835.59万元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+3092.60万元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1765.48万元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2514.34万元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-748.86万元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2087.10万元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1799.77万元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+287.33万元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中信证券股份有限公司浙江分公司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量化／互联网席位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276.69万元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1743.67万元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-1466.99万元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1585.29万元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-1585.29万元</w:t>
            </w:r>
          </w:p>
        </w:tc>
      </w:tr>
    </w:tbl>
    <w:bookmarkEnd w:id="33"/>
    <w:bookmarkStart w:id="34" w:name="光华科技买入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光华科技：买入前五席位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40"/>
        <w:gridCol w:w="1080"/>
        <w:gridCol w:w="1080"/>
        <w:gridCol w:w="1440"/>
        <w:gridCol w:w="1440"/>
        <w:gridCol w:w="14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8603.99万元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6350.72万元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+2253.26万元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国泰海通证券股份有限公司成都天府大道证券营业部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8370.26万元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48.69万元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+8321.56万元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国泰海通证券股份有限公司南京太平南路证券营业部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3319.74万元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6.75万元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+3312.99万元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3124.03万元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850.42万元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+2273.62万元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华鑫证券有限责任公司上海徐汇区瑞平路证券营业部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2263.46万元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48.09万元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+2215.37万元</w:t>
            </w:r>
          </w:p>
        </w:tc>
      </w:tr>
    </w:tbl>
    <w:bookmarkEnd w:id="34"/>
    <w:bookmarkStart w:id="35" w:name="光华科技卖出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光华科技：卖出前五席位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40"/>
        <w:gridCol w:w="1080"/>
        <w:gridCol w:w="1080"/>
        <w:gridCol w:w="1440"/>
        <w:gridCol w:w="1440"/>
        <w:gridCol w:w="14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8603.99万元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6350.72万元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+2253.26万元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国泰海通证券股份有限公司汕头中山中路证券营业部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2.27万元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1647.94万元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-1645.67万元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国泰海通证券股份有限公司上海普陀区大渡河路证券营业部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5.92万元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1207.04万元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-1201.12万元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1516.97万元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1145.30万元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+371.66万元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959.97万元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853.69万元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+106.28万元</w:t>
            </w:r>
          </w:p>
        </w:tc>
      </w:tr>
    </w:tbl>
    <w:bookmarkEnd w:id="35"/>
    <w:bookmarkStart w:id="36" w:name="西安奕材买入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西安奕材：买入前五席位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40"/>
        <w:gridCol w:w="1080"/>
        <w:gridCol w:w="1080"/>
        <w:gridCol w:w="1440"/>
        <w:gridCol w:w="1440"/>
        <w:gridCol w:w="14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瑞银证券有限责任公司上海花园石桥路证券营业部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8838.84万元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+8838.84万元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中国国际金融股份有限公司上海分公司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量化／互联网席位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8798.29万元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+8798.29万元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东方证券股份有限公司洛阳开元大道证券营业部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7448.02万元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+7448.02万元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摩根大通证券(中国)有限公司上海银城中路证券营业部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6799.64万元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+6799.64万元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高盛(中国)证券有限责任公司上海浦东新区世纪大道证券营业部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6246.45万元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+6246.45万元</w:t>
            </w:r>
          </w:p>
        </w:tc>
      </w:tr>
    </w:tbl>
    <w:bookmarkEnd w:id="36"/>
    <w:bookmarkStart w:id="37" w:name="西安奕材卖出前五席位"/>
    <w:p>
      <w:pPr>
        <w:pStyle w:val="Heading3"/>
      </w:pPr>
      <w:r>
        <w:t xml:space="preserve">🐉 </w:t>
      </w:r>
      <w:r>
        <w:rPr>
          <w:rFonts w:hint="eastAsia"/>
        </w:rPr>
        <w:t xml:space="preserve">西安奕材：卖出前五席位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40"/>
        <w:gridCol w:w="1080"/>
        <w:gridCol w:w="1080"/>
        <w:gridCol w:w="1440"/>
        <w:gridCol w:w="1440"/>
        <w:gridCol w:w="14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中信建投证券股份有限公司北京京西分公司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量化／互联网席位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29273.56万元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-29273.56万元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中国国际金融股份有限公司北京建国门外大街证券营业部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27605.81万元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-27605.81万元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中国中金财富证券有限公司北京建国门外大街证券营业部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20572.46万元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-20572.46万元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西南证券股份有限公司重庆金渝大道证券营业部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16203.82万元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-16203.82万元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中信证券股份有限公司上海分公司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量化／互联网席位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15194.22万元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-15194.22万元</w:t>
            </w:r>
          </w:p>
        </w:tc>
      </w:tr>
    </w:tbl>
    <w:bookmarkEnd w:id="37"/>
    <w:bookmarkStart w:id="38" w:name="席位类型汇总"/>
    <w:p>
      <w:pPr>
        <w:pStyle w:val="Heading3"/>
      </w:pPr>
      <w:r>
        <w:t xml:space="preserve">🧭 </w:t>
      </w:r>
      <w:r>
        <w:rPr>
          <w:rFonts w:hint="eastAsia"/>
        </w:rPr>
        <w:t xml:space="preserve">席位类型汇总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213022.89万元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167557.40万元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+45465.41万元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其他／未分类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21543.68万元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0.00万元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+21543.68万元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量化／互联网席位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87466.49万元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65952.91万元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+21513.57万元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163499.26万元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145831.69万元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+17667.56万元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171755.18万元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177748.94万元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-5993.79万元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拉萨类营业部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12536.36万元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11016.19万元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+1520.18万元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</w:tr>
    </w:tbl>
    <w:p>
      <w:pPr>
        <w:pStyle w:val="Compact"/>
        <w:numPr>
          <w:ilvl w:val="0"/>
          <w:numId w:val="1021"/>
        </w:numPr>
      </w:pPr>
      <w:r>
        <w:t xml:space="preserve">⚠️ </w:t>
      </w:r>
      <w:r>
        <w:rPr>
          <w:rFonts w:hint="eastAsia"/>
        </w:rPr>
        <w:t xml:space="preserve">席位类型由营业部名称关键词粗分类，不对应具体自然人游资身份。</w:t>
      </w:r>
    </w:p>
    <w:p>
      <w:pPr>
        <w:pStyle w:val="Compact"/>
        <w:numPr>
          <w:ilvl w:val="0"/>
          <w:numId w:val="1021"/>
        </w:numPr>
      </w:pPr>
      <w:r>
        <w:t xml:space="preserve">⚠️ </w:t>
      </w:r>
      <w:r>
        <w:rPr>
          <w:rFonts w:hint="eastAsia"/>
        </w:rPr>
        <w:t xml:space="preserve">沪深股通席位净额只覆盖本次龙虎榜样本，Collector未取得全市场独立外资日流向总额，不能将两者等同。</w:t>
      </w:r>
    </w:p>
    <w:bookmarkEnd w:id="38"/>
    <w:bookmarkStart w:id="39" w:name="龙虎榜交叉判断"/>
    <w:p>
      <w:pPr>
        <w:pStyle w:val="Heading3"/>
      </w:pPr>
      <w:r>
        <w:t xml:space="preserve">🔗 </w:t>
      </w:r>
      <w:r>
        <w:rPr>
          <w:rFonts w:hint="eastAsia"/>
        </w:rPr>
        <w:t xml:space="preserve">龙虎榜交叉判断</w:t>
      </w:r>
    </w:p>
    <w:p>
      <w:pPr>
        <w:pStyle w:val="Compact"/>
        <w:numPr>
          <w:ilvl w:val="0"/>
          <w:numId w:val="1022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金安国纪</w:t>
      </w:r>
      <w:r>
        <w:rPr>
          <w:rFonts w:hint="eastAsia"/>
        </w:rPr>
        <w:t xml:space="preserve">：涨停首板、龙虎榜净买入13137.4183万元、主力资金净流入6.49亿元，是当日唯一明确完成三线共振的核心股。</w:t>
      </w:r>
    </w:p>
    <w:p>
      <w:pPr>
        <w:pStyle w:val="Compact"/>
        <w:numPr>
          <w:ilvl w:val="0"/>
          <w:numId w:val="1022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万向钱潮</w:t>
      </w:r>
      <w:r>
        <w:rPr>
          <w:rFonts w:hint="eastAsia"/>
        </w:rPr>
        <w:t xml:space="preserve">：龙虎榜净买入28192.3932万元，汽车零部件净流入25.24亿元、自动化设备净流入14.28亿元，席位与机器人主线同向。</w:t>
      </w:r>
    </w:p>
    <w:p>
      <w:pPr>
        <w:pStyle w:val="Compact"/>
        <w:numPr>
          <w:ilvl w:val="0"/>
          <w:numId w:val="1022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光华科技</w:t>
      </w:r>
      <w:r>
        <w:rPr>
          <w:rFonts w:hint="eastAsia"/>
        </w:rPr>
        <w:t xml:space="preserve">：龙虎榜净买入16007.9635万元，PCB涨停池与元件净流入50.31亿元形成交叉验证，但个股未进入资金流入TOP10。</w:t>
      </w:r>
    </w:p>
    <w:p>
      <w:pPr>
        <w:pStyle w:val="Compact"/>
        <w:numPr>
          <w:ilvl w:val="0"/>
          <w:numId w:val="1022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西安奕材</w:t>
      </w:r>
      <w:r>
        <w:rPr>
          <w:rFonts w:hint="eastAsia"/>
        </w:rPr>
        <w:t xml:space="preserve">：主力净流出4.81亿元、龙虎榜净卖出70718.6339万元，双重流出信号一致。</w:t>
      </w:r>
    </w:p>
    <w:p>
      <w:pPr>
        <w:pStyle w:val="Compact"/>
        <w:numPr>
          <w:ilvl w:val="0"/>
          <w:numId w:val="1022"/>
        </w:numPr>
      </w:pPr>
      <w:r>
        <w:t xml:space="preserve">⚠️ </w:t>
      </w:r>
      <w:r>
        <w:rPr>
          <w:rFonts w:hint="eastAsia"/>
        </w:rPr>
        <w:t xml:space="preserve">机构席位合计净卖出5993.79万元，而沪深股通、量化及活跃营业部净买入，说明当日龙虎榜增量偏交易型，不能简单视为机构全面回流。</w:t>
      </w:r>
    </w:p>
    <w:bookmarkEnd w:id="39"/>
    <w:bookmarkEnd w:id="40"/>
    <w:bookmarkStart w:id="43" w:name="九-明日展望"/>
    <w:p>
      <w:pPr>
        <w:pStyle w:val="Heading2"/>
      </w:pPr>
      <w:r>
        <w:rPr>
          <w:rFonts w:hint="eastAsia"/>
        </w:rPr>
        <w:t xml:space="preserve">九、🔭</w:t>
      </w:r>
      <w:r>
        <w:t xml:space="preserve"> </w:t>
      </w:r>
      <w:r>
        <w:rPr>
          <w:rFonts w:hint="eastAsia"/>
        </w:rPr>
        <w:t xml:space="preserve">明日展望</w:t>
      </w:r>
    </w:p>
    <w:bookmarkStart w:id="41" w:name="三种盘面路径"/>
    <w:p>
      <w:pPr>
        <w:pStyle w:val="Heading3"/>
      </w:pPr>
      <w:r>
        <w:t xml:space="preserve">🔭 </w:t>
      </w:r>
      <w:r>
        <w:rPr>
          <w:rFonts w:hint="eastAsia"/>
        </w:rPr>
        <w:t xml:space="preserve">三种盘面路径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触发条件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强修复延续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炸板率降至30%以下、封板率升至70%以上、涨跌比保持1以上，通信与半导体继续净流入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仓位上限可提高至50%，只做主线分歧转强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强修复后分化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炸板率处于30%—35%，成交额维持但高位股分歧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保持40%均衡仓位，侧重成交额中军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修复失败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炸板率继续高于35%、涨跌比跌破1、高位大面扩散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降至25%防守仓位，回避连板接力</w:t>
            </w:r>
          </w:p>
        </w:tc>
      </w:tr>
    </w:tbl>
    <w:bookmarkEnd w:id="41"/>
    <w:bookmarkStart w:id="42" w:name="重点股右侧技术校验"/>
    <w:p>
      <w:pPr>
        <w:pStyle w:val="Heading3"/>
      </w:pPr>
      <w:r>
        <w:t xml:space="preserve">📐 </w:t>
      </w:r>
      <w:r>
        <w:rPr>
          <w:rFonts w:hint="eastAsia"/>
        </w:rPr>
        <w:t xml:space="preserve">重点股右侧技术校验</w:t>
      </w:r>
    </w:p>
    <w:p>
      <w:pPr>
        <w:pStyle w:val="FirstParagraph"/>
      </w:pPr>
      <w:r>
        <w:rPr>
          <w:rFonts w:hint="eastAsia"/>
        </w:rPr>
        <w:t xml:space="preserve">TickFlow日K评级截至10月27日完成交易日，不是10月28日实时分时评级；10月28日收盘表现仅作行情对照，不直接改写原评级。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评级与技术依据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估值／质量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杰克科技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A；MA20为36.2300、MA60为38.3353、60日高点46.31、量比3.2257、ATR证伪参考35.102</w:t>
            </w:r>
          </w:p>
        </w:tc>
        <w:tc>
          <w:tcPr/>
          <w:p>
            <w:pPr>
              <w:pStyle w:val="Compact"/>
            </w:pPr>
            <w:r>
              <w:t xml:space="preserve">PE </w:t>
            </w:r>
            <w:r>
              <w:rPr>
                <w:rFonts w:hint="eastAsia"/>
              </w:rPr>
              <w:t xml:space="preserve">26.73倍、PB</w:t>
            </w:r>
            <w:r>
              <w:t xml:space="preserve"> </w:t>
            </w:r>
            <w:r>
              <w:rPr>
                <w:rFonts w:hint="eastAsia"/>
              </w:rPr>
              <w:t xml:space="preserve">4.42倍、2025年ROE</w:t>
            </w:r>
            <w:r>
              <w:t xml:space="preserve"> 17.86%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不追涨；等待站稳前高或缩量回踩后再放量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A；MA20为11.5135、MA60为9.8025、60日高点16.01、量比1.0458、ATR证伪参考11.015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PE为负、PB</w:t>
            </w:r>
            <w:r>
              <w:t xml:space="preserve"> </w:t>
            </w:r>
            <w:r>
              <w:rPr>
                <w:rFonts w:hint="eastAsia"/>
              </w:rPr>
              <w:t xml:space="preserve">10.41倍、2026三季报ROE为-3.35%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高位情绪锚，只观察分歧承接，禁止追涨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光华科技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D；MA20为21.9765、MA60为23.5740、60日高点28.60、量比2.3753</w:t>
            </w:r>
          </w:p>
        </w:tc>
        <w:tc>
          <w:tcPr/>
          <w:p>
            <w:pPr>
              <w:pStyle w:val="Compact"/>
            </w:pPr>
            <w:r>
              <w:t xml:space="preserve">PE </w:t>
            </w:r>
            <w:r>
              <w:rPr>
                <w:rFonts w:hint="eastAsia"/>
              </w:rPr>
              <w:t xml:space="preserve">66.76倍、PB</w:t>
            </w:r>
            <w:r>
              <w:t xml:space="preserve"> </w:t>
            </w:r>
            <w:r>
              <w:rPr>
                <w:rFonts w:hint="eastAsia"/>
              </w:rPr>
              <w:t xml:space="preserve">4.67倍；2026三季报营收同比+74.89%、净利同比+43.05%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当前只观察，重新站回MA20、MA60后复评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世运电路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D；MA20为41.5645、MA60为39.1882、60日高点46.44、量比0.6234</w:t>
            </w:r>
          </w:p>
        </w:tc>
        <w:tc>
          <w:tcPr/>
          <w:p>
            <w:pPr>
              <w:pStyle w:val="Compact"/>
            </w:pPr>
            <w:r>
              <w:t xml:space="preserve">PE </w:t>
            </w:r>
            <w:r>
              <w:rPr>
                <w:rFonts w:hint="eastAsia"/>
              </w:rPr>
              <w:t xml:space="preserve">71.97倍、PB</w:t>
            </w:r>
            <w:r>
              <w:t xml:space="preserve"> </w:t>
            </w:r>
            <w:r>
              <w:rPr>
                <w:rFonts w:hint="eastAsia"/>
              </w:rPr>
              <w:t xml:space="preserve">4.37倍；2026三季报净利同比-50.63%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回避追板，等待趋势重新确认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A、B评级也禁止追涨；C级只观察；D级回避。重点股样本中A档2只、B档0只、C档0只、D档14只，样本仅覆盖16只重点股，不能表述为全A股趋势宽度。</w:t>
      </w:r>
    </w:p>
    <w:bookmarkEnd w:id="42"/>
    <w:bookmarkEnd w:id="43"/>
    <w:bookmarkStart w:id="45" w:name="十-市场风格仪表盘"/>
    <w:p>
      <w:pPr>
        <w:pStyle w:val="Heading2"/>
      </w:pPr>
      <w:r>
        <w:rPr>
          <w:rFonts w:hint="eastAsia"/>
        </w:rPr>
        <w:t xml:space="preserve">十、🎛️</w:t>
      </w:r>
      <w:r>
        <w:t xml:space="preserve">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当日风格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量化依据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</w:t>
            </w:r>
            <w:r>
              <w:t xml:space="preserve"> vs </w:t>
            </w:r>
            <w:r>
              <w:rPr>
                <w:rFonts w:hint="eastAsia"/>
              </w:rPr>
              <w:t xml:space="preserve">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偏成长／小盘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创业板指+3.3990%，沪深300+0.8475%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</w:t>
            </w:r>
            <w:r>
              <w:t xml:space="preserve"> vs </w:t>
            </w:r>
            <w:r>
              <w:rPr>
                <w:rFonts w:hint="eastAsia"/>
              </w:rPr>
              <w:t xml:space="preserve">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偏成长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通信、电子、机器人领涨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</w:t>
            </w:r>
            <w:r>
              <w:t xml:space="preserve"> vs </w:t>
            </w:r>
            <w:r>
              <w:rPr>
                <w:rFonts w:hint="eastAsia"/>
              </w:rPr>
              <w:t xml:space="preserve">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高位退潮／高切低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炸板率49.60%，首板62家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</w:t>
            </w:r>
            <w:r>
              <w:t xml:space="preserve"> vs </w:t>
            </w: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机构／成交额核心主导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通信设备、半导体、元件合计流入197.75亿元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</w:t>
            </w:r>
            <w:r>
              <w:t xml:space="preserve"> vs </w:t>
            </w:r>
            <w:r>
              <w:rPr>
                <w:rFonts w:hint="eastAsia"/>
              </w:rPr>
              <w:t xml:space="preserve">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科技ETF上涨，证券与红利ETF下跌</w:t>
            </w:r>
          </w:p>
        </w:tc>
      </w:tr>
    </w:tbl>
    <w:bookmarkStart w:id="44" w:name="风格etf验证"/>
    <w:p>
      <w:pPr>
        <w:pStyle w:val="Heading3"/>
      </w:pPr>
      <w:r>
        <w:t xml:space="preserve">📊 </w:t>
      </w:r>
      <w:r>
        <w:rPr>
          <w:rFonts w:hint="eastAsia"/>
        </w:rPr>
        <w:t xml:space="preserve">风格ETF验证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0.797元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+4.1830%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12.2946亿元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芯片ETF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0.868元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+4.0767%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6.4008亿元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2.649元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+3.3554%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116.0732亿元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0.992元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-0.8000%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11.8282亿元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3.383元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-0.4121%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8.1688亿元</w:t>
            </w:r>
          </w:p>
        </w:tc>
      </w:tr>
    </w:tbl>
    <w:bookmarkEnd w:id="44"/>
    <w:bookmarkEnd w:id="45"/>
    <w:bookmarkStart w:id="46" w:name="十一-成交额核心股top20"/>
    <w:p>
      <w:pPr>
        <w:pStyle w:val="Heading2"/>
      </w:pPr>
      <w:r>
        <w:rPr>
          <w:rFonts w:hint="eastAsia"/>
        </w:rPr>
        <w:t xml:space="preserve">十一、💹</w:t>
      </w:r>
      <w:r>
        <w:t xml:space="preserve"> </w:t>
      </w:r>
      <w:r>
        <w:rPr>
          <w:rFonts w:hint="eastAsia"/>
        </w:rPr>
        <w:t xml:space="preserve">成交额核心股TOP20</w:t>
      </w:r>
    </w:p>
    <w:p>
      <w:pPr>
        <w:pStyle w:val="FirstParagraph"/>
      </w:pPr>
      <w:r>
        <w:rPr>
          <w:rFonts w:hint="eastAsia"/>
        </w:rPr>
        <w:t xml:space="preserve">上游接口本次仅返回前10条，以下完整列示，不以占位符凑TOP20，不补写排名11—20。</w:t>
      </w:r>
    </w:p>
    <w:p>
      <w:pPr>
        <w:pStyle w:val="BodyText"/>
      </w:pPr>
      <w:r>
        <w:rPr>
          <w:rFonts w:hint="eastAsia"/>
        </w:rPr>
        <w:t xml:space="preserve">上游接口本次仅返回前10条，以下完整列示，不以占位符补写第11—20名。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TickFlow评级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636.30元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+10.28%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235.73亿元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44.36元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+3.16%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161.86亿元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256.79元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+8.08%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150.90亿元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289.88元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+7.77%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122.78亿元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229.14元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-1.66%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102.43亿元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TickFlow评级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958.00元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+4.93%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89.98亿元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201.43元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+6.79%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73.68亿元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君正股份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111.98元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+18.37%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72.75亿元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恒瑞医药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48.36元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+6.17%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72.38亿元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48.47元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+4.17%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63.36亿元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D（截至10月27日）</w:t>
            </w:r>
          </w:p>
        </w:tc>
      </w:tr>
    </w:tbl>
    <w:p>
      <w:pPr>
        <w:pStyle w:val="Compact"/>
        <w:numPr>
          <w:ilvl w:val="0"/>
          <w:numId w:val="1023"/>
        </w:numPr>
      </w:pPr>
      <w:r>
        <w:t xml:space="preserve">💰 </w:t>
      </w:r>
      <w:r>
        <w:rPr>
          <w:rFonts w:hint="eastAsia"/>
        </w:rPr>
        <w:t xml:space="preserve">中际旭创、兆易创新、新易盛、天孚通信、君正股份、恒瑞医药同时进入资金流入TOP10，大成交额与主力流入方向一致。</w:t>
      </w:r>
    </w:p>
    <w:p>
      <w:pPr>
        <w:pStyle w:val="Compact"/>
        <w:numPr>
          <w:ilvl w:val="0"/>
          <w:numId w:val="1023"/>
        </w:numPr>
      </w:pPr>
      <w:r>
        <w:t xml:space="preserve">⚠️ </w:t>
      </w:r>
      <w:r>
        <w:rPr>
          <w:rFonts w:hint="eastAsia"/>
        </w:rPr>
        <w:t xml:space="preserve">宁德时代成交102.43亿元但主力净流出12.26亿元、收跌1.66%，属于放量弱势核心。</w:t>
      </w:r>
    </w:p>
    <w:p>
      <w:pPr>
        <w:pStyle w:val="Compact"/>
        <w:numPr>
          <w:ilvl w:val="0"/>
          <w:numId w:val="1023"/>
        </w:numPr>
      </w:pPr>
      <w:r>
        <w:t xml:space="preserve">⚠️ </w:t>
      </w:r>
      <w:r>
        <w:rPr>
          <w:rFonts w:hint="eastAsia"/>
        </w:rPr>
        <w:t xml:space="preserve">上述10只股票的D级均基于10月27日已完成日K。10月28日大涨后必须等待日K刷新，不得把单日反弹直接视为趋势反转。</w:t>
      </w:r>
    </w:p>
    <w:bookmarkEnd w:id="46"/>
    <w:bookmarkStart w:id="47" w:name="十二-主线生命周期"/>
    <w:p>
      <w:pPr>
        <w:pStyle w:val="Heading2"/>
      </w:pPr>
      <w:r>
        <w:rPr>
          <w:rFonts w:hint="eastAsia"/>
        </w:rPr>
        <w:t xml:space="preserve">十二、🧬</w:t>
      </w:r>
      <w:r>
        <w:t xml:space="preserve"> </w:t>
      </w:r>
      <w:r>
        <w:rPr>
          <w:rFonts w:hint="eastAsia"/>
        </w:rPr>
        <w:t xml:space="preserve">主线生命周期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衍生分数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生命周期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龙虎榜活跃样本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退潮／分歧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观察或回避追高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加速／主升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只在分歧转强时参与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PCB板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加速／主升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只在分歧转强时参与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加速／主升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等待分歧承接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大消费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加速／主升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板块资金偏弱，不追后排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衍生分数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生命周期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启动／扩散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观察龙头及中军确认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成交额核心股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退潮／分歧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等待右侧重建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启动／扩散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观察首板晋级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国产芯片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启动／扩散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观察连续资金流入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机器人／业绩增长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启动／扩散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优先业绩可验证品种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衍生分数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生命周期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加速／主升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只做明确催化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短剧／互动影游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退潮／分歧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观察或回避追高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主线判断：机器人拥有最完整的涨停梯队，通信与半导体拥有最强资金和大成交额中军，PCB则同时具备涨停、资金和龙虎榜共振。三类方向的交易模式不同，不能用连板逻辑追逐中军，也不能用中军逻辑放松高位板风控。</w:t>
      </w:r>
    </w:p>
    <w:bookmarkEnd w:id="47"/>
    <w:bookmarkStart w:id="48" w:name="十三-三表共振核心股"/>
    <w:p>
      <w:pPr>
        <w:pStyle w:val="Heading2"/>
      </w:pPr>
      <w:r>
        <w:rPr>
          <w:rFonts w:hint="eastAsia"/>
        </w:rPr>
        <w:t xml:space="preserve">十三、🎯</w:t>
      </w:r>
      <w:r>
        <w:t xml:space="preserve"> </w:t>
      </w:r>
      <w:r>
        <w:rPr>
          <w:rFonts w:hint="eastAsia"/>
        </w:rPr>
        <w:t xml:space="preserve">三表共振核心股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980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共振分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交叉证据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质量与技术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金安国纪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涨停首板；龙虎榜净买入13137.4183万元；主力净流入6.49亿元</w:t>
            </w:r>
          </w:p>
        </w:tc>
        <w:tc>
          <w:tcPr/>
          <w:p>
            <w:pPr>
              <w:pStyle w:val="Compact"/>
            </w:pPr>
            <w:r>
              <w:t xml:space="preserve">PE </w:t>
            </w:r>
            <w:r>
              <w:rPr>
                <w:rFonts w:hint="eastAsia"/>
              </w:rPr>
              <w:t xml:space="preserve">20.79倍、PB</w:t>
            </w:r>
            <w:r>
              <w:t xml:space="preserve"> </w:t>
            </w:r>
            <w:r>
              <w:rPr>
                <w:rFonts w:hint="eastAsia"/>
              </w:rPr>
              <w:t xml:space="preserve">7.83倍；本轮TickFlow样本未覆盖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真三线共振，但不追一致高开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光华科技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涨停首板；龙虎榜净买入16007.9635万元</w:t>
            </w:r>
          </w:p>
        </w:tc>
        <w:tc>
          <w:tcPr/>
          <w:p>
            <w:pPr>
              <w:pStyle w:val="Compact"/>
            </w:pPr>
            <w:r>
              <w:t xml:space="preserve">PE </w:t>
            </w:r>
            <w:r>
              <w:rPr>
                <w:rFonts w:hint="eastAsia"/>
              </w:rPr>
              <w:t xml:space="preserve">66.76倍、PB</w:t>
            </w:r>
            <w:r>
              <w:t xml:space="preserve"> </w:t>
            </w:r>
            <w:r>
              <w:rPr>
                <w:rFonts w:hint="eastAsia"/>
              </w:rPr>
              <w:t xml:space="preserve">4.67倍；D级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等重回MA20、MA60再评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中重科技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涨停首板；龙虎榜净买入2246.3981万元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本轮技术与估值样本未覆盖，不作趋势确认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仅观察首板晋级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百纳千成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20CM涨停；龙虎榜净买入1534.0163万元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本轮技术与估值样本未覆盖，不作趋势确认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短剧处于分歧期，不追高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澳洋健康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涨停首板；龙虎榜净买入11765.0684万元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本轮技术与估值样本未覆盖，不作趋势确认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等医药资金连续性确认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只有金安国纪同时满足涨停池、龙虎榜和资金流入榜三项证据；其余为两项共振候选，不能统一包装为三表共振。</w:t>
      </w:r>
    </w:p>
    <w:bookmarkEnd w:id="48"/>
    <w:bookmarkStart w:id="52" w:name="十四-跌停风险地图"/>
    <w:p>
      <w:pPr>
        <w:pStyle w:val="Heading2"/>
      </w:pPr>
      <w:r>
        <w:rPr>
          <w:rFonts w:hint="eastAsia"/>
        </w:rPr>
        <w:t xml:space="preserve">十四、🗺️</w:t>
      </w:r>
      <w:r>
        <w:t xml:space="preserve"> </w:t>
      </w:r>
      <w:r>
        <w:rPr>
          <w:rFonts w:hint="eastAsia"/>
        </w:rPr>
        <w:t xml:space="preserve">跌停风险地图</w:t>
      </w:r>
    </w:p>
    <w:bookmarkStart w:id="49" w:name="风险分类"/>
    <w:p>
      <w:pPr>
        <w:pStyle w:val="Heading3"/>
      </w:pPr>
      <w:r>
        <w:t xml:space="preserve">🗺️ </w:t>
      </w:r>
      <w:r>
        <w:rPr>
          <w:rFonts w:hint="eastAsia"/>
        </w:rPr>
        <w:t xml:space="preserve">风险分类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2436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风险类别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涉及标的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高位退潮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华瓷股份、正裕工业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连续跌停风险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ST／退市风险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*ST建艺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已连续3个跌停日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业绩／减值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本轮公告分类范围内无对应记录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不代表全市场不存在此类风险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监管事件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本轮公告分类范围内无对应记录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不代表盘后没有新增事项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其他跌停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华鑫股份、多伦科技、瑞达期货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券商、软件等分散负反馈</w:t>
            </w:r>
          </w:p>
        </w:tc>
      </w:tr>
    </w:tbl>
    <w:bookmarkEnd w:id="49"/>
    <w:bookmarkStart w:id="50" w:name="跌停股明细第15只"/>
    <w:p>
      <w:pPr>
        <w:pStyle w:val="Heading3"/>
      </w:pPr>
      <w:r>
        <w:t xml:space="preserve">📉 </w:t>
      </w:r>
      <w:r>
        <w:rPr>
          <w:rFonts w:hint="eastAsia"/>
        </w:rPr>
        <w:t xml:space="preserve">跌停股明细：第1—5只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跌停天数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风险标签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华鑫股份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13.41元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-10.0000%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券商方向负反馈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*ST建艺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9.77元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-9.9539%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ST风险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多伦科技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8.87元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-9.9492%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昨日高位软件股退潮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瑞达期货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11.36元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-9.9842%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金融方向负反馈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华瓷股份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20.50元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-10.0088%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高位连续跌停</w:t>
            </w:r>
          </w:p>
        </w:tc>
      </w:tr>
    </w:tbl>
    <w:bookmarkEnd w:id="50"/>
    <w:bookmarkStart w:id="51" w:name="跌停股明细第6只"/>
    <w:p>
      <w:pPr>
        <w:pStyle w:val="Heading3"/>
      </w:pPr>
      <w:r>
        <w:t xml:space="preserve">📉 </w:t>
      </w:r>
      <w:r>
        <w:rPr>
          <w:rFonts w:hint="eastAsia"/>
        </w:rPr>
        <w:t xml:space="preserve">跌停股明细：第6只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跌停天数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风险标签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正裕工业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10.59元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-10.0255%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高位连续跌停</w:t>
            </w:r>
          </w:p>
        </w:tc>
      </w:tr>
    </w:tbl>
    <w:p>
      <w:pPr>
        <w:pStyle w:val="Compact"/>
        <w:numPr>
          <w:ilvl w:val="0"/>
          <w:numId w:val="1024"/>
        </w:numPr>
      </w:pPr>
      <w:r>
        <w:t xml:space="preserve">⚠️ </w:t>
      </w:r>
      <w:r>
        <w:rPr>
          <w:rFonts w:hint="eastAsia"/>
        </w:rPr>
        <w:t xml:space="preserve">大幅亏损样本共12项，亏钱效应处于扩散状态，风险等级为高。</w:t>
      </w:r>
    </w:p>
    <w:p>
      <w:pPr>
        <w:pStyle w:val="Compact"/>
        <w:numPr>
          <w:ilvl w:val="0"/>
          <w:numId w:val="1024"/>
        </w:numPr>
      </w:pPr>
      <w:r>
        <w:t xml:space="preserve">⚠️ </w:t>
      </w:r>
      <w:r>
        <w:rPr>
          <w:rFonts w:hint="eastAsia"/>
        </w:rPr>
        <w:t xml:space="preserve">昨日高位股中，多伦科技从4板直接跌停，桂发祥下跌7.67%，高位接力并未随指数普涨同步修复。</w:t>
      </w:r>
    </w:p>
    <w:p>
      <w:pPr>
        <w:pStyle w:val="Compact"/>
        <w:numPr>
          <w:ilvl w:val="0"/>
          <w:numId w:val="1024"/>
        </w:numPr>
      </w:pPr>
      <w:r>
        <w:t xml:space="preserve">💡 </w:t>
      </w:r>
      <w:r>
        <w:rPr>
          <w:rFonts w:hint="eastAsia"/>
        </w:rPr>
        <w:t xml:space="preserve">明日首要观察不是涨停数量，而是多伦科技、华瓷股份、正裕工业等负反馈是否停止扩散。</w:t>
      </w:r>
    </w:p>
    <w:bookmarkEnd w:id="51"/>
    <w:bookmarkEnd w:id="52"/>
    <w:bookmarkStart w:id="53" w:name="十五-策略复盘评分"/>
    <w:p>
      <w:pPr>
        <w:pStyle w:val="Heading2"/>
      </w:pPr>
      <w:r>
        <w:rPr>
          <w:rFonts w:hint="eastAsia"/>
        </w:rPr>
        <w:t xml:space="preserve">十五、📝</w:t>
      </w:r>
      <w:r>
        <w:t xml:space="preserve"> </w:t>
      </w:r>
      <w:r>
        <w:rPr>
          <w:rFonts w:hint="eastAsia"/>
        </w:rPr>
        <w:t xml:space="preserve">策略复盘评分</w:t>
      </w:r>
    </w:p>
    <w:p>
      <w:pPr>
        <w:pStyle w:val="FirstParagraph"/>
      </w:pPr>
      <w:r>
        <w:rPr>
          <w:rFonts w:hint="eastAsia"/>
        </w:rPr>
        <w:t xml:space="preserve">当日正式盘前简报与午盘总结均未取得，缺少可在交易前验证的策略基准，因此本章不生成分数、命中率或综合评级，只做收盘证据复核。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复盘维度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基准状态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当日证据复核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正式盘前基准缺失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不能使用收盘后的通信、半导体、机器人强势结果反推盘前命中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午盘纠偏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正式午盘基准缺失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不能核对午后商业航天、医药、短剧扩散是否属于既定调整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风险控制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仅有收盘证据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炸板率49.60%，客观上要求限制高位接力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主线识别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仅有收盘证据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通信、半导体、机器人、PCB形成资金与涨停交叉验证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不评分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缺少正式基准，无法形成可审计的策略评价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后续复盘应将“盘前触发条件—午盘变化—收盘结果”逐项对账；本次不以收盘后结论替代事前策略。</w:t>
      </w:r>
    </w:p>
    <w:bookmarkEnd w:id="53"/>
    <w:bookmarkStart w:id="54" w:name="十六-明日投资方向排序"/>
    <w:p>
      <w:pPr>
        <w:pStyle w:val="Heading2"/>
      </w:pPr>
      <w:r>
        <w:rPr>
          <w:rFonts w:hint="eastAsia"/>
        </w:rPr>
        <w:t xml:space="preserve">十六、🏆</w:t>
      </w:r>
      <w:r>
        <w:t xml:space="preserve"> </w:t>
      </w:r>
      <w:r>
        <w:rPr>
          <w:rFonts w:hint="eastAsia"/>
        </w:rPr>
        <w:t xml:space="preserve">明日投资方向排序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明日策略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通信／CPO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通信设备净流入78.53亿元；中际旭创、新易盛、天孚通信进入资金流入榜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观察大成交额中军承接，不追开盘一致高潮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半导体／电子材料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半导体净流入68.91亿元；涨停事由聚类A-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等首板晋级和核心股右侧评级刷新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机器人／高端装备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聚类命中33次；自动化设备净流入14.28亿元；最高5板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只做分歧转强，回避高位缩量加速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PCB／元件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元件净流入50.31亿元；金安国纪完成三线共振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优先有业绩和资金验证的前排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医疗服务／创新药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医疗服务净流入8.07亿元；聚类B+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等医疗器械流出收敛和梯队扩展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妙想选股生成的乐鑫科技、恒玄科技、思特威-W、豪威集团、汇顶科技仅为只读候选池。该候选池尚未经过本轮TickFlow</w:t>
      </w:r>
      <w:r>
        <w:t xml:space="preserve"> </w:t>
      </w:r>
      <w:r>
        <w:rPr>
          <w:rFonts w:hint="eastAsia"/>
        </w:rPr>
        <w:t xml:space="preserve">A／B／C／D评级确认，不直接构成买入结论。</w:t>
      </w:r>
    </w:p>
    <w:bookmarkEnd w:id="54"/>
    <w:bookmarkStart w:id="56" w:name="十七-明日仓位模型"/>
    <w:p>
      <w:pPr>
        <w:pStyle w:val="Heading2"/>
      </w:pPr>
      <w:r>
        <w:rPr>
          <w:rFonts w:hint="eastAsia"/>
        </w:rPr>
        <w:t xml:space="preserve">十七、💡</w:t>
      </w:r>
      <w:r>
        <w:t xml:space="preserve"> </w:t>
      </w:r>
      <w:r>
        <w:rPr>
          <w:rFonts w:hint="eastAsia"/>
        </w:rPr>
        <w:t xml:space="preserve">明日仓位模型</w:t>
      </w:r>
    </w:p>
    <w:bookmarkStart w:id="55" w:name="仓位加减分"/>
    <w:p>
      <w:pPr>
        <w:pStyle w:val="Heading3"/>
      </w:pPr>
      <w:r>
        <w:t xml:space="preserve">💡 </w:t>
      </w:r>
      <w:r>
        <w:rPr>
          <w:rFonts w:hint="eastAsia"/>
        </w:rPr>
        <w:t xml:space="preserve">仓位加减分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当日数值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仓位调整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3.354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+10个百分点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市场宽度强修复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49.60%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-15个百分点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高位分歧显著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0个百分点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恐慌抛压收敛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+11.49%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+5个百分点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成交额增加1692.12亿元</w:t>
            </w:r>
          </w:p>
        </w:tc>
      </w:tr>
    </w:tbl>
    <w:p>
      <w:pPr>
        <w:pStyle w:val="Compact"/>
        <w:numPr>
          <w:ilvl w:val="0"/>
          <w:numId w:val="1025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均衡型基准仓位：40%。</w:t>
      </w:r>
    </w:p>
    <w:p>
      <w:pPr>
        <w:pStyle w:val="Compact"/>
        <w:numPr>
          <w:ilvl w:val="0"/>
          <w:numId w:val="1025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激进型上限：50%。</w:t>
      </w:r>
      <w:r>
        <w:t xml:space="preserve"> </w:t>
      </w:r>
      <w:r>
        <w:rPr>
          <w:rFonts w:hint="eastAsia"/>
        </w:rPr>
        <w:t xml:space="preserve">仅在炸板率降至30%以下、封板率升至70%以上、涨跌比保持1以上时启用。</w:t>
      </w:r>
    </w:p>
    <w:p>
      <w:pPr>
        <w:pStyle w:val="Compact"/>
        <w:numPr>
          <w:ilvl w:val="0"/>
          <w:numId w:val="1025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保守型仓位：25%。</w:t>
      </w:r>
      <w:r>
        <w:t xml:space="preserve"> </w:t>
      </w:r>
      <w:r>
        <w:rPr>
          <w:rFonts w:hint="eastAsia"/>
        </w:rPr>
        <w:t xml:space="preserve">若炸板率继续高于35%、涨跌比跌破1或跌停负反馈扩散，立即切换。</w:t>
      </w:r>
    </w:p>
    <w:p>
      <w:pPr>
        <w:pStyle w:val="Compact"/>
        <w:numPr>
          <w:ilvl w:val="0"/>
          <w:numId w:val="1025"/>
        </w:numPr>
      </w:pPr>
      <w:r>
        <w:t xml:space="preserve">⚠️ </w:t>
      </w:r>
      <w:r>
        <w:rPr>
          <w:rFonts w:hint="eastAsia"/>
        </w:rPr>
        <w:t xml:space="preserve">模型最高仓位为50%，不能因单日普涨忽略49.60%的炸板率。</w:t>
      </w:r>
    </w:p>
    <w:p>
      <w:pPr>
        <w:pStyle w:val="Compact"/>
        <w:numPr>
          <w:ilvl w:val="0"/>
          <w:numId w:val="1025"/>
        </w:numPr>
      </w:pPr>
      <w:r>
        <w:t xml:space="preserve">💰 </w:t>
      </w:r>
      <w:r>
        <w:rPr>
          <w:rFonts w:hint="eastAsia"/>
        </w:rPr>
        <w:t xml:space="preserve">成交额较前一交易日增长11.49%，为仓位加分项；但成交额放大主要集中于科技中军，不能平均扩散到所有题材。</w:t>
      </w:r>
    </w:p>
    <w:bookmarkEnd w:id="55"/>
    <w:bookmarkEnd w:id="56"/>
    <w:bookmarkStart w:id="59" w:name="十八-明日风险日历与回避清单"/>
    <w:p>
      <w:pPr>
        <w:pStyle w:val="Heading2"/>
      </w:pPr>
      <w:r>
        <w:rPr>
          <w:rFonts w:hint="eastAsia"/>
        </w:rPr>
        <w:t xml:space="preserve">十八、⚠️</w:t>
      </w:r>
      <w:r>
        <w:t xml:space="preserve"> </w:t>
      </w:r>
      <w:r>
        <w:rPr>
          <w:rFonts w:hint="eastAsia"/>
        </w:rPr>
        <w:t xml:space="preserve">明日风险日历与回避清单</w:t>
      </w:r>
    </w:p>
    <w:bookmarkStart w:id="57" w:name="公告风险日历"/>
    <w:p>
      <w:pPr>
        <w:pStyle w:val="Heading3"/>
      </w:pPr>
      <w:r>
        <w:t xml:space="preserve">📅 </w:t>
      </w:r>
      <w:r>
        <w:rPr>
          <w:rFonts w:hint="eastAsia"/>
        </w:rPr>
        <w:t xml:space="preserve">公告风险日历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类别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Collector识别数量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覆盖说明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本轮公告分类结果中无对应记录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本轮公告分类结果中无对应记录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业绩预警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本轮公告分类结果中无对应记录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问询／处罚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0／0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本轮公告分类结果中无对应记录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减值／停牌／增持回购／重组／其他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0／0／0／0／0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仅限本轮已采集公告分类范围</w:t>
            </w:r>
          </w:p>
        </w:tc>
      </w:tr>
    </w:tbl>
    <w:p>
      <w:pPr>
        <w:pStyle w:val="Compact"/>
        <w:numPr>
          <w:ilvl w:val="0"/>
          <w:numId w:val="1026"/>
        </w:numPr>
      </w:pPr>
      <w:r>
        <w:t xml:space="preserve">⚠️ </w:t>
      </w:r>
      <w:r>
        <w:rPr>
          <w:rFonts w:hint="eastAsia"/>
        </w:rPr>
        <w:t xml:space="preserve">Collector本轮未取得独立宏观日历、海外事件日历及10月28日收盘后新增公告的完整字段，因此上表只能反映已分类公告，不能据此判断次日无事件风险。</w:t>
      </w:r>
    </w:p>
    <w:p>
      <w:pPr>
        <w:pStyle w:val="Compact"/>
        <w:numPr>
          <w:ilvl w:val="0"/>
          <w:numId w:val="1026"/>
        </w:numPr>
      </w:pPr>
      <w:r>
        <w:t xml:space="preserve">⚠️ </w:t>
      </w:r>
      <w:r>
        <w:rPr>
          <w:rFonts w:hint="eastAsia"/>
        </w:rPr>
        <w:t xml:space="preserve">Collector也未取得全市场独立外资日流向总额；龙虎榜沪深股通席位数据仅用于上榜样本分析，不能替代外资全市场流向。</w:t>
      </w:r>
    </w:p>
    <w:bookmarkEnd w:id="57"/>
    <w:bookmarkStart w:id="58" w:name="明日回避清单"/>
    <w:p>
      <w:pPr>
        <w:pStyle w:val="Heading3"/>
      </w:pPr>
      <w:r>
        <w:t xml:space="preserve">🚫 </w:t>
      </w:r>
      <w:r>
        <w:rPr>
          <w:rFonts w:hint="eastAsia"/>
        </w:rPr>
        <w:t xml:space="preserve">明日回避清单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重点标的或方向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回避原因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高位一致加速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襄阳轴承、光洋股份、青岛食品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5板／3板高位，炸板率49.60%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连续跌停链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华瓷股份、*ST建艺、正裕工业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连续2—3个跌停日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资金流出行业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电池、证券Ⅱ、软件开发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分别净流出14.40、13.98、11.80亿元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个股资金双杀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西安奕材、宁德时代、中国船舶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主力净流出居前，部分叠加龙虎榜净卖出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趋势未修复核心股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成交额榜中际旭创、新易盛、兆易创新等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TickFlow截至10月27日仍为D级，需等待评级刷新</w:t>
            </w:r>
          </w:p>
        </w:tc>
      </w:tr>
    </w:tbl>
    <w:bookmarkEnd w:id="58"/>
    <w:bookmarkEnd w:id="59"/>
    <w:bookmarkStart w:id="62" w:name="十九-复盘动作清单"/>
    <w:p>
      <w:pPr>
        <w:pStyle w:val="Heading2"/>
      </w:pPr>
      <w:r>
        <w:rPr>
          <w:rFonts w:hint="eastAsia"/>
        </w:rPr>
        <w:t xml:space="preserve">十九、✅</w:t>
      </w:r>
      <w:r>
        <w:t xml:space="preserve"> </w:t>
      </w:r>
      <w:r>
        <w:rPr>
          <w:rFonts w:hint="eastAsia"/>
        </w:rPr>
        <w:t xml:space="preserve">复盘动作清单</w:t>
      </w:r>
    </w:p>
    <w:bookmarkStart w:id="60" w:name="第14步"/>
    <w:p>
      <w:pPr>
        <w:pStyle w:val="Heading3"/>
      </w:pPr>
      <w:r>
        <w:t xml:space="preserve">✅ </w:t>
      </w:r>
      <w:r>
        <w:rPr>
          <w:rFonts w:hint="eastAsia"/>
        </w:rPr>
        <w:t xml:space="preserve">第1—4步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顺序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复盘项目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今日结论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明日动作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整体情绪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4156涨、1239跌，广度强；炸板率49.60%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先看炸板率能否降至30%以下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连板梯队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5板1家、3板2家、2板5家，梯队断层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观察襄阳轴承反馈及2板晋级率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强势板块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机器人、通信、半导体、PCB共振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只跟踪前排与成交额中军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资金性质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科技行业获大额流入，龙虎榜偏交易型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区分机构中军与短线连板</w:t>
            </w:r>
          </w:p>
        </w:tc>
      </w:tr>
    </w:tbl>
    <w:bookmarkEnd w:id="60"/>
    <w:bookmarkStart w:id="61" w:name="第58步"/>
    <w:p>
      <w:pPr>
        <w:pStyle w:val="Heading3"/>
      </w:pPr>
      <w:r>
        <w:t xml:space="preserve">✅ </w:t>
      </w:r>
      <w:r>
        <w:rPr>
          <w:rFonts w:hint="eastAsia"/>
        </w:rPr>
        <w:t xml:space="preserve">第5—8步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顺序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复盘项目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今日结论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明日动作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龙虎榜席位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沪深股通净买入45465.41万元，机构净卖出5993.79万元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跟踪金安国纪、万向钱潮承接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亏钱效应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6家跌停、12项大亏损样本，负反馈扩散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先看多伦科技等是否止跌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重点票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杰克科技、襄阳轴承为A；其余重点样本多数D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A级不追涨，D级等重回均线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次日计划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均衡仓位40%，上限50%，防守25%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竞价后按炸板率、主线资金和梯队执行</w:t>
            </w:r>
          </w:p>
        </w:tc>
      </w:tr>
    </w:tbl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生成时间：2026-10-28</w:t>
      </w:r>
      <w:r>
        <w:t xml:space="preserve"> 17:01:02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  <w:r>
        <w:br/>
      </w:r>
      <w:r>
        <w:t xml:space="preserve">🕰️ </w:t>
      </w:r>
      <w:r>
        <w:rPr>
          <w:rFonts w:hint="eastAsia"/>
        </w:rPr>
        <w:t xml:space="preserve">2026-10-28原始快照受控恢复；恢复时间由发布器另记</w:t>
      </w:r>
    </w:p>
    <w:bookmarkEnd w:id="61"/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2026-10-28T17:22:25Z</dcterms:created>
  <dcterms:modified xsi:type="dcterms:W3CDTF">2026-10-28T17:22:25Z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