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3aa2d4aa3bb1c7273325d58bd5df667fed9533a"/>
    <w:p>
      <w:pPr>
        <w:pStyle w:val="Heading1"/>
      </w:pPr>
      <w:r>
        <w:rPr>
          <w:rFonts w:hint="eastAsia"/>
        </w:rPr>
        <w:t xml:space="preserve">2026-10-29新闻联播A股解读</w:t>
      </w:r>
    </w:p>
    <w:p>
      <w:pPr>
        <w:pStyle w:val="BlockText"/>
      </w:pPr>
      <w:r>
        <w:rPr>
          <w:rFonts w:hint="eastAsia"/>
        </w:rPr>
        <w:t xml:space="preserve">本文仅依据指定的2026-10-29《新闻联播》原文存档撰写，不引入其他新闻、行情、估值、资金流、公司经营或第三方研究数据。文中“A股影响”“板块方向”均为分析推断，不代表原文直接结论。</w:t>
      </w:r>
    </w:p>
    <w:bookmarkStart w:id="11" w:name="今日总评"/>
    <w:p>
      <w:pPr>
        <w:pStyle w:val="Heading2"/>
      </w:pPr>
      <w:r>
        <w:rPr>
          <w:rFonts w:hint="eastAsia"/>
        </w:rPr>
        <w:t xml:space="preserve">今日总评</w:t>
      </w:r>
    </w:p>
    <w:bookmarkStart w:id="9" w:name="原文事实"/>
    <w:p>
      <w:pPr>
        <w:pStyle w:val="Heading3"/>
      </w:pPr>
      <w:r>
        <w:rPr>
          <w:rFonts w:hint="eastAsia"/>
        </w:rPr>
        <w:t xml:space="preserve">原文事实</w:t>
      </w:r>
    </w:p>
    <w:p>
      <w:pPr>
        <w:pStyle w:val="FirstParagraph"/>
      </w:pPr>
      <w:r>
        <w:rPr>
          <w:rFonts w:hint="eastAsia"/>
        </w:rPr>
        <w:t xml:space="preserve">本期联播的头条是中国共产党第二十届中央委员会第五次全体会议公报，核心内容为审议通过关于持之以恒推进全面从严治党的《决定》，并部署岁末年初经济、民生和安全工作。经济与产业信息还包括科技型中小企业及普惠小微信贷、以旧换新、8000亿元新型政策性金融工具、大湾区内地9市对APEC经济体贸易、水环境、城市轨道交通和基层中医服务。国际快讯涉及古巴封锁、以色列议会选举、美伊关系、俄美乌会谈和西班牙列车事故。</w:t>
      </w:r>
    </w:p>
    <w:bookmarkEnd w:id="9"/>
    <w:bookmarkStart w:id="10" w:name="分析判断"/>
    <w:p>
      <w:pPr>
        <w:pStyle w:val="Heading3"/>
      </w:pPr>
      <w:r>
        <w:rPr>
          <w:rFonts w:hint="eastAsia"/>
        </w:rPr>
        <w:t xml:space="preserve">分析判断</w:t>
      </w:r>
    </w:p>
    <w:p>
      <w:pPr>
        <w:pStyle w:val="FirstParagraph"/>
      </w:pPr>
      <w:r>
        <w:rPr>
          <w:rFonts w:hint="eastAsia"/>
        </w:rPr>
        <w:t xml:space="preserve">本期最高层级信号是全面从严治党的制度化、体系化部署；与A股更直接相关的增量线索，则来自“用好用足宏观政策、深入挖掘内需潜力”的岁末工作要求，以及8000亿元新型政策性金融工具投放完成、科技型中小企业贷款高增和以旧换新成效。三者分别对应重点项目资金支持、科技和小微信贷支持、消费需求释放，整体呈现“治理约束强化+稳增长政策继续落地”的组合。</w:t>
      </w:r>
    </w:p>
    <w:p>
      <w:pPr>
        <w:pStyle w:val="BodyText"/>
      </w:pPr>
      <w:r>
        <w:rPr>
          <w:rFonts w:hint="eastAsia"/>
        </w:rPr>
        <w:t xml:space="preserve">仅从本期联播判断，A股影响为</w:t>
      </w:r>
      <w:r>
        <w:rPr>
          <w:rFonts w:hint="eastAsia"/>
          <w:b/>
          <w:bCs/>
        </w:rPr>
        <w:t xml:space="preserve">结构性偏正面，但行业分化明显，直接催化主要集中在政策资金明确投向、科技信贷、数码消费和高端制造外贸</w:t>
      </w:r>
      <w:r>
        <w:rPr>
          <w:rFonts w:hint="eastAsia"/>
        </w:rPr>
        <w:t xml:space="preserve">。全会政治与组织事项对资本市场更多是治理环境和政策执行预期的间接影响；国际政治、选举与事故消息以风险观察或中性处理为宜。原文不支持对指数、板块或个股涨跌作出预测。</w:t>
      </w:r>
    </w:p>
    <w:bookmarkEnd w:id="10"/>
    <w:bookmarkEnd w:id="11"/>
    <w:bookmarkStart w:id="29" w:name="逐条a股影响分析"/>
    <w:p>
      <w:pPr>
        <w:pStyle w:val="Heading2"/>
      </w:pPr>
      <w:r>
        <w:rPr>
          <w:rFonts w:hint="eastAsia"/>
        </w:rPr>
        <w:t xml:space="preserve">逐条A股影响分析</w:t>
      </w:r>
    </w:p>
    <w:bookmarkStart w:id="12" w:name="单元一中国共产党第二十届中央委员会第五次全体会议公报"/>
    <w:p>
      <w:pPr>
        <w:pStyle w:val="Heading3"/>
      </w:pPr>
      <w:r>
        <w:rPr>
          <w:rFonts w:hint="eastAsia"/>
        </w:rPr>
        <w:t xml:space="preserve">单元一｜中国共产党第二十届中央委员会第五次全体会议公报</w:t>
      </w:r>
    </w:p>
    <w:p>
      <w:pPr>
        <w:pStyle w:val="Compact"/>
        <w:numPr>
          <w:ilvl w:val="0"/>
          <w:numId w:val="1001"/>
        </w:numPr>
      </w:pPr>
      <w:r>
        <w:rPr>
          <w:rFonts w:hint="eastAsia"/>
          <w:b/>
          <w:bCs/>
        </w:rPr>
        <w:t xml:space="preserve">信号强度：★★★★★</w:t>
      </w:r>
    </w:p>
    <w:p>
      <w:pPr>
        <w:pStyle w:val="Compact"/>
        <w:numPr>
          <w:ilvl w:val="0"/>
          <w:numId w:val="1001"/>
        </w:numPr>
      </w:pPr>
      <w:r>
        <w:rPr>
          <w:rFonts w:hint="eastAsia"/>
          <w:b/>
          <w:bCs/>
        </w:rPr>
        <w:t xml:space="preserve">A股影响/时效：宏观层面中长期偏正面，岁末稳增长与内需部署对短中期政策预期具有支撑；党内治理、组织和纪律事项主要形成间接影响。</w:t>
      </w:r>
    </w:p>
    <w:p>
      <w:pPr>
        <w:pStyle w:val="Compact"/>
        <w:numPr>
          <w:ilvl w:val="0"/>
          <w:numId w:val="1001"/>
        </w:numPr>
      </w:pPr>
      <w:r>
        <w:rPr>
          <w:rFonts w:hint="eastAsia"/>
          <w:b/>
          <w:bCs/>
        </w:rPr>
        <w:t xml:space="preserve">原文事实：</w:t>
      </w:r>
      <w:r>
        <w:t xml:space="preserve"> </w:t>
      </w:r>
      <w:r>
        <w:rPr>
          <w:rFonts w:hint="eastAsia"/>
        </w:rPr>
        <w:t xml:space="preserve">全会于2026年10月26日至29日在北京举行，10月29日通过公报；全会听取和讨论习近平受中央政治局委托所作的工作报告，审议通过《中共中央关于持之以恒推进全面从严治党若干重大问题的决定》，习近平就《决定（讨论稿）》作说明。全会提出七项原则：坚持服务使命任务、以党的政治建设为统领、全面从严、问题导向、守正创新、以上率下、依规治党；并作出九方面系统部署：增强党性、严格贯彻民主集中制、锻造高素质干部队伍、建设严密组织体系、正风肃纪、一体推进不敢腐不能腐不想腐、制度治党和依规治党、完善党和国家监督体系、压紧压实管党治党责任。</w:t>
      </w:r>
    </w:p>
    <w:p>
      <w:pPr>
        <w:pStyle w:val="Compact"/>
        <w:numPr>
          <w:ilvl w:val="0"/>
          <w:numId w:val="1001"/>
        </w:numPr>
      </w:pPr>
      <w:r>
        <w:rPr>
          <w:rFonts w:hint="eastAsia"/>
          <w:b/>
          <w:bCs/>
        </w:rPr>
        <w:t xml:space="preserve">原文事实（经济民生与重要决定）：</w:t>
      </w:r>
      <w:r>
        <w:t xml:space="preserve"> </w:t>
      </w:r>
      <w:r>
        <w:rPr>
          <w:rFonts w:hint="eastAsia"/>
        </w:rPr>
        <w:t xml:space="preserve">全会要求做好岁末年初工作，用好用足宏观政策、挖掘内需潜力、深化改革开放，完成全年经济社会发展主要目标并实现“十五五”良好开局；同时加强普惠性、基础性、兜底性民生建设，做好安全生产、防灾减灾救灾、食品药品安全和社会稳定工作，并结合换届加强正确政绩观培训。全会决定党的二十一大于2027年下半年在北京召开；增选张升民为中央政治局委员，决定将卢东亮、包钢等10名中央委员会候补委员递补为中央委员。全会审议中央纪委关于18人、中央军委关于16人严重违纪违法问题的审查报告，确认对其中33人开除党籍、给予李云泽撤销党内职务处分。</w:t>
      </w:r>
    </w:p>
    <w:p>
      <w:pPr>
        <w:pStyle w:val="Compact"/>
        <w:numPr>
          <w:ilvl w:val="0"/>
          <w:numId w:val="1001"/>
        </w:numPr>
      </w:pPr>
      <w:r>
        <w:rPr>
          <w:rFonts w:hint="eastAsia"/>
          <w:b/>
          <w:bCs/>
        </w:rPr>
        <w:t xml:space="preserve">通俗解读/政策信号：</w:t>
      </w:r>
      <w:r>
        <w:t xml:space="preserve"> </w:t>
      </w:r>
      <w:r>
        <w:rPr>
          <w:rFonts w:hint="eastAsia"/>
        </w:rPr>
        <w:t xml:space="preserve">这不是单一行业政策，而是把党性、干部、组织、作风纪律、反腐、制度、监督和责任链条纳入一套长期治理框架。对经济部分而言，最值得市场关注的是岁末工作仍强调宏观政策充分使用、挖掘内需和完成年度目标，说明稳增长、稳民生与风险治理要同步推进；“正确政绩观”与责任追究也意味着政策执行更强调实际效果、规范用权和长期约束。</w:t>
      </w:r>
    </w:p>
    <w:p>
      <w:pPr>
        <w:pStyle w:val="Compact"/>
        <w:numPr>
          <w:ilvl w:val="0"/>
          <w:numId w:val="1001"/>
        </w:numPr>
      </w:pPr>
      <w:r>
        <w:rPr>
          <w:rFonts w:hint="eastAsia"/>
          <w:b/>
          <w:bCs/>
        </w:rPr>
        <w:t xml:space="preserve">板块方向（分析推断）：</w:t>
      </w:r>
      <w:r>
        <w:t xml:space="preserve"> </w:t>
      </w:r>
      <w:r>
        <w:rPr>
          <w:rFonts w:hint="eastAsia"/>
        </w:rPr>
        <w:t xml:space="preserve">不把全面从严治党本身映射为交易板块。与A股较相关的观察线索仅限于内需、民生保障、安全生产、防灾减灾、食品药品安全等后续政策执行方向；能否形成行业增量，需等待具体部门政策、资金安排或项目清单。</w:t>
      </w:r>
    </w:p>
    <w:p>
      <w:pPr>
        <w:pStyle w:val="Compact"/>
        <w:numPr>
          <w:ilvl w:val="0"/>
          <w:numId w:val="1001"/>
        </w:numPr>
      </w:pPr>
      <w:r>
        <w:rPr>
          <w:rFonts w:hint="eastAsia"/>
          <w:b/>
          <w:bCs/>
        </w:rPr>
        <w:t xml:space="preserve">边界或风险：</w:t>
      </w:r>
      <w:r>
        <w:t xml:space="preserve"> </w:t>
      </w:r>
      <w:r>
        <w:rPr>
          <w:rFonts w:hint="eastAsia"/>
        </w:rPr>
        <w:t xml:space="preserve">全会公报的主体是党的建设、组织和纪律安排，不是资本市场行业扶持文件。人员任免、违纪违法审查与处分结论不得被题材化，也不能据此推导特定行业或公司的利好利空；岁末部署同样未给出新增资金规模、细分工具和企业名单。</w:t>
      </w:r>
    </w:p>
    <w:bookmarkEnd w:id="12"/>
    <w:bookmarkStart w:id="13" w:name="单元二张升民同志简历"/>
    <w:p>
      <w:pPr>
        <w:pStyle w:val="Heading3"/>
      </w:pPr>
      <w:r>
        <w:rPr>
          <w:rFonts w:hint="eastAsia"/>
        </w:rPr>
        <w:t xml:space="preserve">单元二｜张升民同志简历</w:t>
      </w:r>
    </w:p>
    <w:p>
      <w:pPr>
        <w:pStyle w:val="Compact"/>
        <w:numPr>
          <w:ilvl w:val="0"/>
          <w:numId w:val="1002"/>
        </w:numPr>
      </w:pPr>
      <w:r>
        <w:rPr>
          <w:rFonts w:hint="eastAsia"/>
          <w:b/>
          <w:bCs/>
        </w:rPr>
        <w:t xml:space="preserve">信号强度：★★☆☆☆</w:t>
      </w:r>
    </w:p>
    <w:p>
      <w:pPr>
        <w:pStyle w:val="Compact"/>
        <w:numPr>
          <w:ilvl w:val="0"/>
          <w:numId w:val="1002"/>
        </w:numPr>
      </w:pPr>
      <w:r>
        <w:rPr>
          <w:rFonts w:hint="eastAsia"/>
          <w:b/>
          <w:bCs/>
        </w:rPr>
        <w:t xml:space="preserve">A股影响/时效：中性、弱相关；属于即时政治组织信息，不构成行业催化。</w:t>
      </w:r>
    </w:p>
    <w:p>
      <w:pPr>
        <w:pStyle w:val="Compact"/>
        <w:numPr>
          <w:ilvl w:val="0"/>
          <w:numId w:val="1002"/>
        </w:numPr>
      </w:pPr>
      <w:r>
        <w:rPr>
          <w:rFonts w:hint="eastAsia"/>
          <w:b/>
          <w:bCs/>
        </w:rPr>
        <w:t xml:space="preserve">原文事实：</w:t>
      </w:r>
      <w:r>
        <w:t xml:space="preserve"> </w:t>
      </w:r>
      <w:r>
        <w:rPr>
          <w:rFonts w:hint="eastAsia"/>
        </w:rPr>
        <w:t xml:space="preserve">原文播送张升民同志简历：1958年8月生，1978年2月入伍，1979年7月加入中国共产党，中央党校研究生学历；现任中央政治局委员，中共中央军事委员会副主席、中华人民共和国中央军事委员会副主席、中央纪委副书记，火箭军上将军衔。</w:t>
      </w:r>
    </w:p>
    <w:p>
      <w:pPr>
        <w:pStyle w:val="Compact"/>
        <w:numPr>
          <w:ilvl w:val="0"/>
          <w:numId w:val="1002"/>
        </w:numPr>
      </w:pPr>
      <w:r>
        <w:rPr>
          <w:rFonts w:hint="eastAsia"/>
          <w:b/>
          <w:bCs/>
        </w:rPr>
        <w:t xml:space="preserve">通俗解读/政策信号：</w:t>
      </w:r>
      <w:r>
        <w:t xml:space="preserve"> </w:t>
      </w:r>
      <w:r>
        <w:rPr>
          <w:rFonts w:hint="eastAsia"/>
        </w:rPr>
        <w:t xml:space="preserve">该条是对全会增选中央政治局委员事项的配套人物简历，重点在组织信息确认，没有发布国防建设、军工采购或产业政策。</w:t>
      </w:r>
    </w:p>
    <w:p>
      <w:pPr>
        <w:pStyle w:val="Compact"/>
        <w:numPr>
          <w:ilvl w:val="0"/>
          <w:numId w:val="1002"/>
        </w:numPr>
      </w:pPr>
      <w:r>
        <w:rPr>
          <w:rFonts w:hint="eastAsia"/>
          <w:b/>
          <w:bCs/>
        </w:rPr>
        <w:t xml:space="preserve">板块方向（分析推断）：</w:t>
      </w:r>
      <w:r>
        <w:t xml:space="preserve"> </w:t>
      </w:r>
      <w:r>
        <w:rPr>
          <w:rFonts w:hint="eastAsia"/>
        </w:rPr>
        <w:t xml:space="preserve">无明确A股板块方向，不因军队任职信息强行映射军工板块。</w:t>
      </w:r>
    </w:p>
    <w:p>
      <w:pPr>
        <w:pStyle w:val="Compact"/>
        <w:numPr>
          <w:ilvl w:val="0"/>
          <w:numId w:val="1002"/>
        </w:numPr>
      </w:pPr>
      <w:r>
        <w:rPr>
          <w:rFonts w:hint="eastAsia"/>
          <w:b/>
          <w:bCs/>
        </w:rPr>
        <w:t xml:space="preserve">边界或风险：</w:t>
      </w:r>
      <w:r>
        <w:t xml:space="preserve"> </w:t>
      </w:r>
      <w:r>
        <w:rPr>
          <w:rFonts w:hint="eastAsia"/>
        </w:rPr>
        <w:t xml:space="preserve">人事信息不等于行业预算、装备采购或企业订单变化；将其直接交易化会超出原文。</w:t>
      </w:r>
    </w:p>
    <w:bookmarkEnd w:id="13"/>
    <w:bookmarkStart w:id="14" w:name="X2a50f09250045ffb6219bd6a7c5ae6502360313"/>
    <w:p>
      <w:pPr>
        <w:pStyle w:val="Heading3"/>
      </w:pPr>
      <w:r>
        <w:rPr>
          <w:rFonts w:hint="eastAsia"/>
        </w:rPr>
        <w:t xml:space="preserve">单元三｜习近平就西班牙高速列车追尾脱轨事故向西班牙国王致慰问电</w:t>
      </w:r>
      <w:r>
        <w:t xml:space="preserve"> </w:t>
      </w:r>
      <w:r>
        <w:rPr>
          <w:rFonts w:hint="eastAsia"/>
        </w:rPr>
        <w:t xml:space="preserve">李强向西班牙首相致慰问电</w:t>
      </w:r>
    </w:p>
    <w:p>
      <w:pPr>
        <w:pStyle w:val="Compact"/>
        <w:numPr>
          <w:ilvl w:val="0"/>
          <w:numId w:val="1003"/>
        </w:numPr>
      </w:pPr>
      <w:r>
        <w:rPr>
          <w:rFonts w:hint="eastAsia"/>
          <w:b/>
          <w:bCs/>
        </w:rPr>
        <w:t xml:space="preserve">信号强度：★☆☆☆☆</w:t>
      </w:r>
    </w:p>
    <w:p>
      <w:pPr>
        <w:pStyle w:val="Compact"/>
        <w:numPr>
          <w:ilvl w:val="0"/>
          <w:numId w:val="1003"/>
        </w:numPr>
      </w:pPr>
      <w:r>
        <w:rPr>
          <w:rFonts w:hint="eastAsia"/>
          <w:b/>
          <w:bCs/>
        </w:rPr>
        <w:t xml:space="preserve">A股影响/时效：中性、弱相关；短期外交与人道关怀事项。</w:t>
      </w:r>
    </w:p>
    <w:p>
      <w:pPr>
        <w:pStyle w:val="Compact"/>
        <w:numPr>
          <w:ilvl w:val="0"/>
          <w:numId w:val="1003"/>
        </w:numPr>
      </w:pPr>
      <w:r>
        <w:rPr>
          <w:rFonts w:hint="eastAsia"/>
          <w:b/>
          <w:bCs/>
        </w:rPr>
        <w:t xml:space="preserve">原文事实：</w:t>
      </w:r>
      <w:r>
        <w:t xml:space="preserve"> </w:t>
      </w:r>
      <w:r>
        <w:rPr>
          <w:rFonts w:hint="eastAsia"/>
        </w:rPr>
        <w:t xml:space="preserve">10月29日，习近平就西班牙托莱多省高速列车追尾脱轨事故向西班牙国王费利佩六世致慰问电，对遇难者表示哀悼、向遇难者家属致慰问并祝愿伤者康复；同日，李强向西班牙首相桑切斯致慰问电。</w:t>
      </w:r>
    </w:p>
    <w:p>
      <w:pPr>
        <w:pStyle w:val="Compact"/>
        <w:numPr>
          <w:ilvl w:val="0"/>
          <w:numId w:val="1003"/>
        </w:numPr>
      </w:pPr>
      <w:r>
        <w:rPr>
          <w:rFonts w:hint="eastAsia"/>
          <w:b/>
          <w:bCs/>
        </w:rPr>
        <w:t xml:space="preserve">通俗解读/政策信号：</w:t>
      </w:r>
      <w:r>
        <w:t xml:space="preserve"> </w:t>
      </w:r>
      <w:r>
        <w:rPr>
          <w:rFonts w:hint="eastAsia"/>
        </w:rPr>
        <w:t xml:space="preserve">这是重大伤亡事故后的国家层面慰问，体现外交礼仪和人道关怀，不包含双边经贸或产业合作安排。</w:t>
      </w:r>
    </w:p>
    <w:p>
      <w:pPr>
        <w:pStyle w:val="Compact"/>
        <w:numPr>
          <w:ilvl w:val="0"/>
          <w:numId w:val="1003"/>
        </w:numPr>
      </w:pPr>
      <w:r>
        <w:rPr>
          <w:rFonts w:hint="eastAsia"/>
          <w:b/>
          <w:bCs/>
        </w:rPr>
        <w:t xml:space="preserve">板块方向（分析推断）：</w:t>
      </w:r>
      <w:r>
        <w:t xml:space="preserve"> </w:t>
      </w:r>
      <w:r>
        <w:rPr>
          <w:rFonts w:hint="eastAsia"/>
        </w:rPr>
        <w:t xml:space="preserve">无直接A股板块方向；不把海外事故强行映射国内轨道交通、安全设备或保险板块。</w:t>
      </w:r>
    </w:p>
    <w:p>
      <w:pPr>
        <w:pStyle w:val="Compact"/>
        <w:numPr>
          <w:ilvl w:val="0"/>
          <w:numId w:val="1003"/>
        </w:numPr>
      </w:pPr>
      <w:r>
        <w:rPr>
          <w:rFonts w:hint="eastAsia"/>
          <w:b/>
          <w:bCs/>
        </w:rPr>
        <w:t xml:space="preserve">边界或风险：</w:t>
      </w:r>
      <w:r>
        <w:t xml:space="preserve"> </w:t>
      </w:r>
      <w:r>
        <w:rPr>
          <w:rFonts w:hint="eastAsia"/>
        </w:rPr>
        <w:t xml:space="preserve">原文没有涉及事故调查细节、国内政策调整或企业经营影响，重大伤亡事件不应被题材化。</w:t>
      </w:r>
    </w:p>
    <w:bookmarkEnd w:id="14"/>
    <w:bookmarkStart w:id="15" w:name="单元四学习贯彻党的二十届五中全会精神不断开创新时代管党治党兴党强党新局面"/>
    <w:p>
      <w:pPr>
        <w:pStyle w:val="Heading3"/>
      </w:pPr>
      <w:r>
        <w:rPr>
          <w:rFonts w:hint="eastAsia"/>
        </w:rPr>
        <w:t xml:space="preserve">单元四｜【学习贯彻党的二十届五中全会精神】不断开创新时代管党治党、兴党强党新局面</w:t>
      </w:r>
    </w:p>
    <w:p>
      <w:pPr>
        <w:pStyle w:val="Compact"/>
        <w:numPr>
          <w:ilvl w:val="0"/>
          <w:numId w:val="1004"/>
        </w:numPr>
      </w:pPr>
      <w:r>
        <w:rPr>
          <w:rFonts w:hint="eastAsia"/>
          <w:b/>
          <w:bCs/>
        </w:rPr>
        <w:t xml:space="preserve">信号强度：★★★★☆</w:t>
      </w:r>
    </w:p>
    <w:p>
      <w:pPr>
        <w:pStyle w:val="Compact"/>
        <w:numPr>
          <w:ilvl w:val="0"/>
          <w:numId w:val="1004"/>
        </w:numPr>
      </w:pPr>
      <w:r>
        <w:rPr>
          <w:rFonts w:hint="eastAsia"/>
          <w:b/>
          <w:bCs/>
        </w:rPr>
        <w:t xml:space="preserve">A股影响/时效：中性偏正面、以治理环境的中长期间接影响为主。</w:t>
      </w:r>
    </w:p>
    <w:p>
      <w:pPr>
        <w:pStyle w:val="Compact"/>
        <w:numPr>
          <w:ilvl w:val="0"/>
          <w:numId w:val="1004"/>
        </w:numPr>
      </w:pPr>
      <w:r>
        <w:rPr>
          <w:rFonts w:hint="eastAsia"/>
          <w:b/>
          <w:bCs/>
        </w:rPr>
        <w:t xml:space="preserve">原文事实：</w:t>
      </w:r>
      <w:r>
        <w:t xml:space="preserve"> </w:t>
      </w:r>
      <w:r>
        <w:rPr>
          <w:rFonts w:hint="eastAsia"/>
        </w:rPr>
        <w:t xml:space="preserve">报道重申全会审议通过关于持之以恒推进全面从严治党的《决定》；与会同志认为，全会作出系统、战略部署，对巩固党的执政地位、推进新时代党的建设、以中国式现代化推进强国建设和民族复兴具有现实意义和长远指导意义，并强调实干落实。</w:t>
      </w:r>
    </w:p>
    <w:p>
      <w:pPr>
        <w:pStyle w:val="Compact"/>
        <w:numPr>
          <w:ilvl w:val="0"/>
          <w:numId w:val="1004"/>
        </w:numPr>
      </w:pPr>
      <w:r>
        <w:rPr>
          <w:rFonts w:hint="eastAsia"/>
          <w:b/>
          <w:bCs/>
        </w:rPr>
        <w:t xml:space="preserve">通俗解读/政策信号：</w:t>
      </w:r>
      <w:r>
        <w:t xml:space="preserve"> </w:t>
      </w:r>
      <w:r>
        <w:rPr>
          <w:rFonts w:hint="eastAsia"/>
        </w:rPr>
        <w:t xml:space="preserve">该条属于全会精神的学习贯彻报道，表明《决定》将从会议通过进入宣传学习和落实阶段；“实干”指向执行，但本条没有增加新的经济工具或行业任务。</w:t>
      </w:r>
    </w:p>
    <w:p>
      <w:pPr>
        <w:pStyle w:val="Compact"/>
        <w:numPr>
          <w:ilvl w:val="0"/>
          <w:numId w:val="1004"/>
        </w:numPr>
      </w:pPr>
      <w:r>
        <w:rPr>
          <w:rFonts w:hint="eastAsia"/>
          <w:b/>
          <w:bCs/>
        </w:rPr>
        <w:t xml:space="preserve">板块方向（分析推断）：</w:t>
      </w:r>
      <w:r>
        <w:t xml:space="preserve"> </w:t>
      </w:r>
      <w:r>
        <w:rPr>
          <w:rFonts w:hint="eastAsia"/>
        </w:rPr>
        <w:t xml:space="preserve">无直接受益板块。可将其视作提高政策执行、组织约束和公共治理能力的长期背景，而不是短线产业催化。</w:t>
      </w:r>
    </w:p>
    <w:p>
      <w:pPr>
        <w:pStyle w:val="Compact"/>
        <w:numPr>
          <w:ilvl w:val="0"/>
          <w:numId w:val="1004"/>
        </w:numPr>
      </w:pPr>
      <w:r>
        <w:rPr>
          <w:rFonts w:hint="eastAsia"/>
          <w:b/>
          <w:bCs/>
        </w:rPr>
        <w:t xml:space="preserve">边界或风险：</w:t>
      </w:r>
      <w:r>
        <w:t xml:space="preserve"> </w:t>
      </w:r>
      <w:r>
        <w:rPr>
          <w:rFonts w:hint="eastAsia"/>
        </w:rPr>
        <w:t xml:space="preserve">报道未披露资本市场制度、财政资金、项目建设或企业经营安排，不能把宏观治理叙事机械映射为行业涨跌。</w:t>
      </w:r>
    </w:p>
    <w:bookmarkEnd w:id="15"/>
    <w:bookmarkStart w:id="16" w:name="单元五人民日报社论把我们党建设得更好更强"/>
    <w:p>
      <w:pPr>
        <w:pStyle w:val="Heading3"/>
      </w:pPr>
      <w:r>
        <w:rPr>
          <w:rFonts w:hint="eastAsia"/>
        </w:rPr>
        <w:t xml:space="preserve">单元五｜人民日报社论：把我们党建设得更好、更强</w:t>
      </w:r>
    </w:p>
    <w:p>
      <w:pPr>
        <w:pStyle w:val="Compact"/>
        <w:numPr>
          <w:ilvl w:val="0"/>
          <w:numId w:val="1005"/>
        </w:numPr>
      </w:pPr>
      <w:r>
        <w:rPr>
          <w:rFonts w:hint="eastAsia"/>
          <w:b/>
          <w:bCs/>
        </w:rPr>
        <w:t xml:space="preserve">信号强度：★★☆☆☆</w:t>
      </w:r>
    </w:p>
    <w:p>
      <w:pPr>
        <w:pStyle w:val="Compact"/>
        <w:numPr>
          <w:ilvl w:val="0"/>
          <w:numId w:val="1005"/>
        </w:numPr>
      </w:pPr>
      <w:r>
        <w:rPr>
          <w:rFonts w:hint="eastAsia"/>
          <w:b/>
          <w:bCs/>
        </w:rPr>
        <w:t xml:space="preserve">A股影响/时效：中性、弱相关；即时信息仅是社论预告。</w:t>
      </w:r>
    </w:p>
    <w:p>
      <w:pPr>
        <w:pStyle w:val="Compact"/>
        <w:numPr>
          <w:ilvl w:val="0"/>
          <w:numId w:val="1005"/>
        </w:numPr>
      </w:pPr>
      <w:r>
        <w:rPr>
          <w:rFonts w:hint="eastAsia"/>
          <w:b/>
          <w:bCs/>
        </w:rPr>
        <w:t xml:space="preserve">原文事实：</w:t>
      </w:r>
      <w:r>
        <w:t xml:space="preserve"> </w:t>
      </w:r>
      <w:r>
        <w:rPr>
          <w:rFonts w:hint="eastAsia"/>
        </w:rPr>
        <w:t xml:space="preserve">原文仅称，10月30日出版的《人民日报》将发表题为《把我们党建设得更好、更强》的社论，没有提供社论正文。</w:t>
      </w:r>
    </w:p>
    <w:p>
      <w:pPr>
        <w:pStyle w:val="Compact"/>
        <w:numPr>
          <w:ilvl w:val="0"/>
          <w:numId w:val="1005"/>
        </w:numPr>
      </w:pPr>
      <w:r>
        <w:rPr>
          <w:rFonts w:hint="eastAsia"/>
          <w:b/>
          <w:bCs/>
        </w:rPr>
        <w:t xml:space="preserve">通俗解读/政策信号：</w:t>
      </w:r>
      <w:r>
        <w:t xml:space="preserve"> </w:t>
      </w:r>
      <w:r>
        <w:rPr>
          <w:rFonts w:hint="eastAsia"/>
        </w:rPr>
        <w:t xml:space="preserve">题目与全会全面从严治党主题一致，说明主流媒体将继续阐释会议精神；由于原文只有预告，不能替社论补写观点。</w:t>
      </w:r>
    </w:p>
    <w:p>
      <w:pPr>
        <w:pStyle w:val="Compact"/>
        <w:numPr>
          <w:ilvl w:val="0"/>
          <w:numId w:val="1005"/>
        </w:numPr>
      </w:pPr>
      <w:r>
        <w:rPr>
          <w:rFonts w:hint="eastAsia"/>
          <w:b/>
          <w:bCs/>
        </w:rPr>
        <w:t xml:space="preserve">板块方向（分析推断）：</w:t>
      </w:r>
      <w:r>
        <w:t xml:space="preserve"> </w:t>
      </w:r>
      <w:r>
        <w:rPr>
          <w:rFonts w:hint="eastAsia"/>
        </w:rPr>
        <w:t xml:space="preserve">无明确A股板块方向。</w:t>
      </w:r>
    </w:p>
    <w:p>
      <w:pPr>
        <w:pStyle w:val="Compact"/>
        <w:numPr>
          <w:ilvl w:val="0"/>
          <w:numId w:val="1005"/>
        </w:numPr>
      </w:pPr>
      <w:r>
        <w:rPr>
          <w:rFonts w:hint="eastAsia"/>
          <w:b/>
          <w:bCs/>
        </w:rPr>
        <w:t xml:space="preserve">边界或风险：</w:t>
      </w:r>
      <w:r>
        <w:t xml:space="preserve"> </w:t>
      </w:r>
      <w:r>
        <w:rPr>
          <w:rFonts w:hint="eastAsia"/>
        </w:rPr>
        <w:t xml:space="preserve">不得根据标题推演尚未在唯一数据源中出现的政策内容，更不能据此构造行业催化。</w:t>
      </w:r>
    </w:p>
    <w:bookmarkEnd w:id="16"/>
    <w:bookmarkStart w:id="17" w:name="单元六三季度末科技型中小企业贷款余额同比增长201"/>
    <w:p>
      <w:pPr>
        <w:pStyle w:val="Heading3"/>
      </w:pPr>
      <w:r>
        <w:rPr>
          <w:rFonts w:hint="eastAsia"/>
        </w:rPr>
        <w:t xml:space="preserve">单元六｜三季度末科技型中小企业贷款余额同比增长20.1%</w:t>
      </w:r>
    </w:p>
    <w:p>
      <w:pPr>
        <w:pStyle w:val="Compact"/>
        <w:numPr>
          <w:ilvl w:val="0"/>
          <w:numId w:val="1006"/>
        </w:numPr>
      </w:pPr>
      <w:r>
        <w:rPr>
          <w:rFonts w:hint="eastAsia"/>
          <w:b/>
          <w:bCs/>
        </w:rPr>
        <w:t xml:space="preserve">信号强度：★★★★☆</w:t>
      </w:r>
    </w:p>
    <w:p>
      <w:pPr>
        <w:pStyle w:val="Compact"/>
        <w:numPr>
          <w:ilvl w:val="0"/>
          <w:numId w:val="1006"/>
        </w:numPr>
      </w:pPr>
      <w:r>
        <w:rPr>
          <w:rFonts w:hint="eastAsia"/>
          <w:b/>
          <w:bCs/>
        </w:rPr>
        <w:t xml:space="preserve">A股影响/时效：结构性偏正面；短中期反映信贷支持强度，中长期取决于资金转化为研发、产能和经营改善。</w:t>
      </w:r>
    </w:p>
    <w:p>
      <w:pPr>
        <w:pStyle w:val="Compact"/>
        <w:numPr>
          <w:ilvl w:val="0"/>
          <w:numId w:val="1006"/>
        </w:numPr>
      </w:pPr>
      <w:r>
        <w:rPr>
          <w:rFonts w:hint="eastAsia"/>
          <w:b/>
          <w:bCs/>
        </w:rPr>
        <w:t xml:space="preserve">原文事实：</w:t>
      </w:r>
      <w:r>
        <w:t xml:space="preserve"> </w:t>
      </w:r>
      <w:r>
        <w:rPr>
          <w:rFonts w:hint="eastAsia"/>
        </w:rPr>
        <w:t xml:space="preserve">前三季度人民币贷款增加11.52万亿元。三季度末科技型中小企业贷款余额4.27万亿元，同比增长20.1%，增速比各项贷款高15.4个百分点；超过一半的高新技术企业、共29.27万家获得贷款支持。人民币普惠小微贷款余额38.50万亿元，同比增长6.7%，增速比各项贷款高1.9个百分点；工业中长期贷款、绿色贷款和涉农贷款增长平稳。</w:t>
      </w:r>
    </w:p>
    <w:p>
      <w:pPr>
        <w:pStyle w:val="Compact"/>
        <w:numPr>
          <w:ilvl w:val="0"/>
          <w:numId w:val="1006"/>
        </w:numPr>
      </w:pPr>
      <w:r>
        <w:rPr>
          <w:rFonts w:hint="eastAsia"/>
          <w:b/>
          <w:bCs/>
        </w:rPr>
        <w:t xml:space="preserve">通俗解读/政策信号：</w:t>
      </w:r>
      <w:r>
        <w:t xml:space="preserve"> </w:t>
      </w:r>
      <w:r>
        <w:rPr>
          <w:rFonts w:hint="eastAsia"/>
        </w:rPr>
        <w:t xml:space="preserve">信贷资源对科技型中小企业和普惠小微保持倾斜，科技企业贷款增速明显高于总体贷款。其政策含义是降低相关企业融资约束、支持创新与经营周转，但贷款增长首先体现融资可得性，不等同于需求和盈利已经同步改善。</w:t>
      </w:r>
    </w:p>
    <w:p>
      <w:pPr>
        <w:pStyle w:val="Compact"/>
        <w:numPr>
          <w:ilvl w:val="0"/>
          <w:numId w:val="1006"/>
        </w:numPr>
      </w:pPr>
      <w:r>
        <w:rPr>
          <w:rFonts w:hint="eastAsia"/>
          <w:b/>
          <w:bCs/>
        </w:rPr>
        <w:t xml:space="preserve">板块方向（分析推断）：</w:t>
      </w:r>
      <w:r>
        <w:t xml:space="preserve"> </w:t>
      </w:r>
      <w:r>
        <w:rPr>
          <w:rFonts w:hint="eastAsia"/>
        </w:rPr>
        <w:t xml:space="preserve">科技型中小企业、科技金融与普惠金融服务可重点观察；工业中长期融资、绿色项目和涉农融资是辅助方向。对银行而言，业务增量与利差、风险成本、资产质量需分别评估。</w:t>
      </w:r>
    </w:p>
    <w:p>
      <w:pPr>
        <w:pStyle w:val="Compact"/>
        <w:numPr>
          <w:ilvl w:val="0"/>
          <w:numId w:val="1006"/>
        </w:numPr>
      </w:pPr>
      <w:r>
        <w:rPr>
          <w:rFonts w:hint="eastAsia"/>
          <w:b/>
          <w:bCs/>
        </w:rPr>
        <w:t xml:space="preserve">边界或风险：</w:t>
      </w:r>
      <w:r>
        <w:t xml:space="preserve"> </w:t>
      </w:r>
      <w:r>
        <w:rPr>
          <w:rFonts w:hint="eastAsia"/>
        </w:rPr>
        <w:t xml:space="preserve">原文没有贷款利率、期限、投向细分、企业新增订单、不良率或利润数据；贷款余额高增不能直接推导所有科技企业盈利上升，也不是股权融资或上市公司业绩承诺。</w:t>
      </w:r>
    </w:p>
    <w:bookmarkEnd w:id="17"/>
    <w:bookmarkStart w:id="18" w:name="单元七今年以来以旧换新带动相关品类销售额超2万亿元"/>
    <w:p>
      <w:pPr>
        <w:pStyle w:val="Heading3"/>
      </w:pPr>
      <w:r>
        <w:rPr>
          <w:rFonts w:hint="eastAsia"/>
        </w:rPr>
        <w:t xml:space="preserve">单元七｜今年以来以旧换新带动相关品类销售额超2万亿元</w:t>
      </w:r>
    </w:p>
    <w:p>
      <w:pPr>
        <w:pStyle w:val="Compact"/>
        <w:numPr>
          <w:ilvl w:val="0"/>
          <w:numId w:val="1007"/>
        </w:numPr>
      </w:pPr>
      <w:r>
        <w:rPr>
          <w:rFonts w:hint="eastAsia"/>
          <w:b/>
          <w:bCs/>
        </w:rPr>
        <w:t xml:space="preserve">信号强度：★★★★☆</w:t>
      </w:r>
    </w:p>
    <w:p>
      <w:pPr>
        <w:pStyle w:val="Compact"/>
        <w:numPr>
          <w:ilvl w:val="0"/>
          <w:numId w:val="1007"/>
        </w:numPr>
      </w:pPr>
      <w:r>
        <w:rPr>
          <w:rFonts w:hint="eastAsia"/>
          <w:b/>
          <w:bCs/>
        </w:rPr>
        <w:t xml:space="preserve">A股影响/时效：消费链结构性偏正面；短中期看补贴与销量延续，中期看政策退出后的需求持续性。</w:t>
      </w:r>
    </w:p>
    <w:p>
      <w:pPr>
        <w:pStyle w:val="Compact"/>
        <w:numPr>
          <w:ilvl w:val="0"/>
          <w:numId w:val="1007"/>
        </w:numPr>
      </w:pPr>
      <w:r>
        <w:rPr>
          <w:rFonts w:hint="eastAsia"/>
          <w:b/>
          <w:bCs/>
        </w:rPr>
        <w:t xml:space="preserve">原文事实：</w:t>
      </w:r>
      <w:r>
        <w:t xml:space="preserve"> </w:t>
      </w:r>
      <w:r>
        <w:rPr>
          <w:rFonts w:hint="eastAsia"/>
        </w:rPr>
        <w:t xml:space="preserve">截至10月28日，2026年以旧换新政策累计带动相关商品销售额超过2万亿元，惠及超过2.57亿人次。享受补贴的手机、平板等数码产品销量同比增长44.8%，带动前三季度通讯器材类零售额同比增长18.1%；参与政策的线下门店超过73.6万家，同比增长37.1%。</w:t>
      </w:r>
    </w:p>
    <w:p>
      <w:pPr>
        <w:pStyle w:val="Compact"/>
        <w:numPr>
          <w:ilvl w:val="0"/>
          <w:numId w:val="1007"/>
        </w:numPr>
      </w:pPr>
      <w:r>
        <w:rPr>
          <w:rFonts w:hint="eastAsia"/>
          <w:b/>
          <w:bCs/>
        </w:rPr>
        <w:t xml:space="preserve">通俗解读/政策信号：</w:t>
      </w:r>
      <w:r>
        <w:t xml:space="preserve"> </w:t>
      </w:r>
      <w:r>
        <w:rPr>
          <w:rFonts w:hint="eastAsia"/>
        </w:rPr>
        <w:t xml:space="preserve">以旧换新继续通过补贴降低换购成本，原文重点呈现数码产品销售和线下渠道覆盖扩大，说明政策既拉动终端消费，也为实体零售引流。</w:t>
      </w:r>
    </w:p>
    <w:p>
      <w:pPr>
        <w:pStyle w:val="Compact"/>
        <w:numPr>
          <w:ilvl w:val="0"/>
          <w:numId w:val="1007"/>
        </w:numPr>
      </w:pPr>
      <w:r>
        <w:rPr>
          <w:rFonts w:hint="eastAsia"/>
          <w:b/>
          <w:bCs/>
        </w:rPr>
        <w:t xml:space="preserve">板块方向（分析推断）：</w:t>
      </w:r>
      <w:r>
        <w:t xml:space="preserve"> </w:t>
      </w:r>
      <w:r>
        <w:rPr>
          <w:rFonts w:hint="eastAsia"/>
        </w:rPr>
        <w:t xml:space="preserve">手机和平板等消费电子、通讯器材零售、线下零售渠道及以旧换新服务环节可观察；受益大小取决于补贴口径、产品结构、渠道费用和真实增量需求。</w:t>
      </w:r>
    </w:p>
    <w:p>
      <w:pPr>
        <w:pStyle w:val="Compact"/>
        <w:numPr>
          <w:ilvl w:val="0"/>
          <w:numId w:val="1007"/>
        </w:numPr>
      </w:pPr>
      <w:r>
        <w:rPr>
          <w:rFonts w:hint="eastAsia"/>
          <w:b/>
          <w:bCs/>
        </w:rPr>
        <w:t xml:space="preserve">边界或风险：</w:t>
      </w:r>
      <w:r>
        <w:t xml:space="preserve"> </w:t>
      </w:r>
      <w:r>
        <w:rPr>
          <w:rFonts w:hint="eastAsia"/>
        </w:rPr>
        <w:t xml:space="preserve">超2万亿元为“政策带动相关商品销售额”的累计口径，不等于企业新增收入或利润；销量增长可能存在需求前置，且原文没有披露品牌份额、补贴持续时间和盈利能力。</w:t>
      </w:r>
    </w:p>
    <w:bookmarkEnd w:id="18"/>
    <w:bookmarkStart w:id="19" w:name="单元八联播快讯8000亿元新型政策性金融工具投放完成"/>
    <w:p>
      <w:pPr>
        <w:pStyle w:val="Heading3"/>
      </w:pPr>
      <w:r>
        <w:rPr>
          <w:rFonts w:hint="eastAsia"/>
        </w:rPr>
        <w:t xml:space="preserve">单元八｜联播快讯：8000亿元新型政策性金融工具投放完成</w:t>
      </w:r>
    </w:p>
    <w:p>
      <w:pPr>
        <w:pStyle w:val="Compact"/>
        <w:numPr>
          <w:ilvl w:val="0"/>
          <w:numId w:val="1008"/>
        </w:numPr>
      </w:pPr>
      <w:r>
        <w:rPr>
          <w:rFonts w:hint="eastAsia"/>
          <w:b/>
          <w:bCs/>
        </w:rPr>
        <w:t xml:space="preserve">信号强度：★★★★★</w:t>
      </w:r>
    </w:p>
    <w:p>
      <w:pPr>
        <w:pStyle w:val="Compact"/>
        <w:numPr>
          <w:ilvl w:val="0"/>
          <w:numId w:val="1008"/>
        </w:numPr>
      </w:pPr>
      <w:r>
        <w:rPr>
          <w:rFonts w:hint="eastAsia"/>
          <w:b/>
          <w:bCs/>
        </w:rPr>
        <w:t xml:space="preserve">A股影响/时效：结构性偏正面；短中期看资金支持转化为项目建设进度，中长期看项目运营效果。</w:t>
      </w:r>
    </w:p>
    <w:p>
      <w:pPr>
        <w:pStyle w:val="Compact"/>
        <w:numPr>
          <w:ilvl w:val="0"/>
          <w:numId w:val="1008"/>
        </w:numPr>
      </w:pPr>
      <w:r>
        <w:rPr>
          <w:rFonts w:hint="eastAsia"/>
          <w:b/>
          <w:bCs/>
        </w:rPr>
        <w:t xml:space="preserve">原文事实：</w:t>
      </w:r>
      <w:r>
        <w:t xml:space="preserve"> </w:t>
      </w:r>
      <w:r>
        <w:rPr>
          <w:rFonts w:hint="eastAsia"/>
        </w:rPr>
        <w:t xml:space="preserve">截至10月28日，2026年新型政策性金融工具已全部投放完成，共8000亿元；国开行、进出口银行、农业发展银行分别投放3650亿元、1200亿元和3150亿元。资金主要支持人工智能、数字经济、绿色低碳、消费等领域项目。</w:t>
      </w:r>
    </w:p>
    <w:p>
      <w:pPr>
        <w:pStyle w:val="Compact"/>
        <w:numPr>
          <w:ilvl w:val="0"/>
          <w:numId w:val="1008"/>
        </w:numPr>
      </w:pPr>
      <w:r>
        <w:rPr>
          <w:rFonts w:hint="eastAsia"/>
          <w:b/>
          <w:bCs/>
        </w:rPr>
        <w:t xml:space="preserve">通俗解读/政策信号：</w:t>
      </w:r>
      <w:r>
        <w:t xml:space="preserve"> </w:t>
      </w:r>
      <w:r>
        <w:rPr>
          <w:rFonts w:hint="eastAsia"/>
        </w:rPr>
        <w:t xml:space="preserve">“全部投放完成”意味着这项政策工具已从额度安排进入资金落位阶段，重点投向清晰，是本期最直接的经济政策信号。后续关键不再只是额度，而是资金能否加快项目建设、形成实物工作量和经营回报。</w:t>
      </w:r>
    </w:p>
    <w:p>
      <w:pPr>
        <w:pStyle w:val="Compact"/>
        <w:numPr>
          <w:ilvl w:val="0"/>
          <w:numId w:val="1008"/>
        </w:numPr>
      </w:pPr>
      <w:r>
        <w:rPr>
          <w:rFonts w:hint="eastAsia"/>
          <w:b/>
          <w:bCs/>
        </w:rPr>
        <w:t xml:space="preserve">板块方向（分析推断）：</w:t>
      </w:r>
      <w:r>
        <w:t xml:space="preserve"> </w:t>
      </w:r>
      <w:r>
        <w:rPr>
          <w:rFonts w:hint="eastAsia"/>
        </w:rPr>
        <w:t xml:space="preserve">人工智能项目、数字经济项目、绿色低碳项目和消费项目相关的建设、设备与服务环节可优先观察；政策性金融服务也有业务线索，但不能据此点名企业受益。</w:t>
      </w:r>
    </w:p>
    <w:p>
      <w:pPr>
        <w:pStyle w:val="Compact"/>
        <w:numPr>
          <w:ilvl w:val="0"/>
          <w:numId w:val="1008"/>
        </w:numPr>
      </w:pPr>
      <w:r>
        <w:rPr>
          <w:rFonts w:hint="eastAsia"/>
          <w:b/>
          <w:bCs/>
        </w:rPr>
        <w:t xml:space="preserve">边界或风险：</w:t>
      </w:r>
      <w:r>
        <w:t xml:space="preserve"> </w:t>
      </w:r>
      <w:r>
        <w:rPr>
          <w:rFonts w:hint="eastAsia"/>
        </w:rPr>
        <w:t xml:space="preserve">投放完成不等于项目已开工、采购已完成或收入已确认；原文未给出项目名单、地区分布、杠杆比例、建设周期和上市公司份额，避免把总额度直接折算为行业利润。</w:t>
      </w:r>
    </w:p>
    <w:bookmarkEnd w:id="19"/>
    <w:bookmarkStart w:id="20" w:name="单元九联播快讯前三季度大湾区内地9市对apec经济体进出口创历史同期新高"/>
    <w:p>
      <w:pPr>
        <w:pStyle w:val="Heading3"/>
      </w:pPr>
      <w:r>
        <w:rPr>
          <w:rFonts w:hint="eastAsia"/>
        </w:rPr>
        <w:t xml:space="preserve">单元九｜联播快讯：前三季度大湾区内地9市对APEC经济体进出口创历史同期新高</w:t>
      </w:r>
    </w:p>
    <w:p>
      <w:pPr>
        <w:pStyle w:val="Compact"/>
        <w:numPr>
          <w:ilvl w:val="0"/>
          <w:numId w:val="1009"/>
        </w:numPr>
      </w:pPr>
      <w:r>
        <w:rPr>
          <w:rFonts w:hint="eastAsia"/>
          <w:b/>
          <w:bCs/>
        </w:rPr>
        <w:t xml:space="preserve">信号强度：★★★★☆</w:t>
      </w:r>
    </w:p>
    <w:p>
      <w:pPr>
        <w:pStyle w:val="Compact"/>
        <w:numPr>
          <w:ilvl w:val="0"/>
          <w:numId w:val="1009"/>
        </w:numPr>
      </w:pPr>
      <w:r>
        <w:rPr>
          <w:rFonts w:hint="eastAsia"/>
          <w:b/>
          <w:bCs/>
        </w:rPr>
        <w:t xml:space="preserve">A股影响/时效：结构性偏正面；短中期看贸易订单与物流，中期看高端制造和绿色产品竞争力。</w:t>
      </w:r>
    </w:p>
    <w:p>
      <w:pPr>
        <w:pStyle w:val="Compact"/>
        <w:numPr>
          <w:ilvl w:val="0"/>
          <w:numId w:val="1009"/>
        </w:numPr>
      </w:pPr>
      <w:r>
        <w:rPr>
          <w:rFonts w:hint="eastAsia"/>
          <w:b/>
          <w:bCs/>
        </w:rPr>
        <w:t xml:space="preserve">原文事实：</w:t>
      </w:r>
      <w:r>
        <w:t xml:space="preserve"> </w:t>
      </w:r>
      <w:r>
        <w:rPr>
          <w:rFonts w:hint="eastAsia"/>
        </w:rPr>
        <w:t xml:space="preserve">前三季度，大湾区内地9市对APEC经济体进出口5.58万亿元，同比增长26.7%，创历史同期新高；机电产品、集成电路等高端制造和绿色产品是拉动区域外贸增长的主力军。</w:t>
      </w:r>
    </w:p>
    <w:p>
      <w:pPr>
        <w:pStyle w:val="Compact"/>
        <w:numPr>
          <w:ilvl w:val="0"/>
          <w:numId w:val="1009"/>
        </w:numPr>
      </w:pPr>
      <w:r>
        <w:rPr>
          <w:rFonts w:hint="eastAsia"/>
          <w:b/>
          <w:bCs/>
        </w:rPr>
        <w:t xml:space="preserve">通俗解读/政策信号：</w:t>
      </w:r>
      <w:r>
        <w:t xml:space="preserve"> </w:t>
      </w:r>
      <w:r>
        <w:rPr>
          <w:rFonts w:hint="eastAsia"/>
        </w:rPr>
        <w:t xml:space="preserve">大湾区与APEC经济体贸易增长较快，且增量由机电、集成电路等高端制造和绿色产品带动，反映区域外贸结构中的制造业和绿色产品贡献被重点突出。</w:t>
      </w:r>
    </w:p>
    <w:p>
      <w:pPr>
        <w:pStyle w:val="Compact"/>
        <w:numPr>
          <w:ilvl w:val="0"/>
          <w:numId w:val="1009"/>
        </w:numPr>
      </w:pPr>
      <w:r>
        <w:rPr>
          <w:rFonts w:hint="eastAsia"/>
          <w:b/>
          <w:bCs/>
        </w:rPr>
        <w:t xml:space="preserve">板块方向（分析推断）：</w:t>
      </w:r>
      <w:r>
        <w:t xml:space="preserve"> </w:t>
      </w:r>
      <w:r>
        <w:rPr>
          <w:rFonts w:hint="eastAsia"/>
        </w:rPr>
        <w:t xml:space="preserve">机电设备、集成电路、高端制造、绿色产品、跨境物流、港口航运和外贸综合服务可观察；需同时区分出口与进口、数量与价格、总量与企业份额。</w:t>
      </w:r>
    </w:p>
    <w:p>
      <w:pPr>
        <w:pStyle w:val="Compact"/>
        <w:numPr>
          <w:ilvl w:val="0"/>
          <w:numId w:val="1009"/>
        </w:numPr>
      </w:pPr>
      <w:r>
        <w:rPr>
          <w:rFonts w:hint="eastAsia"/>
          <w:b/>
          <w:bCs/>
        </w:rPr>
        <w:t xml:space="preserve">边界或风险：</w:t>
      </w:r>
      <w:r>
        <w:t xml:space="preserve"> </w:t>
      </w:r>
      <w:r>
        <w:rPr>
          <w:rFonts w:hint="eastAsia"/>
        </w:rPr>
        <w:t xml:space="preserve">区域贸易总额增长不代表所有细分行业或企业同步受益；原文没有给出顺差、价格、订单持续性、国别结构和利润率，不能把历史同期新高直接外推为股价表现。</w:t>
      </w:r>
    </w:p>
    <w:bookmarkEnd w:id="20"/>
    <w:bookmarkStart w:id="21" w:name="单元十联播快讯前三季度全国地表水水质持续向好"/>
    <w:p>
      <w:pPr>
        <w:pStyle w:val="Heading3"/>
      </w:pPr>
      <w:r>
        <w:rPr>
          <w:rFonts w:hint="eastAsia"/>
        </w:rPr>
        <w:t xml:space="preserve">单元十｜联播快讯：前三季度全国地表水水质持续向好</w:t>
      </w:r>
    </w:p>
    <w:p>
      <w:pPr>
        <w:pStyle w:val="Compact"/>
        <w:numPr>
          <w:ilvl w:val="0"/>
          <w:numId w:val="1010"/>
        </w:numPr>
      </w:pPr>
      <w:r>
        <w:rPr>
          <w:rFonts w:hint="eastAsia"/>
          <w:b/>
          <w:bCs/>
        </w:rPr>
        <w:t xml:space="preserve">信号强度：★★★☆☆</w:t>
      </w:r>
    </w:p>
    <w:p>
      <w:pPr>
        <w:pStyle w:val="Compact"/>
        <w:numPr>
          <w:ilvl w:val="0"/>
          <w:numId w:val="1010"/>
        </w:numPr>
      </w:pPr>
      <w:r>
        <w:rPr>
          <w:rFonts w:hint="eastAsia"/>
          <w:b/>
          <w:bCs/>
        </w:rPr>
        <w:t xml:space="preserve">A股影响/时效：中性偏正面、弱产业催化；中长期看水环境治理和监测需求。</w:t>
      </w:r>
    </w:p>
    <w:p>
      <w:pPr>
        <w:pStyle w:val="Compact"/>
        <w:numPr>
          <w:ilvl w:val="0"/>
          <w:numId w:val="1010"/>
        </w:numPr>
      </w:pPr>
      <w:r>
        <w:rPr>
          <w:rFonts w:hint="eastAsia"/>
          <w:b/>
          <w:bCs/>
        </w:rPr>
        <w:t xml:space="preserve">原文事实：</w:t>
      </w:r>
      <w:r>
        <w:t xml:space="preserve"> </w:t>
      </w:r>
      <w:r>
        <w:rPr>
          <w:rFonts w:hint="eastAsia"/>
        </w:rPr>
        <w:t xml:space="preserve">2026年1至9月，全国地表水Ⅰ—Ⅲ类优良水质比例为86.1%，同比上升1.7个百分点；劣Ⅴ类水质比例为0.8%，同比下降0.4个百分点。</w:t>
      </w:r>
    </w:p>
    <w:p>
      <w:pPr>
        <w:pStyle w:val="Compact"/>
        <w:numPr>
          <w:ilvl w:val="0"/>
          <w:numId w:val="1010"/>
        </w:numPr>
      </w:pPr>
      <w:r>
        <w:rPr>
          <w:rFonts w:hint="eastAsia"/>
          <w:b/>
          <w:bCs/>
        </w:rPr>
        <w:t xml:space="preserve">通俗解读/政策信号：</w:t>
      </w:r>
      <w:r>
        <w:t xml:space="preserve"> </w:t>
      </w:r>
      <w:r>
        <w:rPr>
          <w:rFonts w:hint="eastAsia"/>
        </w:rPr>
        <w:t xml:space="preserve">数据显示地表水环境质量继续改善，是环境治理成效指标，而不是新增水治理投资计划。</w:t>
      </w:r>
    </w:p>
    <w:p>
      <w:pPr>
        <w:pStyle w:val="Compact"/>
        <w:numPr>
          <w:ilvl w:val="0"/>
          <w:numId w:val="1010"/>
        </w:numPr>
      </w:pPr>
      <w:r>
        <w:rPr>
          <w:rFonts w:hint="eastAsia"/>
          <w:b/>
          <w:bCs/>
        </w:rPr>
        <w:t xml:space="preserve">板块方向（分析推断）：</w:t>
      </w:r>
      <w:r>
        <w:t xml:space="preserve"> </w:t>
      </w:r>
      <w:r>
        <w:rPr>
          <w:rFonts w:hint="eastAsia"/>
        </w:rPr>
        <w:t xml:space="preserve">水环境治理、污水处理、环境监测等方向可作中长期观察；若要判断增量机会，仍需等待新的治理目标、项目和资金安排。</w:t>
      </w:r>
    </w:p>
    <w:p>
      <w:pPr>
        <w:pStyle w:val="Compact"/>
        <w:numPr>
          <w:ilvl w:val="0"/>
          <w:numId w:val="1010"/>
        </w:numPr>
      </w:pPr>
      <w:r>
        <w:rPr>
          <w:rFonts w:hint="eastAsia"/>
          <w:b/>
          <w:bCs/>
        </w:rPr>
        <w:t xml:space="preserve">边界或风险：</w:t>
      </w:r>
      <w:r>
        <w:t xml:space="preserve"> </w:t>
      </w:r>
      <w:r>
        <w:rPr>
          <w:rFonts w:hint="eastAsia"/>
        </w:rPr>
        <w:t xml:space="preserve">水质改善可能意味着治理有效，但不自动等于行业订单增加；原文没有新增政策、投资规模、收费机制或企业经营数据。</w:t>
      </w:r>
    </w:p>
    <w:bookmarkEnd w:id="21"/>
    <w:bookmarkStart w:id="22" w:name="单元十一联播快讯国内最长地铁环线全线贯通"/>
    <w:p>
      <w:pPr>
        <w:pStyle w:val="Heading3"/>
      </w:pPr>
      <w:r>
        <w:rPr>
          <w:rFonts w:hint="eastAsia"/>
        </w:rPr>
        <w:t xml:space="preserve">单元十一｜联播快讯：国内最长地铁环线全线贯通</w:t>
      </w:r>
    </w:p>
    <w:p>
      <w:pPr>
        <w:pStyle w:val="Compact"/>
        <w:numPr>
          <w:ilvl w:val="0"/>
          <w:numId w:val="1011"/>
        </w:numPr>
      </w:pPr>
      <w:r>
        <w:rPr>
          <w:rFonts w:hint="eastAsia"/>
          <w:b/>
          <w:bCs/>
        </w:rPr>
        <w:t xml:space="preserve">信号强度：★★★☆☆</w:t>
      </w:r>
    </w:p>
    <w:p>
      <w:pPr>
        <w:pStyle w:val="Compact"/>
        <w:numPr>
          <w:ilvl w:val="0"/>
          <w:numId w:val="1011"/>
        </w:numPr>
      </w:pPr>
      <w:r>
        <w:rPr>
          <w:rFonts w:hint="eastAsia"/>
          <w:b/>
          <w:bCs/>
        </w:rPr>
        <w:t xml:space="preserve">A股影响/时效：中性偏正面但区域性较强；短期是投运节点，中长期看客流和城市运行效率。</w:t>
      </w:r>
    </w:p>
    <w:p>
      <w:pPr>
        <w:pStyle w:val="Compact"/>
        <w:numPr>
          <w:ilvl w:val="0"/>
          <w:numId w:val="1011"/>
        </w:numPr>
      </w:pPr>
      <w:r>
        <w:rPr>
          <w:rFonts w:hint="eastAsia"/>
          <w:b/>
          <w:bCs/>
        </w:rPr>
        <w:t xml:space="preserve">原文事实：</w:t>
      </w:r>
      <w:r>
        <w:t xml:space="preserve"> </w:t>
      </w:r>
      <w:r>
        <w:rPr>
          <w:rFonts w:hint="eastAsia"/>
        </w:rPr>
        <w:t xml:space="preserve">10月29日，武汉地铁12号线全线贯通运营，线路全长约59.9公里、设37座车站，是国内最长地铁环线；线路串联武汉7个中心城区，实现中心城区“半小时通勤圈”。</w:t>
      </w:r>
    </w:p>
    <w:p>
      <w:pPr>
        <w:pStyle w:val="Compact"/>
        <w:numPr>
          <w:ilvl w:val="0"/>
          <w:numId w:val="1011"/>
        </w:numPr>
      </w:pPr>
      <w:r>
        <w:rPr>
          <w:rFonts w:hint="eastAsia"/>
          <w:b/>
          <w:bCs/>
        </w:rPr>
        <w:t xml:space="preserve">通俗解读/政策信号：</w:t>
      </w:r>
      <w:r>
        <w:t xml:space="preserve"> </w:t>
      </w:r>
      <w:r>
        <w:rPr>
          <w:rFonts w:hint="eastAsia"/>
        </w:rPr>
        <w:t xml:space="preserve">该条体现大型城市轨道交通项目完成并进入运营阶段，直接作用是提升跨城区通勤连接和城市运行效率。</w:t>
      </w:r>
    </w:p>
    <w:p>
      <w:pPr>
        <w:pStyle w:val="Compact"/>
        <w:numPr>
          <w:ilvl w:val="0"/>
          <w:numId w:val="1011"/>
        </w:numPr>
      </w:pPr>
      <w:r>
        <w:rPr>
          <w:rFonts w:hint="eastAsia"/>
          <w:b/>
          <w:bCs/>
        </w:rPr>
        <w:t xml:space="preserve">板块方向（分析推断）：</w:t>
      </w:r>
      <w:r>
        <w:t xml:space="preserve"> </w:t>
      </w:r>
      <w:r>
        <w:rPr>
          <w:rFonts w:hint="eastAsia"/>
        </w:rPr>
        <w:t xml:space="preserve">城市轨道交通运营、信号与运维服务、轨交设备及沿线公共交通服务可观察；由于项目已贯通，建设期订单与运营期收入应分开判断。</w:t>
      </w:r>
    </w:p>
    <w:p>
      <w:pPr>
        <w:pStyle w:val="Compact"/>
        <w:numPr>
          <w:ilvl w:val="0"/>
          <w:numId w:val="1011"/>
        </w:numPr>
      </w:pPr>
      <w:r>
        <w:rPr>
          <w:rFonts w:hint="eastAsia"/>
          <w:b/>
          <w:bCs/>
        </w:rPr>
        <w:t xml:space="preserve">边界或风险：</w:t>
      </w:r>
      <w:r>
        <w:t xml:space="preserve"> </w:t>
      </w:r>
      <w:r>
        <w:rPr>
          <w:rFonts w:hint="eastAsia"/>
        </w:rPr>
        <w:t xml:space="preserve">单一城市项目不代表全国轨交投资加速；原文没有投资额、客流、票务收入、运维采购或上市公司参与信息，不能推导具体企业业绩。</w:t>
      </w:r>
    </w:p>
    <w:bookmarkEnd w:id="22"/>
    <w:bookmarkStart w:id="23" w:name="单元十二联播快讯群众有望在家门口体验到15项以上中医适宜技术"/>
    <w:p>
      <w:pPr>
        <w:pStyle w:val="Heading3"/>
      </w:pPr>
      <w:r>
        <w:rPr>
          <w:rFonts w:hint="eastAsia"/>
        </w:rPr>
        <w:t xml:space="preserve">单元十二｜联播快讯：群众有望在“家门口”体验到15项以上中医适宜技术</w:t>
      </w:r>
    </w:p>
    <w:p>
      <w:pPr>
        <w:pStyle w:val="Compact"/>
        <w:numPr>
          <w:ilvl w:val="0"/>
          <w:numId w:val="1012"/>
        </w:numPr>
      </w:pPr>
      <w:r>
        <w:rPr>
          <w:rFonts w:hint="eastAsia"/>
          <w:b/>
          <w:bCs/>
        </w:rPr>
        <w:t xml:space="preserve">信号强度：★★★★☆</w:t>
      </w:r>
    </w:p>
    <w:p>
      <w:pPr>
        <w:pStyle w:val="Compact"/>
        <w:numPr>
          <w:ilvl w:val="0"/>
          <w:numId w:val="1012"/>
        </w:numPr>
      </w:pPr>
      <w:r>
        <w:rPr>
          <w:rFonts w:hint="eastAsia"/>
          <w:b/>
          <w:bCs/>
        </w:rPr>
        <w:t xml:space="preserve">A股影响/时效：中长期结构性偏正面；落地取决于县域基层机构能力建设、人员培训与支付安排。</w:t>
      </w:r>
    </w:p>
    <w:p>
      <w:pPr>
        <w:pStyle w:val="Compact"/>
        <w:numPr>
          <w:ilvl w:val="0"/>
          <w:numId w:val="1012"/>
        </w:numPr>
      </w:pPr>
      <w:r>
        <w:rPr>
          <w:rFonts w:hint="eastAsia"/>
          <w:b/>
          <w:bCs/>
        </w:rPr>
        <w:t xml:space="preserve">原文事实：</w:t>
      </w:r>
      <w:r>
        <w:t xml:space="preserve"> </w:t>
      </w:r>
      <w:r>
        <w:rPr>
          <w:rFonts w:hint="eastAsia"/>
        </w:rPr>
        <w:t xml:space="preserve">国家中医药管理局、国家卫生健康委近日联合印发通知，将针刺、推拿、刮痧、拔罐、艾灸等类别的中医适宜技术纳入全国统一推广核心目录，并将依据基层需求适时增补；群众在县域基层医疗卫生机构可体验的中医适宜技术将达到6类15项以上。</w:t>
      </w:r>
    </w:p>
    <w:p>
      <w:pPr>
        <w:pStyle w:val="Compact"/>
        <w:numPr>
          <w:ilvl w:val="0"/>
          <w:numId w:val="1012"/>
        </w:numPr>
      </w:pPr>
      <w:r>
        <w:rPr>
          <w:rFonts w:hint="eastAsia"/>
          <w:b/>
          <w:bCs/>
        </w:rPr>
        <w:t xml:space="preserve">通俗解读/政策信号：</w:t>
      </w:r>
      <w:r>
        <w:t xml:space="preserve"> </w:t>
      </w:r>
      <w:r>
        <w:rPr>
          <w:rFonts w:hint="eastAsia"/>
        </w:rPr>
        <w:t xml:space="preserve">政策重点是把一批中医适宜技术标准化、目录化并向县域基层推广，提高基层可及性。与单纯宣传相比，联合通知和明确的“6类15项以上”目标具有更具体的落地导向。</w:t>
      </w:r>
    </w:p>
    <w:p>
      <w:pPr>
        <w:pStyle w:val="Compact"/>
        <w:numPr>
          <w:ilvl w:val="0"/>
          <w:numId w:val="1012"/>
        </w:numPr>
      </w:pPr>
      <w:r>
        <w:rPr>
          <w:rFonts w:hint="eastAsia"/>
          <w:b/>
          <w:bCs/>
        </w:rPr>
        <w:t xml:space="preserve">板块方向（分析推断）：</w:t>
      </w:r>
      <w:r>
        <w:t xml:space="preserve"> </w:t>
      </w:r>
      <w:r>
        <w:rPr>
          <w:rFonts w:hint="eastAsia"/>
        </w:rPr>
        <w:t xml:space="preserve">中医医疗服务、基层医疗服务、康复理疗服务以及相关培训和规范化服务可观察；如涉及设备和耗材，仍需以后续采购目录和预算为准。</w:t>
      </w:r>
    </w:p>
    <w:p>
      <w:pPr>
        <w:pStyle w:val="Compact"/>
        <w:numPr>
          <w:ilvl w:val="0"/>
          <w:numId w:val="1012"/>
        </w:numPr>
      </w:pPr>
      <w:r>
        <w:rPr>
          <w:rFonts w:hint="eastAsia"/>
          <w:b/>
          <w:bCs/>
        </w:rPr>
        <w:t xml:space="preserve">边界或风险：</w:t>
      </w:r>
      <w:r>
        <w:t xml:space="preserve"> </w:t>
      </w:r>
      <w:r>
        <w:rPr>
          <w:rFonts w:hint="eastAsia"/>
        </w:rPr>
        <w:t xml:space="preserve">原文没有财政投入、医保支付、收费标准、设备采购和机构名单；推广技术不等于相关企业收入立即增长，且服务质量、人才供给和合规管理影响落地效果。</w:t>
      </w:r>
    </w:p>
    <w:bookmarkEnd w:id="23"/>
    <w:bookmarkStart w:id="24" w:name="单元十三联播快讯联大再次通过决议敦促美终止对古封锁"/>
    <w:p>
      <w:pPr>
        <w:pStyle w:val="Heading3"/>
      </w:pPr>
      <w:r>
        <w:rPr>
          <w:rFonts w:hint="eastAsia"/>
        </w:rPr>
        <w:t xml:space="preserve">单元十三｜联播快讯：联大再次通过决议敦促美终止对古封锁</w:t>
      </w:r>
    </w:p>
    <w:p>
      <w:pPr>
        <w:pStyle w:val="Compact"/>
        <w:numPr>
          <w:ilvl w:val="0"/>
          <w:numId w:val="1013"/>
        </w:numPr>
      </w:pPr>
      <w:r>
        <w:rPr>
          <w:rFonts w:hint="eastAsia"/>
          <w:b/>
          <w:bCs/>
        </w:rPr>
        <w:t xml:space="preserve">信号强度：★☆☆☆☆</w:t>
      </w:r>
    </w:p>
    <w:p>
      <w:pPr>
        <w:pStyle w:val="Compact"/>
        <w:numPr>
          <w:ilvl w:val="0"/>
          <w:numId w:val="1013"/>
        </w:numPr>
      </w:pPr>
      <w:r>
        <w:rPr>
          <w:rFonts w:hint="eastAsia"/>
          <w:b/>
          <w:bCs/>
        </w:rPr>
        <w:t xml:space="preserve">A股影响/时效：中性、弱相关；短期国际政治事件。</w:t>
      </w:r>
    </w:p>
    <w:p>
      <w:pPr>
        <w:pStyle w:val="Compact"/>
        <w:numPr>
          <w:ilvl w:val="0"/>
          <w:numId w:val="1013"/>
        </w:numPr>
      </w:pPr>
      <w:r>
        <w:rPr>
          <w:rFonts w:hint="eastAsia"/>
          <w:b/>
          <w:bCs/>
        </w:rPr>
        <w:t xml:space="preserve">原文事实：</w:t>
      </w:r>
      <w:r>
        <w:t xml:space="preserve"> </w:t>
      </w:r>
      <w:r>
        <w:rPr>
          <w:rFonts w:hint="eastAsia"/>
        </w:rPr>
        <w:t xml:space="preserve">联合国大会28日以130票赞成、17票反对、25票弃权再次通过决议，敦促美国终止对古巴的经济、商业和金融封锁，这是联大连续第34次通过类似决议。古巴国家主席迪亚斯-卡内尔欢迎决议并敦促美国结束长达60余年的封锁。</w:t>
      </w:r>
    </w:p>
    <w:p>
      <w:pPr>
        <w:pStyle w:val="Compact"/>
        <w:numPr>
          <w:ilvl w:val="0"/>
          <w:numId w:val="1013"/>
        </w:numPr>
      </w:pPr>
      <w:r>
        <w:rPr>
          <w:rFonts w:hint="eastAsia"/>
          <w:b/>
          <w:bCs/>
        </w:rPr>
        <w:t xml:space="preserve">通俗解读/政策信号：</w:t>
      </w:r>
      <w:r>
        <w:t xml:space="preserve"> </w:t>
      </w:r>
      <w:r>
        <w:rPr>
          <w:rFonts w:hint="eastAsia"/>
        </w:rPr>
        <w:t xml:space="preserve">该条反映国际社会在对古封锁问题上的多数立场，但决议通过本身不等于美国政策立即改变。</w:t>
      </w:r>
    </w:p>
    <w:p>
      <w:pPr>
        <w:pStyle w:val="Compact"/>
        <w:numPr>
          <w:ilvl w:val="0"/>
          <w:numId w:val="1013"/>
        </w:numPr>
      </w:pPr>
      <w:r>
        <w:rPr>
          <w:rFonts w:hint="eastAsia"/>
          <w:b/>
          <w:bCs/>
        </w:rPr>
        <w:t xml:space="preserve">板块方向（分析推断）：</w:t>
      </w:r>
      <w:r>
        <w:t xml:space="preserve"> </w:t>
      </w:r>
      <w:r>
        <w:rPr>
          <w:rFonts w:hint="eastAsia"/>
        </w:rPr>
        <w:t xml:space="preserve">无明确A股板块方向；只有在制裁、贸易或结算政策发生可验证变化后，才可能讨论相关跨境业务影响。</w:t>
      </w:r>
    </w:p>
    <w:p>
      <w:pPr>
        <w:pStyle w:val="Compact"/>
        <w:numPr>
          <w:ilvl w:val="0"/>
          <w:numId w:val="1013"/>
        </w:numPr>
      </w:pPr>
      <w:r>
        <w:rPr>
          <w:rFonts w:hint="eastAsia"/>
          <w:b/>
          <w:bCs/>
        </w:rPr>
        <w:t xml:space="preserve">边界或风险：</w:t>
      </w:r>
      <w:r>
        <w:t xml:space="preserve"> </w:t>
      </w:r>
      <w:r>
        <w:rPr>
          <w:rFonts w:hint="eastAsia"/>
        </w:rPr>
        <w:t xml:space="preserve">原文未涉及中国企业、双边项目或具体经贸开放措施，不应强行映射外贸、航运或资源板块。</w:t>
      </w:r>
    </w:p>
    <w:bookmarkEnd w:id="24"/>
    <w:bookmarkStart w:id="25" w:name="单元十四联播快讯以议会选举初步计票显示无阵营议席过半"/>
    <w:p>
      <w:pPr>
        <w:pStyle w:val="Heading3"/>
      </w:pPr>
      <w:r>
        <w:rPr>
          <w:rFonts w:hint="eastAsia"/>
        </w:rPr>
        <w:t xml:space="preserve">单元十四｜联播快讯：以议会选举初步计票显示无阵营议席过半</w:t>
      </w:r>
    </w:p>
    <w:p>
      <w:pPr>
        <w:pStyle w:val="Compact"/>
        <w:numPr>
          <w:ilvl w:val="0"/>
          <w:numId w:val="1014"/>
        </w:numPr>
      </w:pPr>
      <w:r>
        <w:rPr>
          <w:rFonts w:hint="eastAsia"/>
          <w:b/>
          <w:bCs/>
        </w:rPr>
        <w:t xml:space="preserve">信号强度：★★☆☆☆</w:t>
      </w:r>
    </w:p>
    <w:p>
      <w:pPr>
        <w:pStyle w:val="Compact"/>
        <w:numPr>
          <w:ilvl w:val="0"/>
          <w:numId w:val="1014"/>
        </w:numPr>
      </w:pPr>
      <w:r>
        <w:rPr>
          <w:rFonts w:hint="eastAsia"/>
          <w:b/>
          <w:bCs/>
        </w:rPr>
        <w:t xml:space="preserve">A股影响/时效：中性偏谨慎、以短期地缘和风险偏好观察为主。</w:t>
      </w:r>
    </w:p>
    <w:p>
      <w:pPr>
        <w:pStyle w:val="Compact"/>
        <w:numPr>
          <w:ilvl w:val="0"/>
          <w:numId w:val="1014"/>
        </w:numPr>
      </w:pPr>
      <w:r>
        <w:rPr>
          <w:rFonts w:hint="eastAsia"/>
          <w:b/>
          <w:bCs/>
        </w:rPr>
        <w:t xml:space="preserve">原文事实：</w:t>
      </w:r>
      <w:r>
        <w:t xml:space="preserve"> </w:t>
      </w:r>
      <w:r>
        <w:rPr>
          <w:rFonts w:hint="eastAsia"/>
        </w:rPr>
        <w:t xml:space="preserve">以色列中央选举委员会公布的初步计票结果显示，内塔尼亚胡领导的右翼阵营获53席，埃森科特领导的反对派阵营获48席，均未达到组建政府所需61席；阿拉伯裔政党获19席。报道还称，反对派考虑争取阿拉伯裔政党支持，阿拉伯裔政党表示准备开展政治合作，利库德集团则以舞弊为由要求调查。</w:t>
      </w:r>
    </w:p>
    <w:p>
      <w:pPr>
        <w:pStyle w:val="Compact"/>
        <w:numPr>
          <w:ilvl w:val="0"/>
          <w:numId w:val="1014"/>
        </w:numPr>
      </w:pPr>
      <w:r>
        <w:rPr>
          <w:rFonts w:hint="eastAsia"/>
          <w:b/>
          <w:bCs/>
        </w:rPr>
        <w:t xml:space="preserve">通俗解读/政策信号：</w:t>
      </w:r>
      <w:r>
        <w:t xml:space="preserve"> </w:t>
      </w:r>
      <w:r>
        <w:rPr>
          <w:rFonts w:hint="eastAsia"/>
        </w:rPr>
        <w:t xml:space="preserve">没有阵营单独过半，意味着组阁谈判和政治博弈仍存在不确定性；初步计票与最终组阁结果应区分。</w:t>
      </w:r>
    </w:p>
    <w:p>
      <w:pPr>
        <w:pStyle w:val="Compact"/>
        <w:numPr>
          <w:ilvl w:val="0"/>
          <w:numId w:val="1014"/>
        </w:numPr>
      </w:pPr>
      <w:r>
        <w:rPr>
          <w:rFonts w:hint="eastAsia"/>
          <w:b/>
          <w:bCs/>
        </w:rPr>
        <w:t xml:space="preserve">板块方向（分析推断）：</w:t>
      </w:r>
      <w:r>
        <w:t xml:space="preserve"> </w:t>
      </w:r>
      <w:r>
        <w:rPr>
          <w:rFonts w:hint="eastAsia"/>
        </w:rPr>
        <w:t xml:space="preserve">不作直接受益板块判断。能源、航运和全球风险偏好仅可作为地缘情景观察，不作单向交易结论。</w:t>
      </w:r>
    </w:p>
    <w:p>
      <w:pPr>
        <w:pStyle w:val="Compact"/>
        <w:numPr>
          <w:ilvl w:val="0"/>
          <w:numId w:val="1014"/>
        </w:numPr>
      </w:pPr>
      <w:r>
        <w:rPr>
          <w:rFonts w:hint="eastAsia"/>
          <w:b/>
          <w:bCs/>
        </w:rPr>
        <w:t xml:space="preserve">边界或风险：</w:t>
      </w:r>
      <w:r>
        <w:t xml:space="preserve"> </w:t>
      </w:r>
      <w:r>
        <w:rPr>
          <w:rFonts w:hint="eastAsia"/>
        </w:rPr>
        <w:t xml:space="preserve">原文没有显示以色列对外政策、地区冲突或能源供给已经变化；初步计票、媒体报道和调查要求均不能当作最终政治结果。</w:t>
      </w:r>
    </w:p>
    <w:bookmarkEnd w:id="25"/>
    <w:bookmarkStart w:id="26" w:name="单元十五联播快讯美媒称美副总统致信伊朗高官欲重启谈判"/>
    <w:p>
      <w:pPr>
        <w:pStyle w:val="Heading3"/>
      </w:pPr>
      <w:r>
        <w:rPr>
          <w:rFonts w:hint="eastAsia"/>
        </w:rPr>
        <w:t xml:space="preserve">单元十五｜联播快讯：美媒称美副总统致信伊朗高官欲重启谈判</w:t>
      </w:r>
    </w:p>
    <w:p>
      <w:pPr>
        <w:pStyle w:val="Compact"/>
        <w:numPr>
          <w:ilvl w:val="0"/>
          <w:numId w:val="1015"/>
        </w:numPr>
      </w:pPr>
      <w:r>
        <w:rPr>
          <w:rFonts w:hint="eastAsia"/>
          <w:b/>
          <w:bCs/>
        </w:rPr>
        <w:t xml:space="preserve">信号强度：★★★☆☆</w:t>
      </w:r>
    </w:p>
    <w:p>
      <w:pPr>
        <w:pStyle w:val="Compact"/>
        <w:numPr>
          <w:ilvl w:val="0"/>
          <w:numId w:val="1015"/>
        </w:numPr>
      </w:pPr>
      <w:r>
        <w:rPr>
          <w:rFonts w:hint="eastAsia"/>
          <w:b/>
          <w:bCs/>
        </w:rPr>
        <w:t xml:space="preserve">A股影响/时效：中性、事件性波动风险较高；短期关注美伊沟通、军事风险与霍尔木兹海峡通行。</w:t>
      </w:r>
    </w:p>
    <w:p>
      <w:pPr>
        <w:pStyle w:val="Compact"/>
        <w:numPr>
          <w:ilvl w:val="0"/>
          <w:numId w:val="1015"/>
        </w:numPr>
      </w:pPr>
      <w:r>
        <w:rPr>
          <w:rFonts w:hint="eastAsia"/>
          <w:b/>
          <w:bCs/>
        </w:rPr>
        <w:t xml:space="preserve">原文事实：</w:t>
      </w:r>
      <w:r>
        <w:t xml:space="preserve"> </w:t>
      </w:r>
      <w:r>
        <w:rPr>
          <w:rFonts w:hint="eastAsia"/>
        </w:rPr>
        <w:t xml:space="preserve">据美国媒体28日报道，美国副总统万斯致信伊朗最高国家安全委员会秘书雷扎伊，试图重启谈判，以探寻避免美国未来几周再次对伊朗发动打击的可能；美国媒体此前还报道称，美军已准备新一轮大规模打击，特朗普可能在11月美国中期选举后下达行动指令。伊朗外长阿拉格齐表示，伊朗未放弃外交途径，正与调解方讨论如何在不到一周内执行开放霍尔木兹海峡的“七日计划”。</w:t>
      </w:r>
    </w:p>
    <w:p>
      <w:pPr>
        <w:pStyle w:val="Compact"/>
        <w:numPr>
          <w:ilvl w:val="0"/>
          <w:numId w:val="1015"/>
        </w:numPr>
      </w:pPr>
      <w:r>
        <w:rPr>
          <w:rFonts w:hint="eastAsia"/>
          <w:b/>
          <w:bCs/>
        </w:rPr>
        <w:t xml:space="preserve">通俗解读/政策信号：</w:t>
      </w:r>
      <w:r>
        <w:t xml:space="preserve"> </w:t>
      </w:r>
      <w:r>
        <w:rPr>
          <w:rFonts w:hint="eastAsia"/>
        </w:rPr>
        <w:t xml:space="preserve">该条同时包含外交试探与军事风险，两种方向尚未收敛；伊朗关于外交和海峡计划的表态提供缓和线索，但不足以证明谈判已经正式重启或风险解除。</w:t>
      </w:r>
    </w:p>
    <w:p>
      <w:pPr>
        <w:pStyle w:val="Compact"/>
        <w:numPr>
          <w:ilvl w:val="0"/>
          <w:numId w:val="1015"/>
        </w:numPr>
      </w:pPr>
      <w:r>
        <w:rPr>
          <w:rFonts w:hint="eastAsia"/>
          <w:b/>
          <w:bCs/>
        </w:rPr>
        <w:t xml:space="preserve">板块方向（分析推断）：</w:t>
      </w:r>
      <w:r>
        <w:t xml:space="preserve"> </w:t>
      </w:r>
      <w:r>
        <w:rPr>
          <w:rFonts w:hint="eastAsia"/>
        </w:rPr>
        <w:t xml:space="preserve">原油、油气、航运、航空、化工及国际物流属于风险情景敏感方向；影响可能双向，取决于谈判、军事行动与海峡通行的实际进展。</w:t>
      </w:r>
    </w:p>
    <w:p>
      <w:pPr>
        <w:pStyle w:val="Compact"/>
        <w:numPr>
          <w:ilvl w:val="0"/>
          <w:numId w:val="1015"/>
        </w:numPr>
      </w:pPr>
      <w:r>
        <w:rPr>
          <w:rFonts w:hint="eastAsia"/>
          <w:b/>
          <w:bCs/>
        </w:rPr>
        <w:t xml:space="preserve">边界或风险：</w:t>
      </w:r>
      <w:r>
        <w:t xml:space="preserve"> </w:t>
      </w:r>
      <w:r>
        <w:rPr>
          <w:rFonts w:hint="eastAsia"/>
        </w:rPr>
        <w:t xml:space="preserve">多项信息来自媒体报道或当事方表态，不是已发生的军事或谈判结果；原文没有油价、运价、供给缺口或中国企业敞口，不能据此预测相关板块涨跌。</w:t>
      </w:r>
    </w:p>
    <w:bookmarkEnd w:id="26"/>
    <w:bookmarkStart w:id="27" w:name="单元十六联播快讯俄称不打算邀请欧洲参加俄美乌会谈"/>
    <w:p>
      <w:pPr>
        <w:pStyle w:val="Heading3"/>
      </w:pPr>
      <w:r>
        <w:rPr>
          <w:rFonts w:hint="eastAsia"/>
        </w:rPr>
        <w:t xml:space="preserve">单元十六｜联播快讯：俄称不打算邀请欧洲参加俄美乌会谈</w:t>
      </w:r>
    </w:p>
    <w:p>
      <w:pPr>
        <w:pStyle w:val="Compact"/>
        <w:numPr>
          <w:ilvl w:val="0"/>
          <w:numId w:val="1016"/>
        </w:numPr>
      </w:pPr>
      <w:r>
        <w:rPr>
          <w:rFonts w:hint="eastAsia"/>
          <w:b/>
          <w:bCs/>
        </w:rPr>
        <w:t xml:space="preserve">信号强度：★★☆☆☆</w:t>
      </w:r>
    </w:p>
    <w:p>
      <w:pPr>
        <w:pStyle w:val="Compact"/>
        <w:numPr>
          <w:ilvl w:val="0"/>
          <w:numId w:val="1016"/>
        </w:numPr>
      </w:pPr>
      <w:r>
        <w:rPr>
          <w:rFonts w:hint="eastAsia"/>
          <w:b/>
          <w:bCs/>
        </w:rPr>
        <w:t xml:space="preserve">A股影响/时效：中性、弱相关；短期地缘政治观察。</w:t>
      </w:r>
    </w:p>
    <w:p>
      <w:pPr>
        <w:pStyle w:val="Compact"/>
        <w:numPr>
          <w:ilvl w:val="0"/>
          <w:numId w:val="1016"/>
        </w:numPr>
      </w:pPr>
      <w:r>
        <w:rPr>
          <w:rFonts w:hint="eastAsia"/>
          <w:b/>
          <w:bCs/>
        </w:rPr>
        <w:t xml:space="preserve">原文事实：</w:t>
      </w:r>
      <w:r>
        <w:t xml:space="preserve"> </w:t>
      </w:r>
      <w:r>
        <w:rPr>
          <w:rFonts w:hint="eastAsia"/>
        </w:rPr>
        <w:t xml:space="preserve">俄罗斯总统助理乌沙科夫表示，俄方不打算邀请欧洲参加将在阿联酋阿布扎比举行的俄美乌三方会谈；会谈将在11月4日之后举行，确切日期将很快公布。泽连斯基表示，其与荷兰首相耶滕沟通了会谈事宜，包括保障欧洲各方立场得到充分考量。</w:t>
      </w:r>
    </w:p>
    <w:p>
      <w:pPr>
        <w:pStyle w:val="Compact"/>
        <w:numPr>
          <w:ilvl w:val="0"/>
          <w:numId w:val="1016"/>
        </w:numPr>
      </w:pPr>
      <w:r>
        <w:rPr>
          <w:rFonts w:hint="eastAsia"/>
          <w:b/>
          <w:bCs/>
        </w:rPr>
        <w:t xml:space="preserve">通俗解读/政策信号：</w:t>
      </w:r>
      <w:r>
        <w:t xml:space="preserve"> </w:t>
      </w:r>
      <w:r>
        <w:rPr>
          <w:rFonts w:hint="eastAsia"/>
        </w:rPr>
        <w:t xml:space="preserve">会谈安排说明外交沟通仍在推进，但欧洲是否参与和立场如何体现存在分歧，且具体日期尚未确定。</w:t>
      </w:r>
    </w:p>
    <w:p>
      <w:pPr>
        <w:pStyle w:val="Compact"/>
        <w:numPr>
          <w:ilvl w:val="0"/>
          <w:numId w:val="1016"/>
        </w:numPr>
      </w:pPr>
      <w:r>
        <w:rPr>
          <w:rFonts w:hint="eastAsia"/>
          <w:b/>
          <w:bCs/>
        </w:rPr>
        <w:t xml:space="preserve">板块方向（分析推断）：</w:t>
      </w:r>
      <w:r>
        <w:t xml:space="preserve"> </w:t>
      </w:r>
      <w:r>
        <w:rPr>
          <w:rFonts w:hint="eastAsia"/>
        </w:rPr>
        <w:t xml:space="preserve">能源、粮食、航运及全球风险偏好仅作情景观察；没有足够事实支持单向利好或利空判断。</w:t>
      </w:r>
    </w:p>
    <w:p>
      <w:pPr>
        <w:pStyle w:val="Compact"/>
        <w:numPr>
          <w:ilvl w:val="0"/>
          <w:numId w:val="1016"/>
        </w:numPr>
      </w:pPr>
      <w:r>
        <w:rPr>
          <w:rFonts w:hint="eastAsia"/>
          <w:b/>
          <w:bCs/>
        </w:rPr>
        <w:t xml:space="preserve">边界或风险：</w:t>
      </w:r>
      <w:r>
        <w:t xml:space="preserve"> </w:t>
      </w:r>
      <w:r>
        <w:rPr>
          <w:rFonts w:hint="eastAsia"/>
        </w:rPr>
        <w:t xml:space="preserve">会谈尚未举行，一次会谈安排不等于冲突、制裁或贸易环境发生实质变化；不能据此预判商品价格和A股走势。</w:t>
      </w:r>
    </w:p>
    <w:bookmarkEnd w:id="27"/>
    <w:bookmarkStart w:id="28" w:name="单元十七联播快讯电脑故障及错误指令导致西班牙列车相撞"/>
    <w:p>
      <w:pPr>
        <w:pStyle w:val="Heading3"/>
      </w:pPr>
      <w:r>
        <w:rPr>
          <w:rFonts w:hint="eastAsia"/>
        </w:rPr>
        <w:t xml:space="preserve">单元十七｜联播快讯：电脑故障及错误指令导致西班牙列车相撞</w:t>
      </w:r>
    </w:p>
    <w:p>
      <w:pPr>
        <w:pStyle w:val="Compact"/>
        <w:numPr>
          <w:ilvl w:val="0"/>
          <w:numId w:val="1017"/>
        </w:numPr>
      </w:pPr>
      <w:r>
        <w:rPr>
          <w:rFonts w:hint="eastAsia"/>
          <w:b/>
          <w:bCs/>
        </w:rPr>
        <w:t xml:space="preserve">信号强度：★★☆☆☆</w:t>
      </w:r>
    </w:p>
    <w:p>
      <w:pPr>
        <w:pStyle w:val="Compact"/>
        <w:numPr>
          <w:ilvl w:val="0"/>
          <w:numId w:val="1017"/>
        </w:numPr>
      </w:pPr>
      <w:r>
        <w:rPr>
          <w:rFonts w:hint="eastAsia"/>
          <w:b/>
          <w:bCs/>
        </w:rPr>
        <w:t xml:space="preserve">A股影响/时效：中性、弱相关；短期公共安全事件。</w:t>
      </w:r>
    </w:p>
    <w:p>
      <w:pPr>
        <w:pStyle w:val="Compact"/>
        <w:numPr>
          <w:ilvl w:val="0"/>
          <w:numId w:val="1017"/>
        </w:numPr>
      </w:pPr>
      <w:r>
        <w:rPr>
          <w:rFonts w:hint="eastAsia"/>
          <w:b/>
          <w:bCs/>
        </w:rPr>
        <w:t xml:space="preserve">原文事实：</w:t>
      </w:r>
      <w:r>
        <w:t xml:space="preserve"> </w:t>
      </w:r>
      <w:r>
        <w:rPr>
          <w:rFonts w:hint="eastAsia"/>
        </w:rPr>
        <w:t xml:space="preserve">西班牙卡斯蒂利亚-拉曼查自治区主席表示，托莱多附近高速铁路列车相撞事故已造成68人死亡、数十人受伤，两列事故列车载有500多人，搜救仍在进行。西班牙交通大臣表示，电脑故障导致事发路段安全控制系统瘫痪、列车停运，控制中心工作人员又在系统未正常运转时发出恢复运行的错误指令，最终导致事故。</w:t>
      </w:r>
    </w:p>
    <w:p>
      <w:pPr>
        <w:pStyle w:val="Compact"/>
        <w:numPr>
          <w:ilvl w:val="0"/>
          <w:numId w:val="1017"/>
        </w:numPr>
      </w:pPr>
      <w:r>
        <w:rPr>
          <w:rFonts w:hint="eastAsia"/>
          <w:b/>
          <w:bCs/>
        </w:rPr>
        <w:t xml:space="preserve">通俗解读/政策信号：</w:t>
      </w:r>
      <w:r>
        <w:t xml:space="preserve"> </w:t>
      </w:r>
      <w:r>
        <w:rPr>
          <w:rFonts w:hint="eastAsia"/>
        </w:rPr>
        <w:t xml:space="preserve">该条更新了伤亡和西班牙交通主管部门对事故原因的说明，核心是公共交通安全、控制系统可靠性和人工指令管理，不是中国轨交产业政策。</w:t>
      </w:r>
    </w:p>
    <w:p>
      <w:pPr>
        <w:pStyle w:val="Compact"/>
        <w:numPr>
          <w:ilvl w:val="0"/>
          <w:numId w:val="1017"/>
        </w:numPr>
      </w:pPr>
      <w:r>
        <w:rPr>
          <w:rFonts w:hint="eastAsia"/>
          <w:b/>
          <w:bCs/>
        </w:rPr>
        <w:t xml:space="preserve">板块方向（分析推断）：</w:t>
      </w:r>
      <w:r>
        <w:t xml:space="preserve"> </w:t>
      </w:r>
      <w:r>
        <w:rPr>
          <w:rFonts w:hint="eastAsia"/>
        </w:rPr>
        <w:t xml:space="preserve">无直接A股板块方向。轨道交通安全控制、运维和冗余机制只能作为一般性风险管理议题，不能据此认定国内采购需求变化。</w:t>
      </w:r>
    </w:p>
    <w:p>
      <w:pPr>
        <w:pStyle w:val="Compact"/>
        <w:numPr>
          <w:ilvl w:val="0"/>
          <w:numId w:val="1017"/>
        </w:numPr>
      </w:pPr>
      <w:r>
        <w:rPr>
          <w:rFonts w:hint="eastAsia"/>
          <w:b/>
          <w:bCs/>
        </w:rPr>
        <w:t xml:space="preserve">边界或风险：</w:t>
      </w:r>
      <w:r>
        <w:t xml:space="preserve"> </w:t>
      </w:r>
      <w:r>
        <w:rPr>
          <w:rFonts w:hint="eastAsia"/>
        </w:rPr>
        <w:t xml:space="preserve">重大伤亡事件不应交易化；海外事故原因也不能直接外推到国内技术标准、企业责任或订单。原文未提供最终司法或完整调查报告，仍需尊重后续调查。</w:t>
      </w:r>
    </w:p>
    <w:bookmarkEnd w:id="28"/>
    <w:bookmarkEnd w:id="29"/>
    <w:bookmarkStart w:id="30" w:name="核心信号"/>
    <w:p>
      <w:pPr>
        <w:pStyle w:val="Heading2"/>
      </w:pPr>
      <w:r>
        <w:rPr>
          <w:rFonts w:hint="eastAsia"/>
        </w:rPr>
        <w:t xml:space="preserve">核心信号</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优先级</w:t>
            </w:r>
          </w:p>
        </w:tc>
        <w:tc>
          <w:tcPr/>
          <w:p>
            <w:pPr>
              <w:pStyle w:val="Compact"/>
            </w:pPr>
            <w:r>
              <w:rPr>
                <w:rFonts w:hint="eastAsia"/>
              </w:rPr>
              <w:t xml:space="preserve">信号强度</w:t>
            </w:r>
          </w:p>
        </w:tc>
        <w:tc>
          <w:tcPr/>
          <w:p>
            <w:pPr>
              <w:pStyle w:val="Compact"/>
            </w:pPr>
            <w:r>
              <w:rPr>
                <w:rFonts w:hint="eastAsia"/>
              </w:rPr>
              <w:t xml:space="preserve">原文锚点</w:t>
            </w:r>
          </w:p>
        </w:tc>
        <w:tc>
          <w:tcPr/>
          <w:p>
            <w:pPr>
              <w:pStyle w:val="Compact"/>
            </w:pPr>
            <w:r>
              <w:rPr>
                <w:rFonts w:hint="eastAsia"/>
              </w:rPr>
              <w:t xml:space="preserve">A股解读（分析推断）</w:t>
            </w:r>
          </w:p>
        </w:tc>
      </w:tr>
      <w:tr>
        <w:tc>
          <w:tcPr/>
          <w:p>
            <w:pPr>
              <w:pStyle w:val="Compact"/>
            </w:pPr>
            <w:r>
              <w:rPr>
                <w:rFonts w:hint="eastAsia"/>
              </w:rPr>
              <w:t xml:space="preserve">第一</w:t>
            </w:r>
          </w:p>
        </w:tc>
        <w:tc>
          <w:tcPr/>
          <w:p>
            <w:pPr>
              <w:pStyle w:val="Compact"/>
            </w:pPr>
            <w:r>
              <w:t xml:space="preserve">★★★★★</w:t>
            </w:r>
          </w:p>
        </w:tc>
        <w:tc>
          <w:tcPr/>
          <w:p>
            <w:pPr>
              <w:pStyle w:val="Compact"/>
            </w:pPr>
            <w:r>
              <w:rPr>
                <w:rFonts w:hint="eastAsia"/>
              </w:rPr>
              <w:t xml:space="preserve">五中全会通过全面从严治党《决定》，并要求用好用足宏观政策、挖掘内需潜力、完成全年目标</w:t>
            </w:r>
          </w:p>
        </w:tc>
        <w:tc>
          <w:tcPr/>
          <w:p>
            <w:pPr>
              <w:pStyle w:val="Compact"/>
            </w:pPr>
            <w:r>
              <w:rPr>
                <w:rFonts w:hint="eastAsia"/>
              </w:rPr>
              <w:t xml:space="preserve">治理体系与政策执行约束进一步强化；对市场更直接的是岁末稳增长、内需和民生任务，但仍需等待具体工具</w:t>
            </w:r>
          </w:p>
        </w:tc>
      </w:tr>
      <w:tr>
        <w:tc>
          <w:tcPr/>
          <w:p>
            <w:pPr>
              <w:pStyle w:val="Compact"/>
            </w:pPr>
            <w:r>
              <w:rPr>
                <w:rFonts w:hint="eastAsia"/>
              </w:rPr>
              <w:t xml:space="preserve">第二</w:t>
            </w:r>
          </w:p>
        </w:tc>
        <w:tc>
          <w:tcPr/>
          <w:p>
            <w:pPr>
              <w:pStyle w:val="Compact"/>
            </w:pPr>
            <w:r>
              <w:t xml:space="preserve">★★★★★</w:t>
            </w:r>
          </w:p>
        </w:tc>
        <w:tc>
          <w:tcPr/>
          <w:p>
            <w:pPr>
              <w:pStyle w:val="Compact"/>
            </w:pPr>
            <w:r>
              <w:rPr>
                <w:rFonts w:hint="eastAsia"/>
              </w:rPr>
              <w:t xml:space="preserve">8000亿元新型政策性金融工具全部投放，主要支持人工智能、数字经济、绿色低碳和消费项目</w:t>
            </w:r>
          </w:p>
        </w:tc>
        <w:tc>
          <w:tcPr/>
          <w:p>
            <w:pPr>
              <w:pStyle w:val="Compact"/>
            </w:pPr>
            <w:r>
              <w:rPr>
                <w:rFonts w:hint="eastAsia"/>
              </w:rPr>
              <w:t xml:space="preserve">政策资金进入落位阶段，上述四类项目是最清晰的政策资金观察方向，后续验证点是开工、采购和实物工作量</w:t>
            </w:r>
          </w:p>
        </w:tc>
      </w:tr>
      <w:tr>
        <w:tc>
          <w:tcPr/>
          <w:p>
            <w:pPr>
              <w:pStyle w:val="Compact"/>
            </w:pPr>
            <w:r>
              <w:rPr>
                <w:rFonts w:hint="eastAsia"/>
              </w:rPr>
              <w:t xml:space="preserve">第三</w:t>
            </w:r>
          </w:p>
        </w:tc>
        <w:tc>
          <w:tcPr/>
          <w:p>
            <w:pPr>
              <w:pStyle w:val="Compact"/>
            </w:pPr>
            <w:r>
              <w:t xml:space="preserve">★★★★☆</w:t>
            </w:r>
          </w:p>
        </w:tc>
        <w:tc>
          <w:tcPr/>
          <w:p>
            <w:pPr>
              <w:pStyle w:val="Compact"/>
            </w:pPr>
            <w:r>
              <w:rPr>
                <w:rFonts w:hint="eastAsia"/>
              </w:rPr>
              <w:t xml:space="preserve">科技型中小企业贷款余额4.27万亿元、同比增长20.1%，明显高于各项贷款增速</w:t>
            </w:r>
          </w:p>
        </w:tc>
        <w:tc>
          <w:tcPr/>
          <w:p>
            <w:pPr>
              <w:pStyle w:val="Compact"/>
            </w:pPr>
            <w:r>
              <w:rPr>
                <w:rFonts w:hint="eastAsia"/>
              </w:rPr>
              <w:t xml:space="preserve">科技创新与普惠小微融资可得性增强，利好首先体现在融资约束缓解，盈利仍需经营数据验证</w:t>
            </w:r>
          </w:p>
        </w:tc>
      </w:tr>
      <w:tr>
        <w:tc>
          <w:tcPr/>
          <w:p>
            <w:pPr>
              <w:pStyle w:val="Compact"/>
            </w:pPr>
            <w:r>
              <w:rPr>
                <w:rFonts w:hint="eastAsia"/>
              </w:rPr>
              <w:t xml:space="preserve">第四</w:t>
            </w:r>
          </w:p>
        </w:tc>
        <w:tc>
          <w:tcPr/>
          <w:p>
            <w:pPr>
              <w:pStyle w:val="Compact"/>
            </w:pPr>
            <w:r>
              <w:t xml:space="preserve">★★★★☆</w:t>
            </w:r>
          </w:p>
        </w:tc>
        <w:tc>
          <w:tcPr/>
          <w:p>
            <w:pPr>
              <w:pStyle w:val="Compact"/>
            </w:pPr>
            <w:r>
              <w:rPr>
                <w:rFonts w:hint="eastAsia"/>
              </w:rPr>
              <w:t xml:space="preserve">以旧换新带动销售额超2万亿元，补贴手机、平板销量同比增长44.8%，线下门店超73.6万家</w:t>
            </w:r>
          </w:p>
        </w:tc>
        <w:tc>
          <w:tcPr/>
          <w:p>
            <w:pPr>
              <w:pStyle w:val="Compact"/>
            </w:pPr>
            <w:r>
              <w:rPr>
                <w:rFonts w:hint="eastAsia"/>
              </w:rPr>
              <w:t xml:space="preserve">消费电子、通讯器材零售和线下渠道具备政策与数据支撑，但需警惕需求前置和利润转化不确定</w:t>
            </w:r>
          </w:p>
        </w:tc>
      </w:tr>
      <w:tr>
        <w:tc>
          <w:tcPr/>
          <w:p>
            <w:pPr>
              <w:pStyle w:val="Compact"/>
            </w:pPr>
            <w:r>
              <w:rPr>
                <w:rFonts w:hint="eastAsia"/>
              </w:rPr>
              <w:t xml:space="preserve">第五</w:t>
            </w:r>
          </w:p>
        </w:tc>
        <w:tc>
          <w:tcPr/>
          <w:p>
            <w:pPr>
              <w:pStyle w:val="Compact"/>
            </w:pPr>
            <w:r>
              <w:t xml:space="preserve">★★★★☆</w:t>
            </w:r>
          </w:p>
        </w:tc>
        <w:tc>
          <w:tcPr/>
          <w:p>
            <w:pPr>
              <w:pStyle w:val="Compact"/>
            </w:pPr>
            <w:r>
              <w:rPr>
                <w:rFonts w:hint="eastAsia"/>
              </w:rPr>
              <w:t xml:space="preserve">大湾区内地9市对APEC经济体进出口5.58万亿元、同比增长26.7%，高端制造和绿色产品是主力</w:t>
            </w:r>
          </w:p>
        </w:tc>
        <w:tc>
          <w:tcPr/>
          <w:p>
            <w:pPr>
              <w:pStyle w:val="Compact"/>
            </w:pPr>
            <w:r>
              <w:rPr>
                <w:rFonts w:hint="eastAsia"/>
              </w:rPr>
              <w:t xml:space="preserve">机电、集成电路、高端制造、绿色产品与跨境物流形成外贸结构性线索，企业受益存在明显分化</w:t>
            </w:r>
          </w:p>
        </w:tc>
      </w:tr>
      <w:tr>
        <w:tc>
          <w:tcPr/>
          <w:p>
            <w:pPr>
              <w:pStyle w:val="Compact"/>
            </w:pPr>
            <w:r>
              <w:rPr>
                <w:rFonts w:hint="eastAsia"/>
              </w:rPr>
              <w:t xml:space="preserve">第六</w:t>
            </w:r>
          </w:p>
        </w:tc>
        <w:tc>
          <w:tcPr/>
          <w:p>
            <w:pPr>
              <w:pStyle w:val="Compact"/>
            </w:pPr>
            <w:r>
              <w:t xml:space="preserve">★★★★☆</w:t>
            </w:r>
          </w:p>
        </w:tc>
        <w:tc>
          <w:tcPr/>
          <w:p>
            <w:pPr>
              <w:pStyle w:val="Compact"/>
            </w:pPr>
            <w:r>
              <w:rPr>
                <w:rFonts w:hint="eastAsia"/>
              </w:rPr>
              <w:t xml:space="preserve">两部门推广6类15项以上中医适宜技术至县域基层医疗卫生机构</w:t>
            </w:r>
          </w:p>
        </w:tc>
        <w:tc>
          <w:tcPr/>
          <w:p>
            <w:pPr>
              <w:pStyle w:val="Compact"/>
            </w:pPr>
            <w:r>
              <w:rPr>
                <w:rFonts w:hint="eastAsia"/>
              </w:rPr>
              <w:t xml:space="preserve">基层中医服务的标准化与可及性提升具备中长期方向性，资金、支付与采购安排尚待明确</w:t>
            </w:r>
          </w:p>
        </w:tc>
      </w:tr>
    </w:tbl>
    <w:bookmarkEnd w:id="30"/>
    <w:bookmarkStart w:id="31" w:name="板块影响汇总"/>
    <w:p>
      <w:pPr>
        <w:pStyle w:val="Heading2"/>
      </w:pPr>
      <w:r>
        <w:rPr>
          <w:rFonts w:hint="eastAsia"/>
        </w:rPr>
        <w:t xml:space="preserve">板块影响汇总</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板块/方向</w:t>
            </w:r>
          </w:p>
        </w:tc>
        <w:tc>
          <w:tcPr/>
          <w:p>
            <w:pPr>
              <w:pStyle w:val="Compact"/>
            </w:pPr>
            <w:r>
              <w:rPr>
                <w:rFonts w:hint="eastAsia"/>
              </w:rPr>
              <w:t xml:space="preserve">影响判断</w:t>
            </w:r>
          </w:p>
        </w:tc>
        <w:tc>
          <w:tcPr/>
          <w:p>
            <w:pPr>
              <w:pStyle w:val="Compact"/>
            </w:pPr>
            <w:r>
              <w:rPr>
                <w:rFonts w:hint="eastAsia"/>
              </w:rPr>
              <w:t xml:space="preserve">主要对应单元</w:t>
            </w:r>
          </w:p>
        </w:tc>
        <w:tc>
          <w:tcPr/>
          <w:p>
            <w:pPr>
              <w:pStyle w:val="Compact"/>
            </w:pPr>
            <w:r>
              <w:rPr>
                <w:rFonts w:hint="eastAsia"/>
              </w:rPr>
              <w:t xml:space="preserve">时效</w:t>
            </w:r>
          </w:p>
        </w:tc>
        <w:tc>
          <w:tcPr/>
          <w:p>
            <w:pPr>
              <w:pStyle w:val="Compact"/>
            </w:pPr>
            <w:r>
              <w:rPr>
                <w:rFonts w:hint="eastAsia"/>
              </w:rPr>
              <w:t xml:space="preserve">关键边界</w:t>
            </w:r>
          </w:p>
        </w:tc>
      </w:tr>
      <w:tr>
        <w:tc>
          <w:tcPr/>
          <w:p>
            <w:pPr>
              <w:pStyle w:val="Compact"/>
            </w:pPr>
            <w:r>
              <w:rPr>
                <w:rFonts w:hint="eastAsia"/>
              </w:rPr>
              <w:t xml:space="preserve">人工智能项目、数字经济项目</w:t>
            </w:r>
          </w:p>
        </w:tc>
        <w:tc>
          <w:tcPr/>
          <w:p>
            <w:pPr>
              <w:pStyle w:val="Compact"/>
            </w:pPr>
            <w:r>
              <w:rPr>
                <w:rFonts w:hint="eastAsia"/>
              </w:rPr>
              <w:t xml:space="preserve">结构性偏正面</w:t>
            </w:r>
          </w:p>
        </w:tc>
        <w:tc>
          <w:tcPr/>
          <w:p>
            <w:pPr>
              <w:pStyle w:val="Compact"/>
            </w:pPr>
            <w:r>
              <w:rPr>
                <w:rFonts w:hint="eastAsia"/>
              </w:rPr>
              <w:t xml:space="preserve">单元八</w:t>
            </w:r>
          </w:p>
        </w:tc>
        <w:tc>
          <w:tcPr/>
          <w:p>
            <w:pPr>
              <w:pStyle w:val="Compact"/>
            </w:pPr>
            <w:r>
              <w:rPr>
                <w:rFonts w:hint="eastAsia"/>
              </w:rPr>
              <w:t xml:space="preserve">短中期至长期</w:t>
            </w:r>
          </w:p>
        </w:tc>
        <w:tc>
          <w:tcPr/>
          <w:p>
            <w:pPr>
              <w:pStyle w:val="Compact"/>
            </w:pPr>
            <w:r>
              <w:rPr>
                <w:rFonts w:hint="eastAsia"/>
              </w:rPr>
              <w:t xml:space="preserve">金融工具投放不等于项目开工、设备采购或收入确认</w:t>
            </w:r>
          </w:p>
        </w:tc>
      </w:tr>
      <w:tr>
        <w:tc>
          <w:tcPr/>
          <w:p>
            <w:pPr>
              <w:pStyle w:val="Compact"/>
            </w:pPr>
            <w:r>
              <w:rPr>
                <w:rFonts w:hint="eastAsia"/>
              </w:rPr>
              <w:t xml:space="preserve">绿色低碳项目、绿色金融</w:t>
            </w:r>
          </w:p>
        </w:tc>
        <w:tc>
          <w:tcPr/>
          <w:p>
            <w:pPr>
              <w:pStyle w:val="Compact"/>
            </w:pPr>
            <w:r>
              <w:rPr>
                <w:rFonts w:hint="eastAsia"/>
              </w:rPr>
              <w:t xml:space="preserve">中长期偏正面</w:t>
            </w:r>
          </w:p>
        </w:tc>
        <w:tc>
          <w:tcPr/>
          <w:p>
            <w:pPr>
              <w:pStyle w:val="Compact"/>
            </w:pPr>
            <w:r>
              <w:rPr>
                <w:rFonts w:hint="eastAsia"/>
              </w:rPr>
              <w:t xml:space="preserve">单元六、八、九</w:t>
            </w:r>
          </w:p>
        </w:tc>
        <w:tc>
          <w:tcPr/>
          <w:p>
            <w:pPr>
              <w:pStyle w:val="Compact"/>
            </w:pPr>
            <w:r>
              <w:rPr>
                <w:rFonts w:hint="eastAsia"/>
              </w:rPr>
              <w:t xml:space="preserve">中长期</w:t>
            </w:r>
          </w:p>
        </w:tc>
        <w:tc>
          <w:tcPr/>
          <w:p>
            <w:pPr>
              <w:pStyle w:val="Compact"/>
            </w:pPr>
            <w:r>
              <w:rPr>
                <w:rFonts w:hint="eastAsia"/>
              </w:rPr>
              <w:t xml:space="preserve">需等待项目清单、资金使用和盈利模式</w:t>
            </w:r>
          </w:p>
        </w:tc>
      </w:tr>
      <w:tr>
        <w:tc>
          <w:tcPr/>
          <w:p>
            <w:pPr>
              <w:pStyle w:val="Compact"/>
            </w:pPr>
            <w:r>
              <w:rPr>
                <w:rFonts w:hint="eastAsia"/>
              </w:rPr>
              <w:t xml:space="preserve">消费项目、消费电子、通讯器材零售</w:t>
            </w:r>
          </w:p>
        </w:tc>
        <w:tc>
          <w:tcPr/>
          <w:p>
            <w:pPr>
              <w:pStyle w:val="Compact"/>
            </w:pPr>
            <w:r>
              <w:rPr>
                <w:rFonts w:hint="eastAsia"/>
              </w:rPr>
              <w:t xml:space="preserve">偏正面但可能分化</w:t>
            </w:r>
          </w:p>
        </w:tc>
        <w:tc>
          <w:tcPr/>
          <w:p>
            <w:pPr>
              <w:pStyle w:val="Compact"/>
            </w:pPr>
            <w:r>
              <w:rPr>
                <w:rFonts w:hint="eastAsia"/>
              </w:rPr>
              <w:t xml:space="preserve">单元七、八</w:t>
            </w:r>
          </w:p>
        </w:tc>
        <w:tc>
          <w:tcPr/>
          <w:p>
            <w:pPr>
              <w:pStyle w:val="Compact"/>
            </w:pPr>
            <w:r>
              <w:rPr>
                <w:rFonts w:hint="eastAsia"/>
              </w:rPr>
              <w:t xml:space="preserve">短中期</w:t>
            </w:r>
          </w:p>
        </w:tc>
        <w:tc>
          <w:tcPr/>
          <w:p>
            <w:pPr>
              <w:pStyle w:val="Compact"/>
            </w:pPr>
            <w:r>
              <w:rPr>
                <w:rFonts w:hint="eastAsia"/>
              </w:rPr>
              <w:t xml:space="preserve">累计销售额不等于新增利润，注意需求前置和渠道成本</w:t>
            </w:r>
          </w:p>
        </w:tc>
      </w:tr>
      <w:tr>
        <w:tc>
          <w:tcPr/>
          <w:p>
            <w:pPr>
              <w:pStyle w:val="Compact"/>
            </w:pPr>
            <w:r>
              <w:rPr>
                <w:rFonts w:hint="eastAsia"/>
              </w:rPr>
              <w:t xml:space="preserve">科技型中小企业、科技金融、普惠金融</w:t>
            </w:r>
          </w:p>
        </w:tc>
        <w:tc>
          <w:tcPr/>
          <w:p>
            <w:pPr>
              <w:pStyle w:val="Compact"/>
            </w:pPr>
            <w:r>
              <w:rPr>
                <w:rFonts w:hint="eastAsia"/>
              </w:rPr>
              <w:t xml:space="preserve">偏正面</w:t>
            </w:r>
          </w:p>
        </w:tc>
        <w:tc>
          <w:tcPr/>
          <w:p>
            <w:pPr>
              <w:pStyle w:val="Compact"/>
            </w:pPr>
            <w:r>
              <w:rPr>
                <w:rFonts w:hint="eastAsia"/>
              </w:rPr>
              <w:t xml:space="preserve">单元六</w:t>
            </w:r>
          </w:p>
        </w:tc>
        <w:tc>
          <w:tcPr/>
          <w:p>
            <w:pPr>
              <w:pStyle w:val="Compact"/>
            </w:pPr>
            <w:r>
              <w:rPr>
                <w:rFonts w:hint="eastAsia"/>
              </w:rPr>
              <w:t xml:space="preserve">短中期至长期</w:t>
            </w:r>
          </w:p>
        </w:tc>
        <w:tc>
          <w:tcPr/>
          <w:p>
            <w:pPr>
              <w:pStyle w:val="Compact"/>
            </w:pPr>
            <w:r>
              <w:rPr>
                <w:rFonts w:hint="eastAsia"/>
              </w:rPr>
              <w:t xml:space="preserve">贷款增量与利率、风险成本、订单和盈利需分开评估</w:t>
            </w:r>
          </w:p>
        </w:tc>
      </w:tr>
      <w:tr>
        <w:tc>
          <w:tcPr/>
          <w:p>
            <w:pPr>
              <w:pStyle w:val="Compact"/>
            </w:pPr>
            <w:r>
              <w:rPr>
                <w:rFonts w:hint="eastAsia"/>
              </w:rPr>
              <w:t xml:space="preserve">机电设备、集成电路、高端制造、绿色产品</w:t>
            </w:r>
          </w:p>
        </w:tc>
        <w:tc>
          <w:tcPr/>
          <w:p>
            <w:pPr>
              <w:pStyle w:val="Compact"/>
            </w:pPr>
            <w:r>
              <w:rPr>
                <w:rFonts w:hint="eastAsia"/>
              </w:rPr>
              <w:t xml:space="preserve">结构性偏正面</w:t>
            </w:r>
          </w:p>
        </w:tc>
        <w:tc>
          <w:tcPr/>
          <w:p>
            <w:pPr>
              <w:pStyle w:val="Compact"/>
            </w:pPr>
            <w:r>
              <w:rPr>
                <w:rFonts w:hint="eastAsia"/>
              </w:rPr>
              <w:t xml:space="preserve">单元九</w:t>
            </w:r>
          </w:p>
        </w:tc>
        <w:tc>
          <w:tcPr/>
          <w:p>
            <w:pPr>
              <w:pStyle w:val="Compact"/>
            </w:pPr>
            <w:r>
              <w:rPr>
                <w:rFonts w:hint="eastAsia"/>
              </w:rPr>
              <w:t xml:space="preserve">短中期</w:t>
            </w:r>
          </w:p>
        </w:tc>
        <w:tc>
          <w:tcPr/>
          <w:p>
            <w:pPr>
              <w:pStyle w:val="Compact"/>
            </w:pPr>
            <w:r>
              <w:rPr>
                <w:rFonts w:hint="eastAsia"/>
              </w:rPr>
              <w:t xml:space="preserve">区域贸易总量不能直接外推企业份额和利润</w:t>
            </w:r>
          </w:p>
        </w:tc>
      </w:tr>
      <w:tr>
        <w:tc>
          <w:tcPr/>
          <w:p>
            <w:pPr>
              <w:pStyle w:val="Compact"/>
            </w:pPr>
            <w:r>
              <w:rPr>
                <w:rFonts w:hint="eastAsia"/>
              </w:rPr>
              <w:t xml:space="preserve">跨境物流、港口航运、外贸综合服务</w:t>
            </w:r>
          </w:p>
        </w:tc>
        <w:tc>
          <w:tcPr/>
          <w:p>
            <w:pPr>
              <w:pStyle w:val="Compact"/>
            </w:pPr>
            <w:r>
              <w:rPr>
                <w:rFonts w:hint="eastAsia"/>
              </w:rPr>
              <w:t xml:space="preserve">偏正面但有分化</w:t>
            </w:r>
          </w:p>
        </w:tc>
        <w:tc>
          <w:tcPr/>
          <w:p>
            <w:pPr>
              <w:pStyle w:val="Compact"/>
            </w:pPr>
            <w:r>
              <w:rPr>
                <w:rFonts w:hint="eastAsia"/>
              </w:rPr>
              <w:t xml:space="preserve">单元九</w:t>
            </w:r>
          </w:p>
        </w:tc>
        <w:tc>
          <w:tcPr/>
          <w:p>
            <w:pPr>
              <w:pStyle w:val="Compact"/>
            </w:pPr>
            <w:r>
              <w:rPr>
                <w:rFonts w:hint="eastAsia"/>
              </w:rPr>
              <w:t xml:space="preserve">短中期</w:t>
            </w:r>
          </w:p>
        </w:tc>
        <w:tc>
          <w:tcPr/>
          <w:p>
            <w:pPr>
              <w:pStyle w:val="Compact"/>
            </w:pPr>
            <w:r>
              <w:rPr>
                <w:rFonts w:hint="eastAsia"/>
              </w:rPr>
              <w:t xml:space="preserve">需区分进出口结构、价格、运量和国别风险</w:t>
            </w:r>
          </w:p>
        </w:tc>
      </w:tr>
      <w:tr>
        <w:tc>
          <w:tcPr/>
          <w:p>
            <w:pPr>
              <w:pStyle w:val="Compact"/>
            </w:pPr>
            <w:r>
              <w:rPr>
                <w:rFonts w:hint="eastAsia"/>
              </w:rPr>
              <w:t xml:space="preserve">水环境治理、污水处理、环境监测</w:t>
            </w:r>
          </w:p>
        </w:tc>
        <w:tc>
          <w:tcPr/>
          <w:p>
            <w:pPr>
              <w:pStyle w:val="Compact"/>
            </w:pPr>
            <w:r>
              <w:rPr>
                <w:rFonts w:hint="eastAsia"/>
              </w:rPr>
              <w:t xml:space="preserve">中性偏正面、弱催化</w:t>
            </w:r>
          </w:p>
        </w:tc>
        <w:tc>
          <w:tcPr/>
          <w:p>
            <w:pPr>
              <w:pStyle w:val="Compact"/>
            </w:pPr>
            <w:r>
              <w:rPr>
                <w:rFonts w:hint="eastAsia"/>
              </w:rPr>
              <w:t xml:space="preserve">单元十</w:t>
            </w:r>
          </w:p>
        </w:tc>
        <w:tc>
          <w:tcPr/>
          <w:p>
            <w:pPr>
              <w:pStyle w:val="Compact"/>
            </w:pPr>
            <w:r>
              <w:rPr>
                <w:rFonts w:hint="eastAsia"/>
              </w:rPr>
              <w:t xml:space="preserve">中长期</w:t>
            </w:r>
          </w:p>
        </w:tc>
        <w:tc>
          <w:tcPr/>
          <w:p>
            <w:pPr>
              <w:pStyle w:val="Compact"/>
            </w:pPr>
            <w:r>
              <w:rPr>
                <w:rFonts w:hint="eastAsia"/>
              </w:rPr>
              <w:t xml:space="preserve">水质改善是成效数据，并非新增投资计划</w:t>
            </w:r>
          </w:p>
        </w:tc>
      </w:tr>
      <w:tr>
        <w:tc>
          <w:tcPr/>
          <w:p>
            <w:pPr>
              <w:pStyle w:val="Compact"/>
            </w:pPr>
            <w:r>
              <w:rPr>
                <w:rFonts w:hint="eastAsia"/>
              </w:rPr>
              <w:t xml:space="preserve">城市轨交运营、轨交运维与设备</w:t>
            </w:r>
          </w:p>
        </w:tc>
        <w:tc>
          <w:tcPr/>
          <w:p>
            <w:pPr>
              <w:pStyle w:val="Compact"/>
            </w:pPr>
            <w:r>
              <w:rPr>
                <w:rFonts w:hint="eastAsia"/>
              </w:rPr>
              <w:t xml:space="preserve">中性偏正面、区域性</w:t>
            </w:r>
          </w:p>
        </w:tc>
        <w:tc>
          <w:tcPr/>
          <w:p>
            <w:pPr>
              <w:pStyle w:val="Compact"/>
            </w:pPr>
            <w:r>
              <w:rPr>
                <w:rFonts w:hint="eastAsia"/>
              </w:rPr>
              <w:t xml:space="preserve">单元十一</w:t>
            </w:r>
          </w:p>
        </w:tc>
        <w:tc>
          <w:tcPr/>
          <w:p>
            <w:pPr>
              <w:pStyle w:val="Compact"/>
            </w:pPr>
            <w:r>
              <w:rPr>
                <w:rFonts w:hint="eastAsia"/>
              </w:rPr>
              <w:t xml:space="preserve">短期至长期</w:t>
            </w:r>
          </w:p>
        </w:tc>
        <w:tc>
          <w:tcPr/>
          <w:p>
            <w:pPr>
              <w:pStyle w:val="Compact"/>
            </w:pPr>
            <w:r>
              <w:rPr>
                <w:rFonts w:hint="eastAsia"/>
              </w:rPr>
              <w:t xml:space="preserve">单个项目贯通不代表全国投资加速，建设期与运营期不同</w:t>
            </w:r>
          </w:p>
        </w:tc>
      </w:tr>
      <w:tr>
        <w:tc>
          <w:tcPr/>
          <w:p>
            <w:pPr>
              <w:pStyle w:val="Compact"/>
            </w:pPr>
            <w:r>
              <w:rPr>
                <w:rFonts w:hint="eastAsia"/>
              </w:rPr>
              <w:t xml:space="preserve">中医医疗服务、基层医疗、康复理疗</w:t>
            </w:r>
          </w:p>
        </w:tc>
        <w:tc>
          <w:tcPr/>
          <w:p>
            <w:pPr>
              <w:pStyle w:val="Compact"/>
            </w:pPr>
            <w:r>
              <w:rPr>
                <w:rFonts w:hint="eastAsia"/>
              </w:rPr>
              <w:t xml:space="preserve">中长期偏正面</w:t>
            </w:r>
          </w:p>
        </w:tc>
        <w:tc>
          <w:tcPr/>
          <w:p>
            <w:pPr>
              <w:pStyle w:val="Compact"/>
            </w:pPr>
            <w:r>
              <w:rPr>
                <w:rFonts w:hint="eastAsia"/>
              </w:rPr>
              <w:t xml:space="preserve">单元十二</w:t>
            </w:r>
          </w:p>
        </w:tc>
        <w:tc>
          <w:tcPr/>
          <w:p>
            <w:pPr>
              <w:pStyle w:val="Compact"/>
            </w:pPr>
            <w:r>
              <w:rPr>
                <w:rFonts w:hint="eastAsia"/>
              </w:rPr>
              <w:t xml:space="preserve">中长期</w:t>
            </w:r>
          </w:p>
        </w:tc>
        <w:tc>
          <w:tcPr/>
          <w:p>
            <w:pPr>
              <w:pStyle w:val="Compact"/>
            </w:pPr>
            <w:r>
              <w:rPr>
                <w:rFonts w:hint="eastAsia"/>
              </w:rPr>
              <w:t xml:space="preserve">财政、医保、收费、培训与采购安排尚未披露</w:t>
            </w:r>
          </w:p>
        </w:tc>
      </w:tr>
      <w:tr>
        <w:tc>
          <w:tcPr/>
          <w:p>
            <w:pPr>
              <w:pStyle w:val="Compact"/>
            </w:pPr>
            <w:r>
              <w:rPr>
                <w:rFonts w:hint="eastAsia"/>
              </w:rPr>
              <w:t xml:space="preserve">原油、油气、航运、航空、化工</w:t>
            </w:r>
          </w:p>
        </w:tc>
        <w:tc>
          <w:tcPr/>
          <w:p>
            <w:pPr>
              <w:pStyle w:val="Compact"/>
            </w:pPr>
            <w:r>
              <w:rPr>
                <w:rFonts w:hint="eastAsia"/>
              </w:rPr>
              <w:t xml:space="preserve">中性、双向风险情景</w:t>
            </w:r>
          </w:p>
        </w:tc>
        <w:tc>
          <w:tcPr/>
          <w:p>
            <w:pPr>
              <w:pStyle w:val="Compact"/>
            </w:pPr>
            <w:r>
              <w:rPr>
                <w:rFonts w:hint="eastAsia"/>
              </w:rPr>
              <w:t xml:space="preserve">单元十五、十六</w:t>
            </w:r>
          </w:p>
        </w:tc>
        <w:tc>
          <w:tcPr/>
          <w:p>
            <w:pPr>
              <w:pStyle w:val="Compact"/>
            </w:pPr>
            <w:r>
              <w:rPr>
                <w:rFonts w:hint="eastAsia"/>
              </w:rPr>
              <w:t xml:space="preserve">即时至短期</w:t>
            </w:r>
          </w:p>
        </w:tc>
        <w:tc>
          <w:tcPr/>
          <w:p>
            <w:pPr>
              <w:pStyle w:val="Compact"/>
            </w:pPr>
            <w:r>
              <w:rPr>
                <w:rFonts w:hint="eastAsia"/>
              </w:rPr>
              <w:t xml:space="preserve">美伊、海峡与俄乌信息尚未形成确定结果，不能单向押注</w:t>
            </w:r>
          </w:p>
        </w:tc>
      </w:tr>
      <w:tr>
        <w:tc>
          <w:tcPr/>
          <w:p>
            <w:pPr>
              <w:pStyle w:val="Compact"/>
            </w:pPr>
            <w:r>
              <w:rPr>
                <w:rFonts w:hint="eastAsia"/>
              </w:rPr>
              <w:t xml:space="preserve">党内治理、人事、外交慰问、海外政治及事故</w:t>
            </w:r>
          </w:p>
        </w:tc>
        <w:tc>
          <w:tcPr/>
          <w:p>
            <w:pPr>
              <w:pStyle w:val="Compact"/>
            </w:pPr>
            <w:r>
              <w:rPr>
                <w:rFonts w:hint="eastAsia"/>
              </w:rPr>
              <w:t xml:space="preserve">中性/弱相关</w:t>
            </w:r>
          </w:p>
        </w:tc>
        <w:tc>
          <w:tcPr/>
          <w:p>
            <w:pPr>
              <w:pStyle w:val="Compact"/>
            </w:pPr>
            <w:r>
              <w:rPr>
                <w:rFonts w:hint="eastAsia"/>
              </w:rPr>
              <w:t xml:space="preserve">单元一至五、十三至十七</w:t>
            </w:r>
          </w:p>
        </w:tc>
        <w:tc>
          <w:tcPr/>
          <w:p>
            <w:pPr>
              <w:pStyle w:val="Compact"/>
            </w:pPr>
            <w:r>
              <w:rPr>
                <w:rFonts w:hint="eastAsia"/>
              </w:rPr>
              <w:t xml:space="preserve">即时或中长期间接影响</w:t>
            </w:r>
          </w:p>
        </w:tc>
        <w:tc>
          <w:tcPr/>
          <w:p>
            <w:pPr>
              <w:pStyle w:val="Compact"/>
            </w:pPr>
            <w:r>
              <w:rPr>
                <w:rFonts w:hint="eastAsia"/>
              </w:rPr>
              <w:t xml:space="preserve">不强行行业映射，不把人员与伤亡事项题材化</w:t>
            </w:r>
          </w:p>
        </w:tc>
      </w:tr>
    </w:tbl>
    <w:bookmarkEnd w:id="31"/>
    <w:bookmarkStart w:id="32" w:name="操作建议"/>
    <w:p>
      <w:pPr>
        <w:pStyle w:val="Heading2"/>
      </w:pPr>
      <w:r>
        <w:rPr>
          <w:rFonts w:hint="eastAsia"/>
        </w:rPr>
        <w:t xml:space="preserve">操作建议</w:t>
      </w:r>
    </w:p>
    <w:p>
      <w:pPr>
        <w:pStyle w:val="FirstParagraph"/>
      </w:pPr>
      <w:r>
        <w:rPr>
          <w:rFonts w:hint="eastAsia"/>
        </w:rPr>
        <w:t xml:space="preserve">以下仅为基于本期联播信息的观察顺序和验证条件，不构成投资建议，也不预测市场涨跌：</w:t>
      </w:r>
    </w:p>
    <w:p>
      <w:pPr>
        <w:pStyle w:val="Compact"/>
        <w:numPr>
          <w:ilvl w:val="0"/>
          <w:numId w:val="1018"/>
        </w:numPr>
      </w:pPr>
      <w:r>
        <w:rPr>
          <w:rFonts w:hint="eastAsia"/>
          <w:b/>
          <w:bCs/>
        </w:rPr>
        <w:t xml:space="preserve">短线优先观察政策资金落地，而非只看8000亿元总量。</w:t>
      </w:r>
      <w:r>
        <w:t xml:space="preserve"> </w:t>
      </w:r>
      <w:r>
        <w:rPr>
          <w:rFonts w:hint="eastAsia"/>
        </w:rPr>
        <w:t xml:space="preserve">重点等待人工智能、数字经济、绿色低碳和消费项目的清单、开工、招标或实物工作量；没有这些验证前，不把“投放完成”直接等同于上市公司订单。</w:t>
      </w:r>
    </w:p>
    <w:p>
      <w:pPr>
        <w:pStyle w:val="Compact"/>
        <w:numPr>
          <w:ilvl w:val="0"/>
          <w:numId w:val="1018"/>
        </w:numPr>
      </w:pPr>
      <w:r>
        <w:rPr>
          <w:rFonts w:hint="eastAsia"/>
          <w:b/>
          <w:bCs/>
        </w:rPr>
        <w:t xml:space="preserve">跟踪科技信贷向经营改善的传导。</w:t>
      </w:r>
      <w:r>
        <w:t xml:space="preserve"> </w:t>
      </w:r>
      <w:r>
        <w:rPr>
          <w:rFonts w:hint="eastAsia"/>
        </w:rPr>
        <w:t xml:space="preserve">科技型中小企业贷款增速较高，但需进一步区分融资成本、研发投入、订单需求和偿债能力；对金融机构也要同时观察利差与资产质量。</w:t>
      </w:r>
    </w:p>
    <w:p>
      <w:pPr>
        <w:pStyle w:val="Compact"/>
        <w:numPr>
          <w:ilvl w:val="0"/>
          <w:numId w:val="1018"/>
        </w:numPr>
      </w:pPr>
      <w:r>
        <w:rPr>
          <w:rFonts w:hint="eastAsia"/>
          <w:b/>
          <w:bCs/>
        </w:rPr>
        <w:t xml:space="preserve">消费方向聚焦原文明确的数码产品和线下零售。</w:t>
      </w:r>
      <w:r>
        <w:t xml:space="preserve"> </w:t>
      </w:r>
      <w:r>
        <w:rPr>
          <w:rFonts w:hint="eastAsia"/>
        </w:rPr>
        <w:t xml:space="preserve">手机、平板和通讯器材零售有数据锚点，后续需验证补贴持续性、需求是否前置、渠道覆盖能否转化为利润；不扩大到原文未明确的品类。</w:t>
      </w:r>
    </w:p>
    <w:p>
      <w:pPr>
        <w:pStyle w:val="Compact"/>
        <w:numPr>
          <w:ilvl w:val="0"/>
          <w:numId w:val="1018"/>
        </w:numPr>
      </w:pPr>
      <w:r>
        <w:rPr>
          <w:rFonts w:hint="eastAsia"/>
          <w:b/>
          <w:bCs/>
        </w:rPr>
        <w:t xml:space="preserve">中线关注高端制造和绿色产品的外贸竞争力。</w:t>
      </w:r>
      <w:r>
        <w:t xml:space="preserve"> </w:t>
      </w:r>
      <w:r>
        <w:rPr>
          <w:rFonts w:hint="eastAsia"/>
        </w:rPr>
        <w:t xml:space="preserve">大湾区对APEC经济体贸易数据提供结构线索，但需等待分品类、分地区订单和企业经营数据，避免用区域总量替代公司基本面。</w:t>
      </w:r>
    </w:p>
    <w:p>
      <w:pPr>
        <w:pStyle w:val="Compact"/>
        <w:numPr>
          <w:ilvl w:val="0"/>
          <w:numId w:val="1018"/>
        </w:numPr>
      </w:pPr>
      <w:r>
        <w:rPr>
          <w:rFonts w:hint="eastAsia"/>
          <w:b/>
          <w:bCs/>
        </w:rPr>
        <w:t xml:space="preserve">将基层中医、水环境和城市轨交作为政策或项目跟踪项。</w:t>
      </w:r>
      <w:r>
        <w:t xml:space="preserve"> </w:t>
      </w:r>
      <w:r>
        <w:rPr>
          <w:rFonts w:hint="eastAsia"/>
        </w:rPr>
        <w:t xml:space="preserve">前者等待支付、培训和采购细则，水环境等待新增治理目标和资金，轨交则区分已完工项目的运营价值与未来建设订单。</w:t>
      </w:r>
    </w:p>
    <w:p>
      <w:pPr>
        <w:pStyle w:val="Compact"/>
        <w:numPr>
          <w:ilvl w:val="0"/>
          <w:numId w:val="1018"/>
        </w:numPr>
      </w:pPr>
      <w:r>
        <w:rPr>
          <w:rFonts w:hint="eastAsia"/>
          <w:b/>
          <w:bCs/>
        </w:rPr>
        <w:t xml:space="preserve">对国际事件坚持情景分析。</w:t>
      </w:r>
      <w:r>
        <w:t xml:space="preserve"> </w:t>
      </w:r>
      <w:r>
        <w:rPr>
          <w:rFonts w:hint="eastAsia"/>
        </w:rPr>
        <w:t xml:space="preserve">美伊沟通、霍尔木兹海峡、俄美乌会谈均存在双向变化，不以媒体报道预判油价、运价或相关板块；重大事故保持克制，不作题材交易映射。</w:t>
      </w:r>
    </w:p>
    <w:p>
      <w:pPr>
        <w:pStyle w:val="Compact"/>
        <w:numPr>
          <w:ilvl w:val="0"/>
          <w:numId w:val="1018"/>
        </w:numPr>
      </w:pPr>
      <w:r>
        <w:rPr>
          <w:rFonts w:hint="eastAsia"/>
          <w:b/>
          <w:bCs/>
        </w:rPr>
        <w:t xml:space="preserve">对全会信息分层理解。</w:t>
      </w:r>
      <w:r>
        <w:t xml:space="preserve"> </w:t>
      </w:r>
      <w:r>
        <w:rPr>
          <w:rFonts w:hint="eastAsia"/>
        </w:rPr>
        <w:t xml:space="preserve">全面从严治党、组织人事和纪律处分属于治理与政治信息；A股层面只跟踪随后可验证的经济政策、资金和项目，不把政治事项直接转换为行业结论。</w:t>
      </w:r>
    </w:p>
    <w:bookmarkEnd w:id="32"/>
    <w:bookmarkStart w:id="33" w:name="事实与边界"/>
    <w:p>
      <w:pPr>
        <w:pStyle w:val="Heading2"/>
      </w:pPr>
      <w:r>
        <w:rPr>
          <w:rFonts w:hint="eastAsia"/>
        </w:rPr>
        <w:t xml:space="preserve">事实与边界</w:t>
      </w:r>
    </w:p>
    <w:p>
      <w:pPr>
        <w:pStyle w:val="Compact"/>
        <w:numPr>
          <w:ilvl w:val="0"/>
          <w:numId w:val="1019"/>
        </w:numPr>
      </w:pPr>
      <w:r>
        <w:rPr>
          <w:rFonts w:hint="eastAsia"/>
          <w:b/>
          <w:bCs/>
        </w:rPr>
        <w:t xml:space="preserve">唯一事实来源：</w:t>
      </w:r>
      <w:r>
        <w:t xml:space="preserve"> </w:t>
      </w:r>
      <w:r>
        <w:rPr>
          <w:rFonts w:hint="eastAsia"/>
        </w:rPr>
        <w:t xml:space="preserve">指定的2026-10-29《新闻联播》原文存档。本文未使用外部行情、指数表现、估值、资金流、公司公告、其他新闻或第三方研究数据。</w:t>
      </w:r>
    </w:p>
    <w:p>
      <w:pPr>
        <w:pStyle w:val="Compact"/>
        <w:numPr>
          <w:ilvl w:val="0"/>
          <w:numId w:val="1019"/>
        </w:numPr>
      </w:pPr>
      <w:r>
        <w:rPr>
          <w:rFonts w:hint="eastAsia"/>
          <w:b/>
          <w:bCs/>
        </w:rPr>
        <w:t xml:space="preserve">事实与推断分离：</w:t>
      </w:r>
      <w:r>
        <w:t xml:space="preserve"> </w:t>
      </w:r>
      <w:r>
        <w:rPr>
          <w:rFonts w:hint="eastAsia"/>
        </w:rPr>
        <w:t xml:space="preserve">各单元“原文事实”是对存档内容的整理；“通俗解读/政策信号”“A股影响/时效”和“板块方向”均为分析推断。</w:t>
      </w:r>
    </w:p>
    <w:p>
      <w:pPr>
        <w:pStyle w:val="Compact"/>
        <w:numPr>
          <w:ilvl w:val="0"/>
          <w:numId w:val="1019"/>
        </w:numPr>
      </w:pPr>
      <w:r>
        <w:rPr>
          <w:rFonts w:hint="eastAsia"/>
          <w:b/>
          <w:bCs/>
        </w:rPr>
        <w:t xml:space="preserve">来源措辞保留：</w:t>
      </w:r>
      <w:r>
        <w:t xml:space="preserve"> </w:t>
      </w:r>
      <w:r>
        <w:rPr>
          <w:rFonts w:hint="eastAsia"/>
        </w:rPr>
        <w:t xml:space="preserve">对美国媒体、以色列媒体及各方表态，均按原文标明其来源属性，不把报道、初步计票、拟议会谈或表态当作最终事实结果。</w:t>
      </w:r>
    </w:p>
    <w:p>
      <w:pPr>
        <w:pStyle w:val="Compact"/>
        <w:numPr>
          <w:ilvl w:val="0"/>
          <w:numId w:val="1019"/>
        </w:numPr>
      </w:pPr>
      <w:r>
        <w:rPr>
          <w:rFonts w:hint="eastAsia"/>
          <w:b/>
          <w:bCs/>
        </w:rPr>
        <w:t xml:space="preserve">不推荐个股、不预测涨跌：</w:t>
      </w:r>
      <w:r>
        <w:t xml:space="preserve"> </w:t>
      </w:r>
      <w:r>
        <w:rPr>
          <w:rFonts w:hint="eastAsia"/>
        </w:rPr>
        <w:t xml:space="preserve">全文仅讨论板块和产业方向，不提供个股名单，不预测指数、板块或商品价格涨跌。</w:t>
      </w:r>
    </w:p>
    <w:p>
      <w:pPr>
        <w:pStyle w:val="Compact"/>
        <w:numPr>
          <w:ilvl w:val="0"/>
          <w:numId w:val="1019"/>
        </w:numPr>
      </w:pPr>
      <w:r>
        <w:rPr>
          <w:rFonts w:hint="eastAsia"/>
          <w:b/>
          <w:bCs/>
        </w:rPr>
        <w:t xml:space="preserve">不作业绩外推：</w:t>
      </w:r>
      <w:r>
        <w:t xml:space="preserve"> </w:t>
      </w:r>
      <w:r>
        <w:rPr>
          <w:rFonts w:hint="eastAsia"/>
        </w:rPr>
        <w:t xml:space="preserve">政策工具额度、贷款余额、贸易额、累计销售额、环境指标和项目投运节点，均不能直接推导企业订单、收入、利润、市场份额或政策兑现时间。</w:t>
      </w:r>
    </w:p>
    <w:p>
      <w:pPr>
        <w:pStyle w:val="Compact"/>
        <w:numPr>
          <w:ilvl w:val="0"/>
          <w:numId w:val="1019"/>
        </w:numPr>
      </w:pPr>
      <w:r>
        <w:rPr>
          <w:rFonts w:hint="eastAsia"/>
          <w:b/>
          <w:bCs/>
        </w:rPr>
        <w:t xml:space="preserve">弱相关不强映射：</w:t>
      </w:r>
      <w:r>
        <w:t xml:space="preserve"> </w:t>
      </w:r>
      <w:r>
        <w:rPr>
          <w:rFonts w:hint="eastAsia"/>
        </w:rPr>
        <w:t xml:space="preserve">人事、纪律处分、外交慰问、国际政治与重大事故等内容保持中性或风险观察，不商业化、不题材化。</w:t>
      </w:r>
    </w:p>
    <w:p>
      <w:pPr>
        <w:pStyle w:val="Compact"/>
        <w:numPr>
          <w:ilvl w:val="0"/>
          <w:numId w:val="1019"/>
        </w:numPr>
      </w:pPr>
      <w:r>
        <w:rPr>
          <w:rFonts w:hint="eastAsia"/>
          <w:b/>
          <w:bCs/>
        </w:rPr>
        <w:t xml:space="preserve">时间口径：</w:t>
      </w:r>
      <w:r>
        <w:t xml:space="preserve"> </w:t>
      </w:r>
      <w:r>
        <w:rPr>
          <w:rFonts w:hint="eastAsia"/>
        </w:rPr>
        <w:t xml:space="preserve">“即时、短期、中期、长期”仅用于描述信息影响性质，不是收益实现承诺。</w:t>
      </w:r>
    </w:p>
    <w:bookmarkEnd w:id="33"/>
    <w:bookmarkStart w:id="34" w:name="覆盖核对"/>
    <w:p>
      <w:pPr>
        <w:pStyle w:val="Heading2"/>
      </w:pPr>
      <w:r>
        <w:rPr>
          <w:rFonts w:hint="eastAsia"/>
        </w:rPr>
        <w:t xml:space="preserve">覆盖核对</w:t>
      </w:r>
    </w:p>
    <w:p>
      <w:pPr>
        <w:pStyle w:val="FirstParagraph"/>
      </w:pPr>
      <w:r>
        <w:rPr>
          <w:rFonts w:hint="eastAsia"/>
        </w:rPr>
        <w:t xml:space="preserve">原文共有7个非快讯顶层条目，另有“联播快讯”10个分项；本稿按原文顺序拆分为17个分析单元，全部覆盖：</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单元</w:t>
            </w:r>
          </w:p>
        </w:tc>
        <w:tc>
          <w:tcPr/>
          <w:p>
            <w:pPr>
              <w:pStyle w:val="Compact"/>
            </w:pPr>
            <w:r>
              <w:rPr>
                <w:rFonts w:hint="eastAsia"/>
              </w:rPr>
              <w:t xml:space="preserve">对应原文内容</w:t>
            </w:r>
          </w:p>
        </w:tc>
        <w:tc>
          <w:tcPr/>
          <w:p>
            <w:pPr>
              <w:pStyle w:val="Compact"/>
            </w:pPr>
            <w:r>
              <w:rPr>
                <w:rFonts w:hint="eastAsia"/>
              </w:rPr>
              <w:t xml:space="preserve">覆盖状态</w:t>
            </w:r>
          </w:p>
        </w:tc>
      </w:tr>
      <w:tr>
        <w:tc>
          <w:tcPr/>
          <w:p>
            <w:pPr>
              <w:pStyle w:val="Compact"/>
            </w:pPr>
            <w:r>
              <w:rPr>
                <w:rFonts w:hint="eastAsia"/>
              </w:rPr>
              <w:t xml:space="preserve">一</w:t>
            </w:r>
          </w:p>
        </w:tc>
        <w:tc>
          <w:tcPr/>
          <w:p>
            <w:pPr>
              <w:pStyle w:val="Compact"/>
            </w:pPr>
            <w:r>
              <w:rPr>
                <w:rFonts w:hint="eastAsia"/>
              </w:rPr>
              <w:t xml:space="preserve">中国共产党第二十届中央委员会第五次全体会议公报</w:t>
            </w:r>
          </w:p>
        </w:tc>
        <w:tc>
          <w:tcPr/>
          <w:p>
            <w:pPr>
              <w:pStyle w:val="Compact"/>
            </w:pPr>
            <w:r>
              <w:rPr>
                <w:rFonts w:hint="eastAsia"/>
              </w:rPr>
              <w:t xml:space="preserve">已覆盖；含全会时间与《决定》、七项原则与九方面部署、岁末经济民生任务、二十一大时间、增选与10人递补、审查和处分结论</w:t>
            </w:r>
          </w:p>
        </w:tc>
      </w:tr>
      <w:tr>
        <w:tc>
          <w:tcPr/>
          <w:p>
            <w:pPr>
              <w:pStyle w:val="Compact"/>
            </w:pPr>
            <w:r>
              <w:rPr>
                <w:rFonts w:hint="eastAsia"/>
              </w:rPr>
              <w:t xml:space="preserve">二</w:t>
            </w:r>
          </w:p>
        </w:tc>
        <w:tc>
          <w:tcPr/>
          <w:p>
            <w:pPr>
              <w:pStyle w:val="Compact"/>
            </w:pPr>
            <w:r>
              <w:rPr>
                <w:rFonts w:hint="eastAsia"/>
              </w:rPr>
              <w:t xml:space="preserve">张升民同志简历</w:t>
            </w:r>
          </w:p>
        </w:tc>
        <w:tc>
          <w:tcPr/>
          <w:p>
            <w:pPr>
              <w:pStyle w:val="Compact"/>
            </w:pPr>
            <w:r>
              <w:rPr>
                <w:rFonts w:hint="eastAsia"/>
              </w:rPr>
              <w:t xml:space="preserve">已覆盖</w:t>
            </w:r>
          </w:p>
        </w:tc>
      </w:tr>
      <w:tr>
        <w:tc>
          <w:tcPr/>
          <w:p>
            <w:pPr>
              <w:pStyle w:val="Compact"/>
            </w:pPr>
            <w:r>
              <w:rPr>
                <w:rFonts w:hint="eastAsia"/>
              </w:rPr>
              <w:t xml:space="preserve">三</w:t>
            </w:r>
          </w:p>
        </w:tc>
        <w:tc>
          <w:tcPr/>
          <w:p>
            <w:pPr>
              <w:pStyle w:val="Compact"/>
            </w:pPr>
            <w:r>
              <w:rPr>
                <w:rFonts w:hint="eastAsia"/>
              </w:rPr>
              <w:t xml:space="preserve">习近平、李强就西班牙高速列车事故致慰问电</w:t>
            </w:r>
          </w:p>
        </w:tc>
        <w:tc>
          <w:tcPr/>
          <w:p>
            <w:pPr>
              <w:pStyle w:val="Compact"/>
            </w:pPr>
            <w:r>
              <w:rPr>
                <w:rFonts w:hint="eastAsia"/>
              </w:rPr>
              <w:t xml:space="preserve">已覆盖</w:t>
            </w:r>
          </w:p>
        </w:tc>
      </w:tr>
      <w:tr>
        <w:tc>
          <w:tcPr/>
          <w:p>
            <w:pPr>
              <w:pStyle w:val="Compact"/>
            </w:pPr>
            <w:r>
              <w:rPr>
                <w:rFonts w:hint="eastAsia"/>
              </w:rPr>
              <w:t xml:space="preserve">四</w:t>
            </w:r>
          </w:p>
        </w:tc>
        <w:tc>
          <w:tcPr/>
          <w:p>
            <w:pPr>
              <w:pStyle w:val="Compact"/>
            </w:pPr>
            <w:r>
              <w:rPr>
                <w:rFonts w:hint="eastAsia"/>
              </w:rPr>
              <w:t xml:space="preserve">学习贯彻五中全会精神：管党治党、兴党强党</w:t>
            </w:r>
          </w:p>
        </w:tc>
        <w:tc>
          <w:tcPr/>
          <w:p>
            <w:pPr>
              <w:pStyle w:val="Compact"/>
            </w:pPr>
            <w:r>
              <w:rPr>
                <w:rFonts w:hint="eastAsia"/>
              </w:rPr>
              <w:t xml:space="preserve">已覆盖</w:t>
            </w:r>
          </w:p>
        </w:tc>
      </w:tr>
      <w:tr>
        <w:tc>
          <w:tcPr/>
          <w:p>
            <w:pPr>
              <w:pStyle w:val="Compact"/>
            </w:pPr>
            <w:r>
              <w:rPr>
                <w:rFonts w:hint="eastAsia"/>
              </w:rPr>
              <w:t xml:space="preserve">五</w:t>
            </w:r>
          </w:p>
        </w:tc>
        <w:tc>
          <w:tcPr/>
          <w:p>
            <w:pPr>
              <w:pStyle w:val="Compact"/>
            </w:pPr>
            <w:r>
              <w:rPr>
                <w:rFonts w:hint="eastAsia"/>
              </w:rPr>
              <w:t xml:space="preserve">人民日报社论预告</w:t>
            </w:r>
          </w:p>
        </w:tc>
        <w:tc>
          <w:tcPr/>
          <w:p>
            <w:pPr>
              <w:pStyle w:val="Compact"/>
            </w:pPr>
            <w:r>
              <w:rPr>
                <w:rFonts w:hint="eastAsia"/>
              </w:rPr>
              <w:t xml:space="preserve">已覆盖</w:t>
            </w:r>
          </w:p>
        </w:tc>
      </w:tr>
      <w:tr>
        <w:tc>
          <w:tcPr/>
          <w:p>
            <w:pPr>
              <w:pStyle w:val="Compact"/>
            </w:pPr>
            <w:r>
              <w:rPr>
                <w:rFonts w:hint="eastAsia"/>
              </w:rPr>
              <w:t xml:space="preserve">六</w:t>
            </w:r>
          </w:p>
        </w:tc>
        <w:tc>
          <w:tcPr/>
          <w:p>
            <w:pPr>
              <w:pStyle w:val="Compact"/>
            </w:pPr>
            <w:r>
              <w:rPr>
                <w:rFonts w:hint="eastAsia"/>
              </w:rPr>
              <w:t xml:space="preserve">科技型中小企业贷款余额同比增长20.1%</w:t>
            </w:r>
          </w:p>
        </w:tc>
        <w:tc>
          <w:tcPr/>
          <w:p>
            <w:pPr>
              <w:pStyle w:val="Compact"/>
            </w:pPr>
            <w:r>
              <w:rPr>
                <w:rFonts w:hint="eastAsia"/>
              </w:rPr>
              <w:t xml:space="preserve">已覆盖</w:t>
            </w:r>
          </w:p>
        </w:tc>
      </w:tr>
      <w:tr>
        <w:tc>
          <w:tcPr/>
          <w:p>
            <w:pPr>
              <w:pStyle w:val="Compact"/>
            </w:pPr>
            <w:r>
              <w:rPr>
                <w:rFonts w:hint="eastAsia"/>
              </w:rPr>
              <w:t xml:space="preserve">七</w:t>
            </w:r>
          </w:p>
        </w:tc>
        <w:tc>
          <w:tcPr/>
          <w:p>
            <w:pPr>
              <w:pStyle w:val="Compact"/>
            </w:pPr>
            <w:r>
              <w:rPr>
                <w:rFonts w:hint="eastAsia"/>
              </w:rPr>
              <w:t xml:space="preserve">以旧换新带动相关品类销售额超2万亿元</w:t>
            </w:r>
          </w:p>
        </w:tc>
        <w:tc>
          <w:tcPr/>
          <w:p>
            <w:pPr>
              <w:pStyle w:val="Compact"/>
            </w:pPr>
            <w:r>
              <w:rPr>
                <w:rFonts w:hint="eastAsia"/>
              </w:rPr>
              <w:t xml:space="preserve">已覆盖</w:t>
            </w:r>
          </w:p>
        </w:tc>
      </w:tr>
      <w:tr>
        <w:tc>
          <w:tcPr/>
          <w:p>
            <w:pPr>
              <w:pStyle w:val="Compact"/>
            </w:pPr>
            <w:r>
              <w:rPr>
                <w:rFonts w:hint="eastAsia"/>
              </w:rPr>
              <w:t xml:space="preserve">八</w:t>
            </w:r>
          </w:p>
        </w:tc>
        <w:tc>
          <w:tcPr/>
          <w:p>
            <w:pPr>
              <w:pStyle w:val="Compact"/>
            </w:pPr>
            <w:r>
              <w:rPr>
                <w:rFonts w:hint="eastAsia"/>
              </w:rPr>
              <w:t xml:space="preserve">8000亿元新型政策性金融工具投放完成</w:t>
            </w:r>
          </w:p>
        </w:tc>
        <w:tc>
          <w:tcPr/>
          <w:p>
            <w:pPr>
              <w:pStyle w:val="Compact"/>
            </w:pPr>
            <w:r>
              <w:rPr>
                <w:rFonts w:hint="eastAsia"/>
              </w:rPr>
              <w:t xml:space="preserve">已覆盖</w:t>
            </w:r>
          </w:p>
        </w:tc>
      </w:tr>
      <w:tr>
        <w:tc>
          <w:tcPr/>
          <w:p>
            <w:pPr>
              <w:pStyle w:val="Compact"/>
            </w:pPr>
            <w:r>
              <w:rPr>
                <w:rFonts w:hint="eastAsia"/>
              </w:rPr>
              <w:t xml:space="preserve">九</w:t>
            </w:r>
          </w:p>
        </w:tc>
        <w:tc>
          <w:tcPr/>
          <w:p>
            <w:pPr>
              <w:pStyle w:val="Compact"/>
            </w:pPr>
            <w:r>
              <w:rPr>
                <w:rFonts w:hint="eastAsia"/>
              </w:rPr>
              <w:t xml:space="preserve">大湾区内地9市对APEC经济体进出口创新高</w:t>
            </w:r>
          </w:p>
        </w:tc>
        <w:tc>
          <w:tcPr/>
          <w:p>
            <w:pPr>
              <w:pStyle w:val="Compact"/>
            </w:pPr>
            <w:r>
              <w:rPr>
                <w:rFonts w:hint="eastAsia"/>
              </w:rPr>
              <w:t xml:space="preserve">已覆盖</w:t>
            </w:r>
          </w:p>
        </w:tc>
      </w:tr>
      <w:tr>
        <w:tc>
          <w:tcPr/>
          <w:p>
            <w:pPr>
              <w:pStyle w:val="Compact"/>
            </w:pPr>
            <w:r>
              <w:rPr>
                <w:rFonts w:hint="eastAsia"/>
              </w:rPr>
              <w:t xml:space="preserve">十</w:t>
            </w:r>
          </w:p>
        </w:tc>
        <w:tc>
          <w:tcPr/>
          <w:p>
            <w:pPr>
              <w:pStyle w:val="Compact"/>
            </w:pPr>
            <w:r>
              <w:rPr>
                <w:rFonts w:hint="eastAsia"/>
              </w:rPr>
              <w:t xml:space="preserve">全国地表水水质持续向好</w:t>
            </w:r>
          </w:p>
        </w:tc>
        <w:tc>
          <w:tcPr/>
          <w:p>
            <w:pPr>
              <w:pStyle w:val="Compact"/>
            </w:pPr>
            <w:r>
              <w:rPr>
                <w:rFonts w:hint="eastAsia"/>
              </w:rPr>
              <w:t xml:space="preserve">已覆盖</w:t>
            </w:r>
          </w:p>
        </w:tc>
      </w:tr>
      <w:tr>
        <w:tc>
          <w:tcPr/>
          <w:p>
            <w:pPr>
              <w:pStyle w:val="Compact"/>
            </w:pPr>
            <w:r>
              <w:rPr>
                <w:rFonts w:hint="eastAsia"/>
              </w:rPr>
              <w:t xml:space="preserve">十一</w:t>
            </w:r>
          </w:p>
        </w:tc>
        <w:tc>
          <w:tcPr/>
          <w:p>
            <w:pPr>
              <w:pStyle w:val="Compact"/>
            </w:pPr>
            <w:r>
              <w:rPr>
                <w:rFonts w:hint="eastAsia"/>
              </w:rPr>
              <w:t xml:space="preserve">武汉地铁12号线全线贯通</w:t>
            </w:r>
          </w:p>
        </w:tc>
        <w:tc>
          <w:tcPr/>
          <w:p>
            <w:pPr>
              <w:pStyle w:val="Compact"/>
            </w:pPr>
            <w:r>
              <w:rPr>
                <w:rFonts w:hint="eastAsia"/>
              </w:rPr>
              <w:t xml:space="preserve">已覆盖</w:t>
            </w:r>
          </w:p>
        </w:tc>
      </w:tr>
      <w:tr>
        <w:tc>
          <w:tcPr/>
          <w:p>
            <w:pPr>
              <w:pStyle w:val="Compact"/>
            </w:pPr>
            <w:r>
              <w:rPr>
                <w:rFonts w:hint="eastAsia"/>
              </w:rPr>
              <w:t xml:space="preserve">十二</w:t>
            </w:r>
          </w:p>
        </w:tc>
        <w:tc>
          <w:tcPr/>
          <w:p>
            <w:pPr>
              <w:pStyle w:val="Compact"/>
            </w:pPr>
            <w:r>
              <w:rPr>
                <w:rFonts w:hint="eastAsia"/>
              </w:rPr>
              <w:t xml:space="preserve">基层推广6类15项以上中医适宜技术</w:t>
            </w:r>
          </w:p>
        </w:tc>
        <w:tc>
          <w:tcPr/>
          <w:p>
            <w:pPr>
              <w:pStyle w:val="Compact"/>
            </w:pPr>
            <w:r>
              <w:rPr>
                <w:rFonts w:hint="eastAsia"/>
              </w:rPr>
              <w:t xml:space="preserve">已覆盖</w:t>
            </w:r>
          </w:p>
        </w:tc>
      </w:tr>
      <w:tr>
        <w:tc>
          <w:tcPr/>
          <w:p>
            <w:pPr>
              <w:pStyle w:val="Compact"/>
            </w:pPr>
            <w:r>
              <w:rPr>
                <w:rFonts w:hint="eastAsia"/>
              </w:rPr>
              <w:t xml:space="preserve">十三</w:t>
            </w:r>
          </w:p>
        </w:tc>
        <w:tc>
          <w:tcPr/>
          <w:p>
            <w:pPr>
              <w:pStyle w:val="Compact"/>
            </w:pPr>
            <w:r>
              <w:rPr>
                <w:rFonts w:hint="eastAsia"/>
              </w:rPr>
              <w:t xml:space="preserve">联大决议敦促美国终止对古巴封锁</w:t>
            </w:r>
          </w:p>
        </w:tc>
        <w:tc>
          <w:tcPr/>
          <w:p>
            <w:pPr>
              <w:pStyle w:val="Compact"/>
            </w:pPr>
            <w:r>
              <w:rPr>
                <w:rFonts w:hint="eastAsia"/>
              </w:rPr>
              <w:t xml:space="preserve">已覆盖</w:t>
            </w:r>
          </w:p>
        </w:tc>
      </w:tr>
      <w:tr>
        <w:tc>
          <w:tcPr/>
          <w:p>
            <w:pPr>
              <w:pStyle w:val="Compact"/>
            </w:pPr>
            <w:r>
              <w:rPr>
                <w:rFonts w:hint="eastAsia"/>
              </w:rPr>
              <w:t xml:space="preserve">十四</w:t>
            </w:r>
          </w:p>
        </w:tc>
        <w:tc>
          <w:tcPr/>
          <w:p>
            <w:pPr>
              <w:pStyle w:val="Compact"/>
            </w:pPr>
            <w:r>
              <w:rPr>
                <w:rFonts w:hint="eastAsia"/>
              </w:rPr>
              <w:t xml:space="preserve">以色列议会选举初步计票无阵营过半</w:t>
            </w:r>
          </w:p>
        </w:tc>
        <w:tc>
          <w:tcPr/>
          <w:p>
            <w:pPr>
              <w:pStyle w:val="Compact"/>
            </w:pPr>
            <w:r>
              <w:rPr>
                <w:rFonts w:hint="eastAsia"/>
              </w:rPr>
              <w:t xml:space="preserve">已覆盖</w:t>
            </w:r>
          </w:p>
        </w:tc>
      </w:tr>
      <w:tr>
        <w:tc>
          <w:tcPr/>
          <w:p>
            <w:pPr>
              <w:pStyle w:val="Compact"/>
            </w:pPr>
            <w:r>
              <w:rPr>
                <w:rFonts w:hint="eastAsia"/>
              </w:rPr>
              <w:t xml:space="preserve">十五</w:t>
            </w:r>
          </w:p>
        </w:tc>
        <w:tc>
          <w:tcPr/>
          <w:p>
            <w:pPr>
              <w:pStyle w:val="Compact"/>
            </w:pPr>
            <w:r>
              <w:rPr>
                <w:rFonts w:hint="eastAsia"/>
              </w:rPr>
              <w:t xml:space="preserve">美媒称美副总统致信伊朗高官欲重启谈判</w:t>
            </w:r>
          </w:p>
        </w:tc>
        <w:tc>
          <w:tcPr/>
          <w:p>
            <w:pPr>
              <w:pStyle w:val="Compact"/>
            </w:pPr>
            <w:r>
              <w:rPr>
                <w:rFonts w:hint="eastAsia"/>
              </w:rPr>
              <w:t xml:space="preserve">已覆盖</w:t>
            </w:r>
          </w:p>
        </w:tc>
      </w:tr>
      <w:tr>
        <w:tc>
          <w:tcPr/>
          <w:p>
            <w:pPr>
              <w:pStyle w:val="Compact"/>
            </w:pPr>
            <w:r>
              <w:rPr>
                <w:rFonts w:hint="eastAsia"/>
              </w:rPr>
              <w:t xml:space="preserve">十六</w:t>
            </w:r>
          </w:p>
        </w:tc>
        <w:tc>
          <w:tcPr/>
          <w:p>
            <w:pPr>
              <w:pStyle w:val="Compact"/>
            </w:pPr>
            <w:r>
              <w:rPr>
                <w:rFonts w:hint="eastAsia"/>
              </w:rPr>
              <w:t xml:space="preserve">俄称不邀请欧洲参加俄美乌会谈</w:t>
            </w:r>
          </w:p>
        </w:tc>
        <w:tc>
          <w:tcPr/>
          <w:p>
            <w:pPr>
              <w:pStyle w:val="Compact"/>
            </w:pPr>
            <w:r>
              <w:rPr>
                <w:rFonts w:hint="eastAsia"/>
              </w:rPr>
              <w:t xml:space="preserve">已覆盖</w:t>
            </w:r>
          </w:p>
        </w:tc>
      </w:tr>
      <w:tr>
        <w:tc>
          <w:tcPr/>
          <w:p>
            <w:pPr>
              <w:pStyle w:val="Compact"/>
            </w:pPr>
            <w:r>
              <w:rPr>
                <w:rFonts w:hint="eastAsia"/>
              </w:rPr>
              <w:t xml:space="preserve">十七</w:t>
            </w:r>
          </w:p>
        </w:tc>
        <w:tc>
          <w:tcPr/>
          <w:p>
            <w:pPr>
              <w:pStyle w:val="Compact"/>
            </w:pPr>
            <w:r>
              <w:rPr>
                <w:rFonts w:hint="eastAsia"/>
              </w:rPr>
              <w:t xml:space="preserve">电脑故障及错误指令导致西班牙列车相撞</w:t>
            </w:r>
          </w:p>
        </w:tc>
        <w:tc>
          <w:tcPr/>
          <w:p>
            <w:pPr>
              <w:pStyle w:val="Compact"/>
            </w:pPr>
            <w:r>
              <w:rPr>
                <w:rFonts w:hint="eastAsia"/>
              </w:rPr>
              <w:t xml:space="preserve">已覆盖</w:t>
            </w:r>
          </w:p>
        </w:tc>
      </w:tr>
    </w:tbl>
    <w:p>
      <w:r>
        <w:pict>
          <v:rect style="width:0;height:1.5pt" o:hralign="center" o:hrstd="t" o:hr="t"/>
        </w:pict>
      </w:r>
    </w:p>
    <w:p>
      <w:pPr>
        <w:pStyle w:val="FirstParagraph"/>
      </w:pPr>
      <w:r>
        <w:rPr>
          <w:rFonts w:hint="eastAsia"/>
        </w:rPr>
        <w:t xml:space="preserve">分析+写稿模型：GPT-5.6</w:t>
      </w:r>
      <w:r>
        <w:t xml:space="preserve"> Sol (openai-codex)</w:t>
      </w:r>
    </w:p>
    <w:p>
      <w:pPr>
        <w:pStyle w:val="BodyText"/>
      </w:pPr>
      <w:r>
        <w:rPr>
          <w:rFonts w:hint="eastAsia"/>
        </w:rPr>
        <w:t xml:space="preserve">唯一数据源：</w:t>
      </w:r>
      <w:r>
        <w:rPr>
          <w:rStyle w:val="VerbatimChar"/>
        </w:rPr>
        <w:t xml:space="preserve">/Users/qiji/.hermes/skills/finance/qiji-morning-know/memory/xinwenlianbo/2026-10-29.md</w:t>
      </w:r>
    </w:p>
    <w:p>
      <w:pPr>
        <w:pStyle w:val="BodyText"/>
      </w:pPr>
      <w:r>
        <w:rPr>
          <w:rFonts w:hint="eastAsia"/>
        </w:rPr>
        <w:t xml:space="preserve">文档生成：pandoc</w:t>
      </w:r>
      <w:r>
        <w:t xml:space="preserve"> (Markdown → DOCX)</w:t>
      </w:r>
    </w:p>
    <w:bookmarkEnd w:id="34"/>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2026-10-29T12:22:13Z</dcterms:created>
  <dcterms:modified xsi:type="dcterms:W3CDTF">2026-10-29T12:22:13Z</dcterms:modified>
</cp:coreProperties>
</file>

<file path=docProps/custom.xml><?xml version="1.0" encoding="utf-8"?>
<Properties xmlns="http://schemas.openxmlformats.org/officeDocument/2006/custom-properties" xmlns:vt="http://schemas.openxmlformats.org/officeDocument/2006/docPropsVTypes"/>
</file>