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a36c7124efeaea6a972839a06b97e33674c8a95"/>
    <w:p>
      <w:pPr>
        <w:pStyle w:val="Heading1"/>
      </w:pPr>
      <w:r>
        <w:rPr>
          <w:rFonts w:hint="eastAsia"/>
        </w:rPr>
        <w:t xml:space="preserve">2026年10月27日《新闻联播》A股解读（生产稿）</w:t>
      </w:r>
    </w:p>
    <w:p>
      <w:pPr>
        <w:pStyle w:val="BlockText"/>
      </w:pPr>
      <w:r>
        <w:rPr>
          <w:rFonts w:hint="eastAsia"/>
        </w:rPr>
        <w:t xml:space="preserve">报告日期：2026年10月27日（周二）</w:t>
      </w:r>
      <w:r>
        <w:br/>
      </w:r>
      <w:r>
        <w:rPr>
          <w:rFonts w:hint="eastAsia"/>
        </w:rPr>
        <w:t xml:space="preserve">事实依据：仅使用指定的当日《新闻联播》原文。文中“原文事实”是节目明确披露的内容；“话术解码”是通俗转述；“A股传导推演”是基于原文所涉产业链的条件性判断，不代表原文结论，也不构成个股推荐。</w:t>
      </w:r>
    </w:p>
    <w:bookmarkStart w:id="9" w:name="一今日总评"/>
    <w:p>
      <w:pPr>
        <w:pStyle w:val="Heading2"/>
      </w:pPr>
      <w:r>
        <w:rPr>
          <w:rFonts w:hint="eastAsia"/>
        </w:rPr>
        <w:t xml:space="preserve">一、今日总评</w:t>
      </w:r>
    </w:p>
    <w:p>
      <w:pPr>
        <w:pStyle w:val="Compact"/>
        <w:numPr>
          <w:ilvl w:val="0"/>
          <w:numId w:val="1001"/>
        </w:numPr>
      </w:pPr>
      <w:r>
        <w:rPr>
          <w:rFonts w:hint="eastAsia"/>
          <w:b/>
          <w:bCs/>
        </w:rPr>
        <w:t xml:space="preserve">整体基调：中性偏积极。</w:t>
      </w:r>
      <w:r>
        <w:t xml:space="preserve"> </w:t>
      </w:r>
      <w:r>
        <w:rPr>
          <w:rFonts w:hint="eastAsia"/>
        </w:rPr>
        <w:t xml:space="preserve">国内部分给出的可交易信息主要集中在工业利润、风光装机、水利工程和通道贸易；国际部分则出现中东安全事件和欧洲天然气价格急升，构成风险对冲。</w:t>
      </w:r>
    </w:p>
    <w:p>
      <w:pPr>
        <w:pStyle w:val="Compact"/>
        <w:numPr>
          <w:ilvl w:val="0"/>
          <w:numId w:val="1001"/>
        </w:numPr>
      </w:pPr>
      <w:r>
        <w:rPr>
          <w:rFonts w:hint="eastAsia"/>
          <w:b/>
          <w:bCs/>
        </w:rPr>
        <w:t xml:space="preserve">政策与产业信号强度：中等。</w:t>
      </w:r>
      <w:r>
        <w:t xml:space="preserve"> </w:t>
      </w:r>
      <w:r>
        <w:rPr>
          <w:rFonts w:hint="eastAsia"/>
        </w:rPr>
        <w:t xml:space="preserve">当天没有新的宏观政策文件或资本市场制度安排，强信号主要来自已经发布的经济数据、在建工程进度和产业规模数据，而不是新增政策承诺。</w:t>
      </w:r>
    </w:p>
    <w:p>
      <w:pPr>
        <w:pStyle w:val="Compact"/>
        <w:numPr>
          <w:ilvl w:val="0"/>
          <w:numId w:val="1001"/>
        </w:numPr>
      </w:pPr>
      <w:r>
        <w:rPr>
          <w:rFonts w:hint="eastAsia"/>
          <w:b/>
          <w:bCs/>
        </w:rPr>
        <w:t xml:space="preserve">对A股总体影响：中性偏利好。</w:t>
      </w:r>
      <w:r>
        <w:t xml:space="preserve"> </w:t>
      </w:r>
      <w:r>
        <w:rPr>
          <w:rFonts w:hint="eastAsia"/>
        </w:rPr>
        <w:t xml:space="preserve">高技术制造、电子、光通信、新能源和水利建设获得原文数据或实物进度支撑；但国际能源供应紧张可能抬升风险偏好波动与部分制造环节的成本担忧。</w:t>
      </w:r>
    </w:p>
    <w:p>
      <w:pPr>
        <w:pStyle w:val="Compact"/>
        <w:numPr>
          <w:ilvl w:val="0"/>
          <w:numId w:val="1001"/>
        </w:numPr>
      </w:pPr>
      <w:r>
        <w:rPr>
          <w:rFonts w:hint="eastAsia"/>
          <w:b/>
          <w:bCs/>
        </w:rPr>
        <w:t xml:space="preserve">编排解读：</w:t>
      </w:r>
      <w:r>
        <w:t xml:space="preserve"> </w:t>
      </w:r>
      <w:r>
        <w:rPr>
          <w:rFonts w:hint="eastAsia"/>
        </w:rPr>
        <w:t xml:space="preserve">领导人外交活动和党建报道位居前列，政治重要性高，但缺少可直接映射上市公司盈利的新增安排。当天最具A股含金量的内容，反而是其后的工业利润、风光装机、水利工程和国际天然气价格。</w:t>
      </w:r>
    </w:p>
    <w:p>
      <w:pPr>
        <w:pStyle w:val="Compact"/>
        <w:numPr>
          <w:ilvl w:val="0"/>
          <w:numId w:val="1001"/>
        </w:numPr>
      </w:pPr>
      <w:r>
        <w:rPr>
          <w:rFonts w:hint="eastAsia"/>
          <w:b/>
          <w:bCs/>
        </w:rPr>
        <w:t xml:space="preserve">一句话判断：</w:t>
      </w:r>
      <w:r>
        <w:t xml:space="preserve"> </w:t>
      </w:r>
      <w:r>
        <w:rPr>
          <w:rFonts w:hint="eastAsia"/>
        </w:rPr>
        <w:t xml:space="preserve">这是一组“国内产业数据偏强、基建与新能源延续推进，海外能源风险升温”的结构性信号，适合按兑现度排序观察，不宜把所有正面报道都等同于普遍业绩利好。</w:t>
      </w:r>
    </w:p>
    <w:bookmarkEnd w:id="9"/>
    <w:bookmarkStart w:id="34" w:name="二逐条a股影响分析"/>
    <w:p>
      <w:pPr>
        <w:pStyle w:val="Heading2"/>
      </w:pPr>
      <w:r>
        <w:rPr>
          <w:rFonts w:hint="eastAsia"/>
        </w:rPr>
        <w:t xml:space="preserve">二、逐条A股影响分析</w:t>
      </w:r>
    </w:p>
    <w:bookmarkStart w:id="10" w:name="Xfac0c8870f006434e552c39230105f987c7f1a3"/>
    <w:p>
      <w:pPr>
        <w:pStyle w:val="Heading3"/>
      </w:pPr>
      <w:r>
        <w:t xml:space="preserve">1. </w:t>
      </w:r>
      <w:r>
        <w:rPr>
          <w:rFonts w:hint="eastAsia"/>
        </w:rPr>
        <w:t xml:space="preserve">习近平致电祝贺卢拉当选连任巴西总统</w:t>
      </w:r>
    </w:p>
    <w:p>
      <w:pPr>
        <w:pStyle w:val="Compact"/>
        <w:numPr>
          <w:ilvl w:val="0"/>
          <w:numId w:val="1002"/>
        </w:numPr>
      </w:pPr>
      <w:r>
        <w:rPr>
          <w:rFonts w:hint="eastAsia"/>
          <w:b/>
          <w:bCs/>
        </w:rPr>
        <w:t xml:space="preserve">定性：★｜A股影响：中性｜时效：长期观察。</w:t>
      </w:r>
    </w:p>
    <w:p>
      <w:pPr>
        <w:pStyle w:val="Compact"/>
        <w:numPr>
          <w:ilvl w:val="0"/>
          <w:numId w:val="1002"/>
        </w:numPr>
      </w:pPr>
      <w:r>
        <w:rPr>
          <w:rFonts w:hint="eastAsia"/>
          <w:b/>
          <w:bCs/>
        </w:rPr>
        <w:t xml:space="preserve">原文事实：</w:t>
      </w:r>
      <w:r>
        <w:t xml:space="preserve"> </w:t>
      </w:r>
      <w:r>
        <w:rPr>
          <w:rFonts w:hint="eastAsia"/>
        </w:rPr>
        <w:t xml:space="preserve">习近平主席向卢拉连任巴西总统致贺电，强调中巴关系的全球性、战略性、长远性，并表示愿推动中巴命运共同体建设和全方位战略协作；韩正向巴西连任副总统阿尔克明致贺电。</w:t>
      </w:r>
    </w:p>
    <w:p>
      <w:pPr>
        <w:pStyle w:val="Compact"/>
        <w:numPr>
          <w:ilvl w:val="0"/>
          <w:numId w:val="1002"/>
        </w:numPr>
      </w:pPr>
      <w:r>
        <w:rPr>
          <w:rFonts w:hint="eastAsia"/>
          <w:b/>
          <w:bCs/>
        </w:rPr>
        <w:t xml:space="preserve">话术解码：</w:t>
      </w:r>
      <w:r>
        <w:t xml:space="preserve"> </w:t>
      </w:r>
      <w:r>
        <w:rPr>
          <w:rFonts w:hint="eastAsia"/>
        </w:rPr>
        <w:t xml:space="preserve">“全方位战略协作开辟更广阔前景”表达的是双边关系继续向前的外交意愿，不等于已经签署新的经贸项目或行业协议。</w:t>
      </w:r>
    </w:p>
    <w:p>
      <w:pPr>
        <w:pStyle w:val="Compact"/>
        <w:numPr>
          <w:ilvl w:val="0"/>
          <w:numId w:val="1002"/>
        </w:numPr>
      </w:pPr>
      <w:r>
        <w:rPr>
          <w:rFonts w:hint="eastAsia"/>
          <w:b/>
          <w:bCs/>
        </w:rPr>
        <w:t xml:space="preserve">A股传导推演：</w:t>
      </w:r>
      <w:r>
        <w:t xml:space="preserve"> </w:t>
      </w:r>
      <w:r>
        <w:rPr>
          <w:rFonts w:hint="eastAsia"/>
        </w:rPr>
        <w:t xml:space="preserve">短期缺少可量化的产业催化，相关跨境经贸主题至多获得情绪关注；中期是否形成行业影响，要等待原文之外尚未出现的具体合作安排，因此本稿不作板块扩展。</w:t>
      </w:r>
    </w:p>
    <w:p>
      <w:pPr>
        <w:pStyle w:val="Compact"/>
        <w:numPr>
          <w:ilvl w:val="0"/>
          <w:numId w:val="1002"/>
        </w:numPr>
      </w:pPr>
      <w:r>
        <w:rPr>
          <w:rFonts w:hint="eastAsia"/>
          <w:b/>
          <w:bCs/>
        </w:rPr>
        <w:t xml:space="preserve">证伪与风险：</w:t>
      </w:r>
      <w:r>
        <w:t xml:space="preserve"> </w:t>
      </w:r>
      <w:r>
        <w:rPr>
          <w:rFonts w:hint="eastAsia"/>
        </w:rPr>
        <w:t xml:space="preserve">若后续没有项目、贸易或投资层面的可核验增量，单凭贺电无法形成持续基本面逻辑。</w:t>
      </w:r>
    </w:p>
    <w:bookmarkEnd w:id="10"/>
    <w:bookmarkStart w:id="11" w:name="X85c2931648898a6ffe087402540d0aeb82d1a14"/>
    <w:p>
      <w:pPr>
        <w:pStyle w:val="Heading3"/>
      </w:pPr>
      <w:r>
        <w:t xml:space="preserve">2. </w:t>
      </w:r>
      <w:r>
        <w:rPr>
          <w:rFonts w:hint="eastAsia"/>
        </w:rPr>
        <w:t xml:space="preserve">习近平向日本前首相福田康夫遗属致唁电</w:t>
      </w:r>
    </w:p>
    <w:p>
      <w:pPr>
        <w:pStyle w:val="Compact"/>
        <w:numPr>
          <w:ilvl w:val="0"/>
          <w:numId w:val="1003"/>
        </w:numPr>
      </w:pPr>
      <w:r>
        <w:rPr>
          <w:rFonts w:hint="eastAsia"/>
          <w:b/>
          <w:bCs/>
        </w:rPr>
        <w:t xml:space="preserve">定性：★｜A股影响：中性｜时效：短期。</w:t>
      </w:r>
    </w:p>
    <w:p>
      <w:pPr>
        <w:pStyle w:val="Compact"/>
        <w:numPr>
          <w:ilvl w:val="0"/>
          <w:numId w:val="1003"/>
        </w:numPr>
      </w:pPr>
      <w:r>
        <w:rPr>
          <w:rFonts w:hint="eastAsia"/>
          <w:b/>
          <w:bCs/>
        </w:rPr>
        <w:t xml:space="preserve">原文事实：</w:t>
      </w:r>
      <w:r>
        <w:t xml:space="preserve"> </w:t>
      </w:r>
      <w:r>
        <w:rPr>
          <w:rFonts w:hint="eastAsia"/>
        </w:rPr>
        <w:t xml:space="preserve">习近平主席对福田康夫逝世表示哀悼，肯定其对中日关系和亚洲交流合作的贡献，并希望日方恪守中日四个政治文件、维护双边关系政治基础。</w:t>
      </w:r>
    </w:p>
    <w:p>
      <w:pPr>
        <w:pStyle w:val="Compact"/>
        <w:numPr>
          <w:ilvl w:val="0"/>
          <w:numId w:val="1003"/>
        </w:numPr>
      </w:pPr>
      <w:r>
        <w:rPr>
          <w:rFonts w:hint="eastAsia"/>
          <w:b/>
          <w:bCs/>
        </w:rPr>
        <w:t xml:space="preserve">话术解码：</w:t>
      </w:r>
      <w:r>
        <w:t xml:space="preserve"> </w:t>
      </w:r>
      <w:r>
        <w:rPr>
          <w:rFonts w:hint="eastAsia"/>
        </w:rPr>
        <w:t xml:space="preserve">唁电兼具悼念与重申外交原则两层含义，重点在政治关系基础，不是经贸政策发布。</w:t>
      </w:r>
    </w:p>
    <w:p>
      <w:pPr>
        <w:pStyle w:val="Compact"/>
        <w:numPr>
          <w:ilvl w:val="0"/>
          <w:numId w:val="1003"/>
        </w:numPr>
      </w:pPr>
      <w:r>
        <w:rPr>
          <w:rFonts w:hint="eastAsia"/>
          <w:b/>
          <w:bCs/>
        </w:rPr>
        <w:t xml:space="preserve">A股传导推演：</w:t>
      </w:r>
      <w:r>
        <w:t xml:space="preserve"> </w:t>
      </w:r>
      <w:r>
        <w:rPr>
          <w:rFonts w:hint="eastAsia"/>
        </w:rPr>
        <w:t xml:space="preserve">对A股没有直接盈利映射，短期以中性外交信息处理；不据此推演消费、制造或对日贸易板块行情。</w:t>
      </w:r>
    </w:p>
    <w:p>
      <w:pPr>
        <w:pStyle w:val="Compact"/>
        <w:numPr>
          <w:ilvl w:val="0"/>
          <w:numId w:val="1003"/>
        </w:numPr>
      </w:pPr>
      <w:r>
        <w:rPr>
          <w:rFonts w:hint="eastAsia"/>
          <w:b/>
          <w:bCs/>
        </w:rPr>
        <w:t xml:space="preserve">证伪与风险：</w:t>
      </w:r>
      <w:r>
        <w:t xml:space="preserve"> </w:t>
      </w:r>
      <w:r>
        <w:rPr>
          <w:rFonts w:hint="eastAsia"/>
        </w:rPr>
        <w:t xml:space="preserve">将礼仪性外交活动直接解释为行业合作升级，属于超出原文的过度交易。</w:t>
      </w:r>
    </w:p>
    <w:bookmarkEnd w:id="11"/>
    <w:bookmarkStart w:id="12" w:name="X30c2ce47ca8aaab65bf58ea7feaf9188da8f569"/>
    <w:p>
      <w:pPr>
        <w:pStyle w:val="Heading3"/>
      </w:pPr>
      <w:r>
        <w:t xml:space="preserve">3. </w:t>
      </w:r>
      <w:r>
        <w:rPr>
          <w:rFonts w:hint="eastAsia"/>
        </w:rPr>
        <w:t xml:space="preserve">【持之以恒推进全面从严治党】以优良作风厚植党的执政根基</w:t>
      </w:r>
    </w:p>
    <w:p>
      <w:pPr>
        <w:pStyle w:val="Compact"/>
        <w:numPr>
          <w:ilvl w:val="0"/>
          <w:numId w:val="1004"/>
        </w:numPr>
      </w:pPr>
      <w:r>
        <w:rPr>
          <w:rFonts w:hint="eastAsia"/>
          <w:b/>
          <w:bCs/>
        </w:rPr>
        <w:t xml:space="preserve">定性：★★｜A股影响：中性｜时效：中长期。</w:t>
      </w:r>
    </w:p>
    <w:p>
      <w:pPr>
        <w:pStyle w:val="Compact"/>
        <w:numPr>
          <w:ilvl w:val="0"/>
          <w:numId w:val="1004"/>
        </w:numPr>
      </w:pPr>
      <w:r>
        <w:rPr>
          <w:rFonts w:hint="eastAsia"/>
          <w:b/>
          <w:bCs/>
        </w:rPr>
        <w:t xml:space="preserve">原文事实：</w:t>
      </w:r>
      <w:r>
        <w:t xml:space="preserve"> </w:t>
      </w:r>
      <w:r>
        <w:rPr>
          <w:rFonts w:hint="eastAsia"/>
        </w:rPr>
        <w:t xml:space="preserve">报道强调中央八项规定、纠治“四风”、基层减负、深入调研和作风建设常态化长效化，并列举福建霞浦开通“赶海公交”的基层治理案例。新时代以来，全国共查处“四风”问题164.4万起、处分149.9万人；2025年调查中，95.5%的受访群众肯定八项规定精神贯彻成效，92.2%对党风政风带动社会风气好转表示满意。报道还把作风建设与“十五五”时期改革、发展和民生任务的落实相联系。</w:t>
      </w:r>
    </w:p>
    <w:p>
      <w:pPr>
        <w:pStyle w:val="Compact"/>
        <w:numPr>
          <w:ilvl w:val="0"/>
          <w:numId w:val="1004"/>
        </w:numPr>
      </w:pPr>
      <w:r>
        <w:rPr>
          <w:rFonts w:hint="eastAsia"/>
          <w:b/>
          <w:bCs/>
        </w:rPr>
        <w:t xml:space="preserve">话术解码：</w:t>
      </w:r>
      <w:r>
        <w:t xml:space="preserve"> </w:t>
      </w:r>
      <w:r>
        <w:rPr>
          <w:rFonts w:hint="eastAsia"/>
        </w:rPr>
        <w:t xml:space="preserve">“常态化长效化”“铁规矩、硬杠杠”意味着作风治理不是一次性行动；“从重材料、重留痕转向重实效”强调行政执行结果，而非程序数量。</w:t>
      </w:r>
    </w:p>
    <w:p>
      <w:pPr>
        <w:pStyle w:val="Compact"/>
        <w:numPr>
          <w:ilvl w:val="0"/>
          <w:numId w:val="1004"/>
        </w:numPr>
      </w:pPr>
      <w:r>
        <w:rPr>
          <w:rFonts w:hint="eastAsia"/>
          <w:b/>
          <w:bCs/>
        </w:rPr>
        <w:t xml:space="preserve">A股传导推演：</w:t>
      </w:r>
      <w:r>
        <w:t xml:space="preserve"> </w:t>
      </w:r>
      <w:r>
        <w:rPr>
          <w:rFonts w:hint="eastAsia"/>
        </w:rPr>
        <w:t xml:space="preserve">短期没有明确行业增量，市场影响中性；中长期可将其理解为提升政策落实、项目推进和基层治理效率的制度环境信号，但不能直接折算为某个板块的订单或利润。</w:t>
      </w:r>
    </w:p>
    <w:p>
      <w:pPr>
        <w:pStyle w:val="Compact"/>
        <w:numPr>
          <w:ilvl w:val="0"/>
          <w:numId w:val="1004"/>
        </w:numPr>
      </w:pPr>
      <w:r>
        <w:rPr>
          <w:rFonts w:hint="eastAsia"/>
          <w:b/>
          <w:bCs/>
        </w:rPr>
        <w:t xml:space="preserve">证伪与风险：</w:t>
      </w:r>
      <w:r>
        <w:t xml:space="preserve"> </w:t>
      </w:r>
      <w:r>
        <w:rPr>
          <w:rFonts w:hint="eastAsia"/>
        </w:rPr>
        <w:t xml:space="preserve">报道没有发布新的产业扶持或财政安排，若将其包装成具体行业利好，证据不足。</w:t>
      </w:r>
    </w:p>
    <w:bookmarkEnd w:id="12"/>
    <w:bookmarkStart w:id="13" w:name="Xb8aa4df86980b82ff3f0045a81a69670772e77d"/>
    <w:p>
      <w:pPr>
        <w:pStyle w:val="Heading3"/>
      </w:pPr>
      <w:r>
        <w:t xml:space="preserve">4. </w:t>
      </w:r>
      <w:r>
        <w:rPr>
          <w:rFonts w:hint="eastAsia"/>
        </w:rPr>
        <w:t xml:space="preserve">前三季度规模以上工业企业利润实现较快增长</w:t>
      </w:r>
    </w:p>
    <w:p>
      <w:pPr>
        <w:pStyle w:val="Compact"/>
        <w:numPr>
          <w:ilvl w:val="0"/>
          <w:numId w:val="1005"/>
        </w:numPr>
      </w:pPr>
      <w:r>
        <w:rPr>
          <w:rFonts w:hint="eastAsia"/>
          <w:b/>
          <w:bCs/>
        </w:rPr>
        <w:t xml:space="preserve">定性：★★★★｜A股影响：利好｜时效：短期至中期。</w:t>
      </w:r>
    </w:p>
    <w:p>
      <w:pPr>
        <w:pStyle w:val="Compact"/>
        <w:numPr>
          <w:ilvl w:val="0"/>
          <w:numId w:val="1005"/>
        </w:numPr>
      </w:pPr>
      <w:r>
        <w:rPr>
          <w:rFonts w:hint="eastAsia"/>
          <w:b/>
          <w:bCs/>
        </w:rPr>
        <w:t xml:space="preserve">原文事实：</w:t>
      </w:r>
      <w:r>
        <w:t xml:space="preserve"> </w:t>
      </w:r>
      <w:r>
        <w:rPr>
          <w:rFonts w:hint="eastAsia"/>
        </w:rPr>
        <w:t xml:space="preserve">1—9月全国规模以上工业企业利润总额60337.4亿元，同比增长15.5%；高技术制造业利润增长52.0%，占全部规上工业企业利润比重超过四分之一。算力与数据中心建设带动光纤、光缆制造行业利润分别增长5.7倍和1.1倍；电子行业利润增长1.0倍，原文还点名AI算力、先进存储需求增加，并提到光电子器件和电子专用材料利润增长较快。</w:t>
      </w:r>
    </w:p>
    <w:p>
      <w:pPr>
        <w:pStyle w:val="Compact"/>
        <w:numPr>
          <w:ilvl w:val="0"/>
          <w:numId w:val="1005"/>
        </w:numPr>
      </w:pPr>
      <w:r>
        <w:rPr>
          <w:rFonts w:hint="eastAsia"/>
          <w:b/>
          <w:bCs/>
        </w:rPr>
        <w:t xml:space="preserve">话术解码：</w:t>
      </w:r>
      <w:r>
        <w:t xml:space="preserve"> </w:t>
      </w:r>
      <w:r>
        <w:rPr>
          <w:rFonts w:hint="eastAsia"/>
        </w:rPr>
        <w:t xml:space="preserve">“新动能引领作用更为明显”不是泛指所有科技行业，而是用利润数据说明高技术制造、电子及若干细分环节对工业利润增长的贡献更突出。</w:t>
      </w:r>
    </w:p>
    <w:p>
      <w:pPr>
        <w:pStyle w:val="Compact"/>
        <w:numPr>
          <w:ilvl w:val="0"/>
          <w:numId w:val="1005"/>
        </w:numPr>
      </w:pPr>
      <w:r>
        <w:rPr>
          <w:rFonts w:hint="eastAsia"/>
          <w:b/>
          <w:bCs/>
        </w:rPr>
        <w:t xml:space="preserve">A股传导推演：</w:t>
      </w:r>
      <w:r>
        <w:t xml:space="preserve"> </w:t>
      </w:r>
      <w:r>
        <w:rPr>
          <w:rFonts w:hint="eastAsia"/>
        </w:rPr>
        <w:t xml:space="preserve">短期最直接的情绪映射是AI算力、数据中心配套、光纤光缆、光电子器件、先进存储和电子专用材料；中期要看行业利润增速能否延续，以及总量数据能否传导到上市公司收入、毛利和现金流。该条是当天最强的国内基本面线索，但仍是行业汇总数据，不代表每家公司同步改善。</w:t>
      </w:r>
    </w:p>
    <w:p>
      <w:pPr>
        <w:pStyle w:val="Compact"/>
        <w:numPr>
          <w:ilvl w:val="0"/>
          <w:numId w:val="1005"/>
        </w:numPr>
      </w:pPr>
      <w:r>
        <w:rPr>
          <w:rFonts w:hint="eastAsia"/>
          <w:b/>
          <w:bCs/>
        </w:rPr>
        <w:t xml:space="preserve">证伪与风险：</w:t>
      </w:r>
      <w:r>
        <w:t xml:space="preserve"> </w:t>
      </w:r>
      <w:r>
        <w:rPr>
          <w:rFonts w:hint="eastAsia"/>
        </w:rPr>
        <w:t xml:space="preserve">若后续细分行业利润增速回落，或上市公司披露与行业总量背离，板块逻辑会弱化；高增速还需结合基数效应判断，原文未提供基数拆解。</w:t>
      </w:r>
    </w:p>
    <w:bookmarkEnd w:id="13"/>
    <w:bookmarkStart w:id="14" w:name="Xf094afd8c22596bfe917f64ce9379b33e90aef9"/>
    <w:p>
      <w:pPr>
        <w:pStyle w:val="Heading3"/>
      </w:pPr>
      <w:r>
        <w:t xml:space="preserve">5. </w:t>
      </w:r>
      <w:r>
        <w:rPr>
          <w:rFonts w:hint="eastAsia"/>
        </w:rPr>
        <w:t xml:space="preserve">各地重大水利工程加快建设</w:t>
      </w:r>
    </w:p>
    <w:p>
      <w:pPr>
        <w:pStyle w:val="Compact"/>
        <w:numPr>
          <w:ilvl w:val="0"/>
          <w:numId w:val="1006"/>
        </w:numPr>
      </w:pPr>
      <w:r>
        <w:rPr>
          <w:rFonts w:hint="eastAsia"/>
          <w:b/>
          <w:bCs/>
        </w:rPr>
        <w:t xml:space="preserve">定性：★★★｜A股影响：利好｜时效：中期。</w:t>
      </w:r>
    </w:p>
    <w:p>
      <w:pPr>
        <w:pStyle w:val="Compact"/>
        <w:numPr>
          <w:ilvl w:val="0"/>
          <w:numId w:val="1006"/>
        </w:numPr>
      </w:pPr>
      <w:r>
        <w:rPr>
          <w:rFonts w:hint="eastAsia"/>
          <w:b/>
          <w:bCs/>
        </w:rPr>
        <w:t xml:space="preserve">原文事实：</w:t>
      </w:r>
      <w:r>
        <w:t xml:space="preserve"> </w:t>
      </w:r>
      <w:r>
        <w:rPr>
          <w:rFonts w:hint="eastAsia"/>
        </w:rPr>
        <w:t xml:space="preserve">向家坝灌区节点合龙，一期二步工程预计2028年底建成，届时将向4个城市的11个县市区输水；滇中引水一期输水干渠累计掘进637公里、占总长96%；引江济淮蜀山复线船闸试运行，江淮运河等通道连通后可使大宗货物南北运输航程缩短200—600公里；引江补汉工程9台超大直径硬岩掘进机同步作业，主隧洞掘进突破40公里、完成总里程五分之一，并使用数字孪生平台采集设备7大类9000余项参数。</w:t>
      </w:r>
    </w:p>
    <w:p>
      <w:pPr>
        <w:pStyle w:val="Compact"/>
        <w:numPr>
          <w:ilvl w:val="0"/>
          <w:numId w:val="1006"/>
        </w:numPr>
      </w:pPr>
      <w:r>
        <w:rPr>
          <w:rFonts w:hint="eastAsia"/>
          <w:b/>
          <w:bCs/>
        </w:rPr>
        <w:t xml:space="preserve">话术解码：</w:t>
      </w:r>
      <w:r>
        <w:t xml:space="preserve"> </w:t>
      </w:r>
      <w:r>
        <w:rPr>
          <w:rFonts w:hint="eastAsia"/>
        </w:rPr>
        <w:t xml:space="preserve">“加快建设”“关键节点”说明项目处在实质施工或试运行阶段，信号强于仅有规划表述；但多数工程已在建，并非当天新立项。</w:t>
      </w:r>
    </w:p>
    <w:p>
      <w:pPr>
        <w:pStyle w:val="Compact"/>
        <w:numPr>
          <w:ilvl w:val="0"/>
          <w:numId w:val="1006"/>
        </w:numPr>
      </w:pPr>
      <w:r>
        <w:rPr>
          <w:rFonts w:hint="eastAsia"/>
          <w:b/>
          <w:bCs/>
        </w:rPr>
        <w:t xml:space="preserve">A股传导推演：</w:t>
      </w:r>
      <w:r>
        <w:t xml:space="preserve"> </w:t>
      </w:r>
      <w:r>
        <w:rPr>
          <w:rFonts w:hint="eastAsia"/>
        </w:rPr>
        <w:t xml:space="preserve">短期关注水利工程、隧洞施工、硬岩掘进装备、数字孪生和工程信息化等方向；中期还可观察灌溉、水资源配置及内河航运能力改善所对应的产业链。原文提供了施工量和时间节点，基本面可验证性高于纯主题叙事。</w:t>
      </w:r>
    </w:p>
    <w:p>
      <w:pPr>
        <w:pStyle w:val="Compact"/>
        <w:numPr>
          <w:ilvl w:val="0"/>
          <w:numId w:val="1006"/>
        </w:numPr>
      </w:pPr>
      <w:r>
        <w:rPr>
          <w:rFonts w:hint="eastAsia"/>
          <w:b/>
          <w:bCs/>
        </w:rPr>
        <w:t xml:space="preserve">证伪与风险：</w:t>
      </w:r>
      <w:r>
        <w:t xml:space="preserve"> </w:t>
      </w:r>
      <w:r>
        <w:rPr>
          <w:rFonts w:hint="eastAsia"/>
        </w:rPr>
        <w:t xml:space="preserve">工程进展不能等同于新增招标或新增合同；若后续节点延误、投资执行偏慢，板块映射应下调。</w:t>
      </w:r>
    </w:p>
    <w:bookmarkEnd w:id="14"/>
    <w:bookmarkStart w:id="15" w:name="X385ea229263c6b10f99348a5937b2e0530e818f"/>
    <w:p>
      <w:pPr>
        <w:pStyle w:val="Heading3"/>
      </w:pPr>
      <w:r>
        <w:t xml:space="preserve">6. </w:t>
      </w:r>
      <w:r>
        <w:rPr>
          <w:rFonts w:hint="eastAsia"/>
        </w:rPr>
        <w:t xml:space="preserve">【在希望的田野上】各地秋收秋种有序推进</w:t>
      </w:r>
    </w:p>
    <w:p>
      <w:pPr>
        <w:pStyle w:val="Compact"/>
        <w:numPr>
          <w:ilvl w:val="0"/>
          <w:numId w:val="1007"/>
        </w:numPr>
      </w:pPr>
      <w:r>
        <w:rPr>
          <w:rFonts w:hint="eastAsia"/>
          <w:b/>
          <w:bCs/>
        </w:rPr>
        <w:t xml:space="preserve">定性：★★｜A股影响：利好｜时效：季节性短期。</w:t>
      </w:r>
    </w:p>
    <w:p>
      <w:pPr>
        <w:pStyle w:val="Compact"/>
        <w:numPr>
          <w:ilvl w:val="0"/>
          <w:numId w:val="1007"/>
        </w:numPr>
      </w:pPr>
      <w:r>
        <w:rPr>
          <w:rFonts w:hint="eastAsia"/>
          <w:b/>
          <w:bCs/>
        </w:rPr>
        <w:t xml:space="preserve">原文事实：</w:t>
      </w:r>
      <w:r>
        <w:t xml:space="preserve"> </w:t>
      </w:r>
      <w:r>
        <w:rPr>
          <w:rFonts w:hint="eastAsia"/>
        </w:rPr>
        <w:t xml:space="preserve">江苏3300万亩水稻陆续成熟，调度8.1万台履带式联合收割机和3.4万台烘干机，目标是水稻机收率稳定在99%以上；浙江单季晚稻已收获超186万亩，并推进收割、烘干和入仓衔接；黑龙江秋粮收获超九成，肇源近4万亩玉米由20多台大型农机抢收、日作业近5000亩，各地还开展秸秆还田、深松等秋整地；河北冬小麦播种超过3300万亩、接近计划的98%，作业中使用北斗导航辅助驾驶和精量播种设备。</w:t>
      </w:r>
    </w:p>
    <w:p>
      <w:pPr>
        <w:pStyle w:val="Compact"/>
        <w:numPr>
          <w:ilvl w:val="0"/>
          <w:numId w:val="1007"/>
        </w:numPr>
      </w:pPr>
      <w:r>
        <w:rPr>
          <w:rFonts w:hint="eastAsia"/>
          <w:b/>
          <w:bCs/>
        </w:rPr>
        <w:t xml:space="preserve">话术解码：</w:t>
      </w:r>
      <w:r>
        <w:t xml:space="preserve"> </w:t>
      </w:r>
      <w:r>
        <w:rPr>
          <w:rFonts w:hint="eastAsia"/>
        </w:rPr>
        <w:t xml:space="preserve">“有序推进”表示生产按季节进度展开，不是额外刺激政策；报道重点是机械化、烘干仓储和精准作业保障粮食归仓与播种。</w:t>
      </w:r>
    </w:p>
    <w:p>
      <w:pPr>
        <w:pStyle w:val="Compact"/>
        <w:numPr>
          <w:ilvl w:val="0"/>
          <w:numId w:val="1007"/>
        </w:numPr>
      </w:pPr>
      <w:r>
        <w:rPr>
          <w:rFonts w:hint="eastAsia"/>
          <w:b/>
          <w:bCs/>
        </w:rPr>
        <w:t xml:space="preserve">A股传导推演：</w:t>
      </w:r>
      <w:r>
        <w:t xml:space="preserve"> </w:t>
      </w:r>
      <w:r>
        <w:rPr>
          <w:rFonts w:hint="eastAsia"/>
        </w:rPr>
        <w:t xml:space="preserve">短期利好农业机械、粮食烘干仓储和北斗农业应用的主题关注；中期逻辑取决于设备更新、服务需求和企业经营数据，而不是收获进度本身。</w:t>
      </w:r>
    </w:p>
    <w:p>
      <w:pPr>
        <w:pStyle w:val="Compact"/>
        <w:numPr>
          <w:ilvl w:val="0"/>
          <w:numId w:val="1007"/>
        </w:numPr>
      </w:pPr>
      <w:r>
        <w:rPr>
          <w:rFonts w:hint="eastAsia"/>
          <w:b/>
          <w:bCs/>
        </w:rPr>
        <w:t xml:space="preserve">证伪与风险：</w:t>
      </w:r>
      <w:r>
        <w:t xml:space="preserve"> </w:t>
      </w:r>
      <w:r>
        <w:rPr>
          <w:rFonts w:hint="eastAsia"/>
        </w:rPr>
        <w:t xml:space="preserve">农忙期设备投入具有季节性，报道没有披露新增采购金额，不能据此外推行业全年业绩。</w:t>
      </w:r>
    </w:p>
    <w:bookmarkEnd w:id="15"/>
    <w:bookmarkStart w:id="16" w:name="Xf035d0eaa7f0d07966285f230c4d21f5ec15028"/>
    <w:p>
      <w:pPr>
        <w:pStyle w:val="Heading3"/>
      </w:pPr>
      <w:r>
        <w:t xml:space="preserve">7. </w:t>
      </w:r>
      <w:r>
        <w:rPr>
          <w:rFonts w:hint="eastAsia"/>
        </w:rPr>
        <w:t xml:space="preserve">我国风电光伏累计装机容量突破20亿千瓦</w:t>
      </w:r>
    </w:p>
    <w:p>
      <w:pPr>
        <w:pStyle w:val="Compact"/>
        <w:numPr>
          <w:ilvl w:val="0"/>
          <w:numId w:val="1008"/>
        </w:numPr>
      </w:pPr>
      <w:r>
        <w:rPr>
          <w:rFonts w:hint="eastAsia"/>
          <w:b/>
          <w:bCs/>
        </w:rPr>
        <w:t xml:space="preserve">定性：★★★｜A股影响：利好｜时效：短期至中期。</w:t>
      </w:r>
    </w:p>
    <w:p>
      <w:pPr>
        <w:pStyle w:val="Compact"/>
        <w:numPr>
          <w:ilvl w:val="0"/>
          <w:numId w:val="1008"/>
        </w:numPr>
      </w:pPr>
      <w:r>
        <w:rPr>
          <w:rFonts w:hint="eastAsia"/>
          <w:b/>
          <w:bCs/>
        </w:rPr>
        <w:t xml:space="preserve">原文事实：</w:t>
      </w:r>
      <w:r>
        <w:t xml:space="preserve"> </w:t>
      </w:r>
      <w:r>
        <w:rPr>
          <w:rFonts w:hint="eastAsia"/>
        </w:rPr>
        <w:t xml:space="preserve">前三季度风电光伏新增装机约1.7亿千瓦；截至9月底累计装机达到20.1亿千瓦。风光发电增量占全社会新增用电量的64%；前三季度风电和太阳能发电投资额约占能源领域完成投资额的三分之一，并带动新能源装备制造、材料研发和智能运维协同发展。</w:t>
      </w:r>
    </w:p>
    <w:p>
      <w:pPr>
        <w:pStyle w:val="Compact"/>
        <w:numPr>
          <w:ilvl w:val="0"/>
          <w:numId w:val="1008"/>
        </w:numPr>
      </w:pPr>
      <w:r>
        <w:rPr>
          <w:rFonts w:hint="eastAsia"/>
          <w:b/>
          <w:bCs/>
        </w:rPr>
        <w:t xml:space="preserve">话术解码：</w:t>
      </w:r>
      <w:r>
        <w:t xml:space="preserve"> </w:t>
      </w:r>
      <w:r>
        <w:rPr>
          <w:rFonts w:hint="eastAsia"/>
        </w:rPr>
        <w:t xml:space="preserve">“突破20亿千瓦”是产业规模里程碑；“投资重要引擎”说明资本投入和产业链协同仍在延续，但不是新的补贴或价格政策。</w:t>
      </w:r>
    </w:p>
    <w:p>
      <w:pPr>
        <w:pStyle w:val="Compact"/>
        <w:numPr>
          <w:ilvl w:val="0"/>
          <w:numId w:val="1008"/>
        </w:numPr>
      </w:pPr>
      <w:r>
        <w:rPr>
          <w:rFonts w:hint="eastAsia"/>
          <w:b/>
          <w:bCs/>
        </w:rPr>
        <w:t xml:space="preserve">A股传导推演：</w:t>
      </w:r>
      <w:r>
        <w:t xml:space="preserve"> </w:t>
      </w:r>
      <w:r>
        <w:rPr>
          <w:rFonts w:hint="eastAsia"/>
        </w:rPr>
        <w:t xml:space="preserve">短期有利于风电、光伏、新能源装备、材料和智能运维等原文直接点名方向；中期要验证装机增长能否转化为产业链盈利改善。相比单纯政策口号，这组装机与投资占比数据更扎实，但仍不能替代价格和利润数据。</w:t>
      </w:r>
    </w:p>
    <w:p>
      <w:pPr>
        <w:pStyle w:val="Compact"/>
        <w:numPr>
          <w:ilvl w:val="0"/>
          <w:numId w:val="1008"/>
        </w:numPr>
      </w:pPr>
      <w:r>
        <w:rPr>
          <w:rFonts w:hint="eastAsia"/>
          <w:b/>
          <w:bCs/>
        </w:rPr>
        <w:t xml:space="preserve">证伪与风险：</w:t>
      </w:r>
      <w:r>
        <w:t xml:space="preserve"> </w:t>
      </w:r>
      <w:r>
        <w:rPr>
          <w:rFonts w:hint="eastAsia"/>
        </w:rPr>
        <w:t xml:space="preserve">装机增长不必然带来各环节利润同步增长；原文没有披露产品价格、产能利用率和企业盈利情况，交易时需防止把规模增长等同于利润增长。</w:t>
      </w:r>
    </w:p>
    <w:bookmarkEnd w:id="16"/>
    <w:bookmarkStart w:id="17" w:name="X7a9c4d2baef355dd69bfbdc508123f161711add"/>
    <w:p>
      <w:pPr>
        <w:pStyle w:val="Heading3"/>
      </w:pPr>
      <w:r>
        <w:t xml:space="preserve">8. </w:t>
      </w:r>
      <w:r>
        <w:rPr>
          <w:rFonts w:hint="eastAsia"/>
        </w:rPr>
        <w:t xml:space="preserve">第140届广交会第二期线下展今天闭展</w:t>
      </w:r>
    </w:p>
    <w:p>
      <w:pPr>
        <w:pStyle w:val="Compact"/>
        <w:numPr>
          <w:ilvl w:val="0"/>
          <w:numId w:val="1009"/>
        </w:numPr>
      </w:pPr>
      <w:r>
        <w:rPr>
          <w:rFonts w:hint="eastAsia"/>
          <w:b/>
          <w:bCs/>
        </w:rPr>
        <w:t xml:space="preserve">定性：★★｜A股影响：利好｜时效：短期观察。</w:t>
      </w:r>
    </w:p>
    <w:p>
      <w:pPr>
        <w:pStyle w:val="Compact"/>
        <w:numPr>
          <w:ilvl w:val="0"/>
          <w:numId w:val="1009"/>
        </w:numPr>
      </w:pPr>
      <w:r>
        <w:rPr>
          <w:rFonts w:hint="eastAsia"/>
          <w:b/>
          <w:bCs/>
        </w:rPr>
        <w:t xml:space="preserve">原文事实：</w:t>
      </w:r>
      <w:r>
        <w:t xml:space="preserve"> </w:t>
      </w:r>
      <w:r>
        <w:rPr>
          <w:rFonts w:hint="eastAsia"/>
        </w:rPr>
        <w:t xml:space="preserve">第二期有1.1万家企业参展，其中专精特新、单项冠军等优质企业超过3600家，同比增长约7.6%；截至当时线下举办近20场供采对接活动、线上组织22场选品活动；第二期举行178场新品首发，首发新品较上届增长约15%。第三期将于10月31日至11月4日展出玩具、时尚、家纺、文具、健康休闲五类产品。</w:t>
      </w:r>
    </w:p>
    <w:p>
      <w:pPr>
        <w:pStyle w:val="Compact"/>
        <w:numPr>
          <w:ilvl w:val="0"/>
          <w:numId w:val="1009"/>
        </w:numPr>
      </w:pPr>
      <w:r>
        <w:rPr>
          <w:rFonts w:hint="eastAsia"/>
          <w:b/>
          <w:bCs/>
        </w:rPr>
        <w:t xml:space="preserve">话术解码：</w:t>
      </w:r>
      <w:r>
        <w:t xml:space="preserve"> </w:t>
      </w:r>
      <w:r>
        <w:rPr>
          <w:rFonts w:hint="eastAsia"/>
        </w:rPr>
        <w:t xml:space="preserve">“精准对接全球市场”反映的是展会提供撮合渠道；参展、对接和新品数量增长不能直接等同于成交或出口增长。</w:t>
      </w:r>
    </w:p>
    <w:p>
      <w:pPr>
        <w:pStyle w:val="Compact"/>
        <w:numPr>
          <w:ilvl w:val="0"/>
          <w:numId w:val="1009"/>
        </w:numPr>
      </w:pPr>
      <w:r>
        <w:rPr>
          <w:rFonts w:hint="eastAsia"/>
          <w:b/>
          <w:bCs/>
        </w:rPr>
        <w:t xml:space="preserve">A股传导推演：</w:t>
      </w:r>
      <w:r>
        <w:t xml:space="preserve"> </w:t>
      </w:r>
      <w:r>
        <w:rPr>
          <w:rFonts w:hint="eastAsia"/>
        </w:rPr>
        <w:t xml:space="preserve">短期可观察专精特新、外贸服务及第三期涉及的玩具、家纺、文具和健康休闲等出口消费方向；中期需等待真实成交、交付和企业收入验证。</w:t>
      </w:r>
    </w:p>
    <w:p>
      <w:pPr>
        <w:pStyle w:val="Compact"/>
        <w:numPr>
          <w:ilvl w:val="0"/>
          <w:numId w:val="1009"/>
        </w:numPr>
      </w:pPr>
      <w:r>
        <w:rPr>
          <w:rFonts w:hint="eastAsia"/>
          <w:b/>
          <w:bCs/>
        </w:rPr>
        <w:t xml:space="preserve">证伪与风险：</w:t>
      </w:r>
      <w:r>
        <w:t xml:space="preserve"> </w:t>
      </w:r>
      <w:r>
        <w:rPr>
          <w:rFonts w:hint="eastAsia"/>
        </w:rPr>
        <w:t xml:space="preserve">原文未披露成交金额或企业订单，把活动热度直接折算为业绩会高估信号。</w:t>
      </w:r>
    </w:p>
    <w:bookmarkEnd w:id="17"/>
    <w:bookmarkStart w:id="18" w:name="X53df3db07b6eacdf04537f02925a5777fa1adc7"/>
    <w:p>
      <w:pPr>
        <w:pStyle w:val="Heading3"/>
      </w:pPr>
      <w:r>
        <w:t xml:space="preserve">9. </w:t>
      </w:r>
      <w:r>
        <w:rPr>
          <w:rFonts w:hint="eastAsia"/>
        </w:rPr>
        <w:t xml:space="preserve">城市公交通行</w:t>
      </w:r>
      <w:r>
        <w:t xml:space="preserve"> </w:t>
      </w:r>
      <w:r>
        <w:rPr>
          <w:rFonts w:hint="eastAsia"/>
        </w:rPr>
        <w:t xml:space="preserve">模式活起来服务暖起来</w:t>
      </w:r>
    </w:p>
    <w:p>
      <w:pPr>
        <w:pStyle w:val="Compact"/>
        <w:numPr>
          <w:ilvl w:val="0"/>
          <w:numId w:val="1010"/>
        </w:numPr>
      </w:pPr>
      <w:r>
        <w:rPr>
          <w:rFonts w:hint="eastAsia"/>
          <w:b/>
          <w:bCs/>
        </w:rPr>
        <w:t xml:space="preserve">定性：★★｜A股影响：中性｜时效：中期。</w:t>
      </w:r>
    </w:p>
    <w:p>
      <w:pPr>
        <w:pStyle w:val="Compact"/>
        <w:numPr>
          <w:ilvl w:val="0"/>
          <w:numId w:val="1010"/>
        </w:numPr>
      </w:pPr>
      <w:r>
        <w:rPr>
          <w:rFonts w:hint="eastAsia"/>
          <w:b/>
          <w:bCs/>
        </w:rPr>
        <w:t xml:space="preserve">原文事实：</w:t>
      </w:r>
      <w:r>
        <w:t xml:space="preserve"> </w:t>
      </w:r>
      <w:r>
        <w:rPr>
          <w:rFonts w:hint="eastAsia"/>
        </w:rPr>
        <w:t xml:space="preserve">我国每天有超过1亿人次通过城市公交出行；苏州试行按需停靠后，车辆单趟启停频次减少约10%，全国已有30余座城市推行；广东、四川等地发展地铁微巴、园区巴士等末端接驳；天津通过成本绩效管理和线网重构优化调整284条公交线路。交通运输部提出按城市规模和轨道交通成网程度构建分层公交体系。</w:t>
      </w:r>
    </w:p>
    <w:p>
      <w:pPr>
        <w:pStyle w:val="Compact"/>
        <w:numPr>
          <w:ilvl w:val="0"/>
          <w:numId w:val="1010"/>
        </w:numPr>
      </w:pPr>
      <w:r>
        <w:rPr>
          <w:rFonts w:hint="eastAsia"/>
          <w:b/>
          <w:bCs/>
        </w:rPr>
        <w:t xml:space="preserve">话术解码：</w:t>
      </w:r>
      <w:r>
        <w:t xml:space="preserve"> </w:t>
      </w:r>
      <w:r>
        <w:rPr>
          <w:rFonts w:hint="eastAsia"/>
        </w:rPr>
        <w:t xml:space="preserve">“按需服务、末端接驳、成本绩效管理”说明公共交通改革重心从单纯增加线路，转向效率、灵活调度和基本服务保障。</w:t>
      </w:r>
    </w:p>
    <w:p>
      <w:pPr>
        <w:pStyle w:val="Compact"/>
        <w:numPr>
          <w:ilvl w:val="0"/>
          <w:numId w:val="1010"/>
        </w:numPr>
      </w:pPr>
      <w:r>
        <w:rPr>
          <w:rFonts w:hint="eastAsia"/>
          <w:b/>
          <w:bCs/>
        </w:rPr>
        <w:t xml:space="preserve">A股传导推演：</w:t>
      </w:r>
      <w:r>
        <w:t xml:space="preserve"> </w:t>
      </w:r>
      <w:r>
        <w:rPr>
          <w:rFonts w:hint="eastAsia"/>
        </w:rPr>
        <w:t xml:space="preserve">短期资本市场催化较弱；中期可观察公共交通运营优化、调度信息化、微循环车辆和适老化改造方向，但原文没有全国采购规模或投资金额，因此维持中性判断。</w:t>
      </w:r>
    </w:p>
    <w:p>
      <w:pPr>
        <w:pStyle w:val="Compact"/>
        <w:numPr>
          <w:ilvl w:val="0"/>
          <w:numId w:val="1010"/>
        </w:numPr>
      </w:pPr>
      <w:r>
        <w:rPr>
          <w:rFonts w:hint="eastAsia"/>
          <w:b/>
          <w:bCs/>
        </w:rPr>
        <w:t xml:space="preserve">证伪与风险：</w:t>
      </w:r>
      <w:r>
        <w:t xml:space="preserve"> </w:t>
      </w:r>
      <w:r>
        <w:rPr>
          <w:rFonts w:hint="eastAsia"/>
        </w:rPr>
        <w:t xml:space="preserve">模式推广不必然带来设备新增需求，部分改革的目标是降本增效，不能只按扩张逻辑交易。</w:t>
      </w:r>
    </w:p>
    <w:bookmarkEnd w:id="18"/>
    <w:bookmarkStart w:id="26" w:name="Xbedf06af0fa6a4e60f422b240bffe24e4092cca"/>
    <w:p>
      <w:pPr>
        <w:pStyle w:val="Heading3"/>
      </w:pPr>
      <w:r>
        <w:t xml:space="preserve">10. </w:t>
      </w:r>
      <w:r>
        <w:rPr>
          <w:rFonts w:hint="eastAsia"/>
        </w:rPr>
        <w:t xml:space="preserve">国内联播快讯</w:t>
      </w:r>
    </w:p>
    <w:p>
      <w:pPr>
        <w:pStyle w:val="FirstParagraph"/>
      </w:pPr>
      <w:r>
        <w:rPr>
          <w:rFonts w:hint="eastAsia"/>
        </w:rPr>
        <w:t xml:space="preserve">该一级条目包含7个子条目，以下逐项分析，不以合集标题代替覆盖。</w:t>
      </w:r>
    </w:p>
    <w:bookmarkStart w:id="19" w:name="X01668faf092f9f7bc5b8cdc1c73a591ca3f1398"/>
    <w:p>
      <w:pPr>
        <w:pStyle w:val="Heading4"/>
      </w:pPr>
      <w:r>
        <w:t xml:space="preserve">10.1 </w:t>
      </w:r>
      <w:r>
        <w:rPr>
          <w:rFonts w:hint="eastAsia"/>
        </w:rPr>
        <w:t xml:space="preserve">前三季度西部陆海新通道沿线经通道进出口超7870亿元</w:t>
      </w:r>
    </w:p>
    <w:p>
      <w:pPr>
        <w:pStyle w:val="Compact"/>
        <w:numPr>
          <w:ilvl w:val="0"/>
          <w:numId w:val="1011"/>
        </w:numPr>
      </w:pPr>
      <w:r>
        <w:rPr>
          <w:rFonts w:hint="eastAsia"/>
          <w:b/>
          <w:bCs/>
        </w:rPr>
        <w:t xml:space="preserve">原文事实：</w:t>
      </w:r>
      <w:r>
        <w:t xml:space="preserve"> </w:t>
      </w:r>
      <w:r>
        <w:rPr>
          <w:rFonts w:hint="eastAsia"/>
        </w:rPr>
        <w:t xml:space="preserve">沿线“13+2”省区市经通道进出口7870.6亿元，同比增长11.5%，创历史同期新高；高新技术产品经通道出口增长30%，大宗商品和特色农产品经通道进入西部内陆地区。</w:t>
      </w:r>
    </w:p>
    <w:p>
      <w:pPr>
        <w:pStyle w:val="Compact"/>
        <w:numPr>
          <w:ilvl w:val="0"/>
          <w:numId w:val="1011"/>
        </w:numPr>
      </w:pPr>
      <w:r>
        <w:rPr>
          <w:rFonts w:hint="eastAsia"/>
          <w:b/>
          <w:bCs/>
        </w:rPr>
        <w:t xml:space="preserve">解码与A股推演：★★｜利好｜短期至中期。</w:t>
      </w:r>
      <w:r>
        <w:t xml:space="preserve"> </w:t>
      </w:r>
      <w:r>
        <w:rPr>
          <w:rFonts w:hint="eastAsia"/>
        </w:rPr>
        <w:t xml:space="preserve">数据说明通道贸易量继续增长，短期利好跨境物流、铁路与通道运营等主题关注；中期看点是高技术产品出口物流和西部供应链效率。原文没有披露单一企业份额，不能把通道总额等同于个股收入。</w:t>
      </w:r>
    </w:p>
    <w:p>
      <w:pPr>
        <w:pStyle w:val="Compact"/>
        <w:numPr>
          <w:ilvl w:val="0"/>
          <w:numId w:val="1011"/>
        </w:numPr>
      </w:pPr>
      <w:r>
        <w:rPr>
          <w:rFonts w:hint="eastAsia"/>
          <w:b/>
          <w:bCs/>
        </w:rPr>
        <w:t xml:space="preserve">证伪与风险：</w:t>
      </w:r>
      <w:r>
        <w:t xml:space="preserve"> </w:t>
      </w:r>
      <w:r>
        <w:rPr>
          <w:rFonts w:hint="eastAsia"/>
        </w:rPr>
        <w:t xml:space="preserve">若后续增速回落，或相关企业业务并不覆盖该通道，映射关系会失效。</w:t>
      </w:r>
    </w:p>
    <w:bookmarkEnd w:id="19"/>
    <w:bookmarkStart w:id="20" w:name="Xc23a7aedf2ae8ea83cdcf07d4159365aac0b763"/>
    <w:p>
      <w:pPr>
        <w:pStyle w:val="Heading4"/>
      </w:pPr>
      <w:r>
        <w:t xml:space="preserve">10.2 </w:t>
      </w:r>
      <w:r>
        <w:rPr>
          <w:rFonts w:hint="eastAsia"/>
        </w:rPr>
        <w:t xml:space="preserve">第三季度全国农产品质量安全状况保持稳定</w:t>
      </w:r>
    </w:p>
    <w:p>
      <w:pPr>
        <w:pStyle w:val="Compact"/>
        <w:numPr>
          <w:ilvl w:val="0"/>
          <w:numId w:val="1012"/>
        </w:numPr>
      </w:pPr>
      <w:r>
        <w:rPr>
          <w:rFonts w:hint="eastAsia"/>
          <w:b/>
          <w:bCs/>
        </w:rPr>
        <w:t xml:space="preserve">原文事实：</w:t>
      </w:r>
      <w:r>
        <w:t xml:space="preserve"> </w:t>
      </w:r>
      <w:r>
        <w:rPr>
          <w:rFonts w:hint="eastAsia"/>
        </w:rPr>
        <w:t xml:space="preserve">对蔬菜、水果、畜禽和水产品4大类111个品种开展例行监测，合格率98.3%；不合格样品信息已转地方处置。</w:t>
      </w:r>
    </w:p>
    <w:p>
      <w:pPr>
        <w:pStyle w:val="Compact"/>
        <w:numPr>
          <w:ilvl w:val="0"/>
          <w:numId w:val="1012"/>
        </w:numPr>
      </w:pPr>
      <w:r>
        <w:rPr>
          <w:rFonts w:hint="eastAsia"/>
          <w:b/>
          <w:bCs/>
        </w:rPr>
        <w:t xml:space="preserve">解码与A股推演：★｜中性｜短期。</w:t>
      </w:r>
      <w:r>
        <w:t xml:space="preserve"> </w:t>
      </w:r>
      <w:r>
        <w:rPr>
          <w:rFonts w:hint="eastAsia"/>
        </w:rPr>
        <w:t xml:space="preserve">“总体保持稳定”是质量结果确认，不是新增监管政策。农产品质量检测与追溯方向存在长期治理需求，但当天没有新增采购或标准变化，交易信号弱。</w:t>
      </w:r>
    </w:p>
    <w:p>
      <w:pPr>
        <w:pStyle w:val="Compact"/>
        <w:numPr>
          <w:ilvl w:val="0"/>
          <w:numId w:val="1012"/>
        </w:numPr>
      </w:pPr>
      <w:r>
        <w:rPr>
          <w:rFonts w:hint="eastAsia"/>
          <w:b/>
          <w:bCs/>
        </w:rPr>
        <w:t xml:space="preserve">证伪与风险：</w:t>
      </w:r>
      <w:r>
        <w:t xml:space="preserve"> </w:t>
      </w:r>
      <w:r>
        <w:rPr>
          <w:rFonts w:hint="eastAsia"/>
        </w:rPr>
        <w:t xml:space="preserve">仅凭一次合格率数据推演检测设备放量，缺乏原文依据。</w:t>
      </w:r>
    </w:p>
    <w:bookmarkEnd w:id="20"/>
    <w:bookmarkStart w:id="21" w:name="X3370c78041b515651a872ab81206ebb92a17696"/>
    <w:p>
      <w:pPr>
        <w:pStyle w:val="Heading4"/>
      </w:pPr>
      <w:r>
        <w:t xml:space="preserve">10.3 </w:t>
      </w:r>
      <w:r>
        <w:rPr>
          <w:rFonts w:hint="eastAsia"/>
        </w:rPr>
        <w:t xml:space="preserve">民政部部署开展“寒冬送温暖”专项救助行动</w:t>
      </w:r>
    </w:p>
    <w:p>
      <w:pPr>
        <w:pStyle w:val="Compact"/>
        <w:numPr>
          <w:ilvl w:val="0"/>
          <w:numId w:val="1013"/>
        </w:numPr>
      </w:pPr>
      <w:r>
        <w:rPr>
          <w:rFonts w:hint="eastAsia"/>
          <w:b/>
          <w:bCs/>
        </w:rPr>
        <w:t xml:space="preserve">原文事实：</w:t>
      </w:r>
      <w:r>
        <w:t xml:space="preserve"> </w:t>
      </w:r>
      <w:r>
        <w:rPr>
          <w:rFonts w:hint="eastAsia"/>
        </w:rPr>
        <w:t xml:space="preserve">民政部要求救助热线全天畅通，建立气象预警联动机制，会同相关部门快速处置救助线索，为临时遇困群众提供基本生活保障。</w:t>
      </w:r>
    </w:p>
    <w:p>
      <w:pPr>
        <w:pStyle w:val="Compact"/>
        <w:numPr>
          <w:ilvl w:val="0"/>
          <w:numId w:val="1013"/>
        </w:numPr>
      </w:pPr>
      <w:r>
        <w:rPr>
          <w:rFonts w:hint="eastAsia"/>
          <w:b/>
          <w:bCs/>
        </w:rPr>
        <w:t xml:space="preserve">解码与A股推演：★｜中性｜季节性短期。</w:t>
      </w:r>
      <w:r>
        <w:t xml:space="preserve"> </w:t>
      </w:r>
      <w:r>
        <w:rPr>
          <w:rFonts w:hint="eastAsia"/>
        </w:rPr>
        <w:t xml:space="preserve">这是民生兜底和部门协同安排，政策目标明确，但没有产业投资或采购规模，对A股缺少直接映射。</w:t>
      </w:r>
    </w:p>
    <w:p>
      <w:pPr>
        <w:pStyle w:val="Compact"/>
        <w:numPr>
          <w:ilvl w:val="0"/>
          <w:numId w:val="1013"/>
        </w:numPr>
      </w:pPr>
      <w:r>
        <w:rPr>
          <w:rFonts w:hint="eastAsia"/>
          <w:b/>
          <w:bCs/>
        </w:rPr>
        <w:t xml:space="preserve">证伪与风险：</w:t>
      </w:r>
      <w:r>
        <w:t xml:space="preserve"> </w:t>
      </w:r>
      <w:r>
        <w:rPr>
          <w:rFonts w:hint="eastAsia"/>
        </w:rPr>
        <w:t xml:space="preserve">不宜将公共救助行动扩展为消费刺激或商业服务订单。</w:t>
      </w:r>
    </w:p>
    <w:bookmarkEnd w:id="21"/>
    <w:bookmarkStart w:id="22" w:name="X52f941a8de70b9fbb1597cd64e71439ee8d263f"/>
    <w:p>
      <w:pPr>
        <w:pStyle w:val="Heading4"/>
      </w:pPr>
      <w:r>
        <w:t xml:space="preserve">10.4 </w:t>
      </w:r>
      <w:r>
        <w:rPr>
          <w:rFonts w:hint="eastAsia"/>
        </w:rPr>
        <w:t xml:space="preserve">前三季度全国环境空气质量总体向好</w:t>
      </w:r>
    </w:p>
    <w:p>
      <w:pPr>
        <w:pStyle w:val="Compact"/>
        <w:numPr>
          <w:ilvl w:val="0"/>
          <w:numId w:val="1014"/>
        </w:numPr>
      </w:pPr>
      <w:r>
        <w:rPr>
          <w:rFonts w:hint="eastAsia"/>
          <w:b/>
          <w:bCs/>
        </w:rPr>
        <w:t xml:space="preserve">原文事实：</w:t>
      </w:r>
      <w:r>
        <w:t xml:space="preserve"> </w:t>
      </w:r>
      <w:r>
        <w:rPr>
          <w:rFonts w:hint="eastAsia"/>
        </w:rPr>
        <w:t xml:space="preserve">1—9月339个地级及以上城市PM2.5平均浓度24.9微克/立方米，同比下降3.9%；优良天数比例86.6%，同比上升2.8个百分点；重度及以上污染天数比例0.7%，同比下降0.4个百分点。</w:t>
      </w:r>
    </w:p>
    <w:p>
      <w:pPr>
        <w:pStyle w:val="Compact"/>
        <w:numPr>
          <w:ilvl w:val="0"/>
          <w:numId w:val="1014"/>
        </w:numPr>
      </w:pPr>
      <w:r>
        <w:rPr>
          <w:rFonts w:hint="eastAsia"/>
          <w:b/>
          <w:bCs/>
        </w:rPr>
        <w:t xml:space="preserve">解码与A股推演：★★｜中性｜中期。</w:t>
      </w:r>
      <w:r>
        <w:t xml:space="preserve"> </w:t>
      </w:r>
      <w:r>
        <w:rPr>
          <w:rFonts w:hint="eastAsia"/>
        </w:rPr>
        <w:t xml:space="preserve">数据确认空气质量改善，是治理成效而非新增环保投资计划。环境监测和大气治理板块可作为政策延续方向观察，但没有新需求规模支撑，当日不宜定性为强利好。</w:t>
      </w:r>
    </w:p>
    <w:p>
      <w:pPr>
        <w:pStyle w:val="Compact"/>
        <w:numPr>
          <w:ilvl w:val="0"/>
          <w:numId w:val="1014"/>
        </w:numPr>
      </w:pPr>
      <w:r>
        <w:rPr>
          <w:rFonts w:hint="eastAsia"/>
          <w:b/>
          <w:bCs/>
        </w:rPr>
        <w:t xml:space="preserve">证伪与风险：</w:t>
      </w:r>
      <w:r>
        <w:t xml:space="preserve"> </w:t>
      </w:r>
      <w:r>
        <w:rPr>
          <w:rFonts w:hint="eastAsia"/>
        </w:rPr>
        <w:t xml:space="preserve">治理结果改善可能与新增设备需求并不同步，不能仅凭结果数据推导订单增长。</w:t>
      </w:r>
    </w:p>
    <w:bookmarkEnd w:id="22"/>
    <w:bookmarkStart w:id="23" w:name="X9590496bf508d2f66fa61e2e7d7efb80f90cbe7"/>
    <w:p>
      <w:pPr>
        <w:pStyle w:val="Heading4"/>
      </w:pPr>
      <w:r>
        <w:t xml:space="preserve">10.5 </w:t>
      </w:r>
      <w:r>
        <w:rPr>
          <w:rFonts w:hint="eastAsia"/>
        </w:rPr>
        <w:t xml:space="preserve">我国首条至冰岛定期客运航线正式开通</w:t>
      </w:r>
    </w:p>
    <w:p>
      <w:pPr>
        <w:pStyle w:val="Compact"/>
        <w:numPr>
          <w:ilvl w:val="0"/>
          <w:numId w:val="1015"/>
        </w:numPr>
      </w:pPr>
      <w:r>
        <w:rPr>
          <w:rFonts w:hint="eastAsia"/>
          <w:b/>
          <w:bCs/>
        </w:rPr>
        <w:t xml:space="preserve">原文事实：</w:t>
      </w:r>
      <w:r>
        <w:t xml:space="preserve"> </w:t>
      </w:r>
      <w:r>
        <w:rPr>
          <w:rFonts w:hint="eastAsia"/>
        </w:rPr>
        <w:t xml:space="preserve">北京—哥本哈根—雷克雅未克航线于当地时间10月26日完成首航，是中国大陆航空公司首条通往冰岛的定期客运航线，也是当时东亚和东南亚地区到冰岛唯一的定期客运航线。</w:t>
      </w:r>
    </w:p>
    <w:p>
      <w:pPr>
        <w:pStyle w:val="Compact"/>
        <w:numPr>
          <w:ilvl w:val="0"/>
          <w:numId w:val="1015"/>
        </w:numPr>
      </w:pPr>
      <w:r>
        <w:rPr>
          <w:rFonts w:hint="eastAsia"/>
          <w:b/>
          <w:bCs/>
        </w:rPr>
        <w:t xml:space="preserve">解码与A股推演：★｜中性｜中期观察。</w:t>
      </w:r>
      <w:r>
        <w:t xml:space="preserve"> </w:t>
      </w:r>
      <w:r>
        <w:rPr>
          <w:rFonts w:hint="eastAsia"/>
        </w:rPr>
        <w:t xml:space="preserve">新航线改善特定目的地连通性，对航空出行和相关旅游服务是边际正面信息；但单条航线对行业总量影响有限。</w:t>
      </w:r>
    </w:p>
    <w:p>
      <w:pPr>
        <w:pStyle w:val="Compact"/>
        <w:numPr>
          <w:ilvl w:val="0"/>
          <w:numId w:val="1015"/>
        </w:numPr>
      </w:pPr>
      <w:r>
        <w:rPr>
          <w:rFonts w:hint="eastAsia"/>
          <w:b/>
          <w:bCs/>
        </w:rPr>
        <w:t xml:space="preserve">证伪与风险：</w:t>
      </w:r>
      <w:r>
        <w:t xml:space="preserve"> </w:t>
      </w:r>
      <w:r>
        <w:rPr>
          <w:rFonts w:hint="eastAsia"/>
        </w:rPr>
        <w:t xml:space="preserve">后续客座、班次和运营数据原文均未披露，不能先行判断盈利贡献。</w:t>
      </w:r>
    </w:p>
    <w:bookmarkEnd w:id="23"/>
    <w:bookmarkStart w:id="24" w:name="X5a188365b8b4f6ccbcbe6263b0b347c1c0a7ff1"/>
    <w:p>
      <w:pPr>
        <w:pStyle w:val="Heading4"/>
      </w:pPr>
      <w:r>
        <w:t xml:space="preserve">10.6 </w:t>
      </w:r>
      <w:r>
        <w:rPr>
          <w:rFonts w:hint="eastAsia"/>
        </w:rPr>
        <w:t xml:space="preserve">新建银川至巴彦浩特铁路正式启动联调联试</w:t>
      </w:r>
    </w:p>
    <w:p>
      <w:pPr>
        <w:pStyle w:val="Compact"/>
        <w:numPr>
          <w:ilvl w:val="0"/>
          <w:numId w:val="1016"/>
        </w:numPr>
      </w:pPr>
      <w:r>
        <w:rPr>
          <w:rFonts w:hint="eastAsia"/>
          <w:b/>
          <w:bCs/>
        </w:rPr>
        <w:t xml:space="preserve">原文事实：</w:t>
      </w:r>
      <w:r>
        <w:t xml:space="preserve"> </w:t>
      </w:r>
      <w:r>
        <w:rPr>
          <w:rFonts w:hint="eastAsia"/>
        </w:rPr>
        <w:t xml:space="preserve">新建银巴铁路正线约111公里、设计速度200公里/小时，已进入工程验收关键阶段；开通后将打通阿拉善盟对外快速铁路通道并完善区域路网。</w:t>
      </w:r>
    </w:p>
    <w:p>
      <w:pPr>
        <w:pStyle w:val="Compact"/>
        <w:numPr>
          <w:ilvl w:val="0"/>
          <w:numId w:val="1016"/>
        </w:numPr>
      </w:pPr>
      <w:r>
        <w:rPr>
          <w:rFonts w:hint="eastAsia"/>
          <w:b/>
          <w:bCs/>
        </w:rPr>
        <w:t xml:space="preserve">解码与A股推演：★★｜利好｜短期至中期。</w:t>
      </w:r>
      <w:r>
        <w:t xml:space="preserve"> </w:t>
      </w:r>
      <w:r>
        <w:rPr>
          <w:rFonts w:hint="eastAsia"/>
        </w:rPr>
        <w:t xml:space="preserve">“联调联试”意味着工程从建设向验收和运营准备推进，铁路工程、检测调试及区域交通物流方向获得进度型催化；由于项目主体建设接近完成，不能按新开工规模理解。</w:t>
      </w:r>
    </w:p>
    <w:p>
      <w:pPr>
        <w:pStyle w:val="Compact"/>
        <w:numPr>
          <w:ilvl w:val="0"/>
          <w:numId w:val="1016"/>
        </w:numPr>
      </w:pPr>
      <w:r>
        <w:rPr>
          <w:rFonts w:hint="eastAsia"/>
          <w:b/>
          <w:bCs/>
        </w:rPr>
        <w:t xml:space="preserve">证伪与风险：</w:t>
      </w:r>
      <w:r>
        <w:t xml:space="preserve"> </w:t>
      </w:r>
      <w:r>
        <w:rPr>
          <w:rFonts w:hint="eastAsia"/>
        </w:rPr>
        <w:t xml:space="preserve">若开通节奏或运营需求不及预期，区域物流改善的兑现会延后。</w:t>
      </w:r>
    </w:p>
    <w:bookmarkEnd w:id="24"/>
    <w:bookmarkStart w:id="25" w:name="X177792509b8b8e26bde283c6c08fc46c6cb82f6"/>
    <w:p>
      <w:pPr>
        <w:pStyle w:val="Heading4"/>
      </w:pPr>
      <w:r>
        <w:t xml:space="preserve">10.7 </w:t>
      </w:r>
      <w:r>
        <w:rPr>
          <w:rFonts w:hint="eastAsia"/>
        </w:rPr>
        <w:t xml:space="preserve">2026年电影票房超315亿元</w:t>
      </w:r>
    </w:p>
    <w:p>
      <w:pPr>
        <w:pStyle w:val="Compact"/>
        <w:numPr>
          <w:ilvl w:val="0"/>
          <w:numId w:val="1017"/>
        </w:numPr>
      </w:pPr>
      <w:r>
        <w:rPr>
          <w:rFonts w:hint="eastAsia"/>
          <w:b/>
          <w:bCs/>
        </w:rPr>
        <w:t xml:space="preserve">原文事实：</w:t>
      </w:r>
      <w:r>
        <w:t xml:space="preserve"> </w:t>
      </w:r>
      <w:r>
        <w:rPr>
          <w:rFonts w:hint="eastAsia"/>
        </w:rPr>
        <w:t xml:space="preserve">截至10月26日，中国电影票房突破315亿元，放映场次超过1.22亿场、观影人次超过8亿；《飞驰人生3》以超过44亿元暂列年度票房冠军，年度票房前十名中国产片占八席。“电影+”活动带动银幕外产业链延长，据测算电影全产业链产值接近5000亿元。</w:t>
      </w:r>
    </w:p>
    <w:p>
      <w:pPr>
        <w:pStyle w:val="Compact"/>
        <w:numPr>
          <w:ilvl w:val="0"/>
          <w:numId w:val="1017"/>
        </w:numPr>
      </w:pPr>
      <w:r>
        <w:rPr>
          <w:rFonts w:hint="eastAsia"/>
          <w:b/>
          <w:bCs/>
        </w:rPr>
        <w:t xml:space="preserve">解码与A股推演：★★｜利好｜短期至中期。</w:t>
      </w:r>
      <w:r>
        <w:t xml:space="preserve"> </w:t>
      </w:r>
      <w:r>
        <w:rPr>
          <w:rFonts w:hint="eastAsia"/>
        </w:rPr>
        <w:t xml:space="preserve">票房、场次和人次为影视内容、院线及“电影+”文旅体消费提供需求侧数据支撑；中期仍要区分行业总票房与单一内容、单一公司的收益分配。</w:t>
      </w:r>
    </w:p>
    <w:p>
      <w:pPr>
        <w:pStyle w:val="Compact"/>
        <w:numPr>
          <w:ilvl w:val="0"/>
          <w:numId w:val="1017"/>
        </w:numPr>
      </w:pPr>
      <w:r>
        <w:rPr>
          <w:rFonts w:hint="eastAsia"/>
          <w:b/>
          <w:bCs/>
        </w:rPr>
        <w:t xml:space="preserve">证伪与风险：</w:t>
      </w:r>
      <w:r>
        <w:t xml:space="preserve"> </w:t>
      </w:r>
      <w:r>
        <w:rPr>
          <w:rFonts w:hint="eastAsia"/>
        </w:rPr>
        <w:t xml:space="preserve">票房集中度、影片成本和公司权益原文未披露，行业热度不能直接等同于所有影视公司的利润改善。</w:t>
      </w:r>
    </w:p>
    <w:bookmarkEnd w:id="25"/>
    <w:bookmarkEnd w:id="26"/>
    <w:bookmarkStart w:id="27" w:name="Xac99ecb4ccfb33286e4db64d0cb805442ecb77e"/>
    <w:p>
      <w:pPr>
        <w:pStyle w:val="Heading3"/>
      </w:pPr>
      <w:r>
        <w:t xml:space="preserve">11. </w:t>
      </w:r>
      <w:r>
        <w:rPr>
          <w:rFonts w:hint="eastAsia"/>
        </w:rPr>
        <w:t xml:space="preserve">全面从严治党为世界政党治理提供重要借鉴——国际人士高度关注中国共产党二十届五中全会</w:t>
      </w:r>
    </w:p>
    <w:p>
      <w:pPr>
        <w:pStyle w:val="Compact"/>
        <w:numPr>
          <w:ilvl w:val="0"/>
          <w:numId w:val="1018"/>
        </w:numPr>
      </w:pPr>
      <w:r>
        <w:rPr>
          <w:rFonts w:hint="eastAsia"/>
          <w:b/>
          <w:bCs/>
        </w:rPr>
        <w:t xml:space="preserve">定性：★｜A股影响：中性｜时效：长期。</w:t>
      </w:r>
    </w:p>
    <w:p>
      <w:pPr>
        <w:pStyle w:val="Compact"/>
        <w:numPr>
          <w:ilvl w:val="0"/>
          <w:numId w:val="1018"/>
        </w:numPr>
      </w:pPr>
      <w:r>
        <w:rPr>
          <w:rFonts w:hint="eastAsia"/>
          <w:b/>
          <w:bCs/>
        </w:rPr>
        <w:t xml:space="preserve">原文事实：</w:t>
      </w:r>
      <w:r>
        <w:t xml:space="preserve"> </w:t>
      </w:r>
      <w:r>
        <w:rPr>
          <w:rFonts w:hint="eastAsia"/>
        </w:rPr>
        <w:t xml:space="preserve">国际人士认为，持续推进全面从严治党展现了中国共产党的组织力、执行力和生命力，也为世界政党治理提供借鉴。</w:t>
      </w:r>
    </w:p>
    <w:p>
      <w:pPr>
        <w:pStyle w:val="Compact"/>
        <w:numPr>
          <w:ilvl w:val="0"/>
          <w:numId w:val="1018"/>
        </w:numPr>
      </w:pPr>
      <w:r>
        <w:rPr>
          <w:rFonts w:hint="eastAsia"/>
          <w:b/>
          <w:bCs/>
        </w:rPr>
        <w:t xml:space="preserve">话术解码：</w:t>
      </w:r>
      <w:r>
        <w:t xml:space="preserve"> </w:t>
      </w:r>
      <w:r>
        <w:rPr>
          <w:rFonts w:hint="eastAsia"/>
        </w:rPr>
        <w:t xml:space="preserve">该条是对治理理念和制度执行力的国际评价，主要服务于政治叙事，不含新增经济政策。</w:t>
      </w:r>
    </w:p>
    <w:p>
      <w:pPr>
        <w:pStyle w:val="Compact"/>
        <w:numPr>
          <w:ilvl w:val="0"/>
          <w:numId w:val="1018"/>
        </w:numPr>
      </w:pPr>
      <w:r>
        <w:rPr>
          <w:rFonts w:hint="eastAsia"/>
          <w:b/>
          <w:bCs/>
        </w:rPr>
        <w:t xml:space="preserve">A股传导推演：</w:t>
      </w:r>
      <w:r>
        <w:t xml:space="preserve"> </w:t>
      </w:r>
      <w:r>
        <w:rPr>
          <w:rFonts w:hint="eastAsia"/>
        </w:rPr>
        <w:t xml:space="preserve">没有直接行业催化；至多构成对政策执行稳定性的长期背景判断，不宜映射具体板块。</w:t>
      </w:r>
    </w:p>
    <w:p>
      <w:pPr>
        <w:pStyle w:val="Compact"/>
        <w:numPr>
          <w:ilvl w:val="0"/>
          <w:numId w:val="1018"/>
        </w:numPr>
      </w:pPr>
      <w:r>
        <w:rPr>
          <w:rFonts w:hint="eastAsia"/>
          <w:b/>
          <w:bCs/>
        </w:rPr>
        <w:t xml:space="preserve">证伪与风险：</w:t>
      </w:r>
      <w:r>
        <w:t xml:space="preserve"> </w:t>
      </w:r>
      <w:r>
        <w:rPr>
          <w:rFonts w:hint="eastAsia"/>
        </w:rPr>
        <w:t xml:space="preserve">将评价性报道作为短线题材依据，缺少基本面支撑。</w:t>
      </w:r>
    </w:p>
    <w:bookmarkEnd w:id="27"/>
    <w:bookmarkStart w:id="28" w:name="Xeb5e2f2dae8eb02036bc878568e7ad1c7c89b54"/>
    <w:p>
      <w:pPr>
        <w:pStyle w:val="Heading3"/>
      </w:pPr>
      <w:r>
        <w:t xml:space="preserve">12. </w:t>
      </w:r>
      <w:r>
        <w:rPr>
          <w:rFonts w:hint="eastAsia"/>
        </w:rPr>
        <w:t xml:space="preserve">纪念东京审判开庭80周年图片展在纽约联合国总部开幕</w:t>
      </w:r>
    </w:p>
    <w:p>
      <w:pPr>
        <w:pStyle w:val="Compact"/>
        <w:numPr>
          <w:ilvl w:val="0"/>
          <w:numId w:val="1019"/>
        </w:numPr>
      </w:pPr>
      <w:r>
        <w:rPr>
          <w:rFonts w:hint="eastAsia"/>
          <w:b/>
          <w:bCs/>
        </w:rPr>
        <w:t xml:space="preserve">定性：★｜A股影响：中性｜时效：短期。</w:t>
      </w:r>
    </w:p>
    <w:p>
      <w:pPr>
        <w:pStyle w:val="Compact"/>
        <w:numPr>
          <w:ilvl w:val="0"/>
          <w:numId w:val="1019"/>
        </w:numPr>
      </w:pPr>
      <w:r>
        <w:rPr>
          <w:rFonts w:hint="eastAsia"/>
          <w:b/>
          <w:bCs/>
        </w:rPr>
        <w:t xml:space="preserve">原文事实：</w:t>
      </w:r>
      <w:r>
        <w:t xml:space="preserve"> </w:t>
      </w:r>
      <w:r>
        <w:rPr>
          <w:rFonts w:hint="eastAsia"/>
        </w:rPr>
        <w:t xml:space="preserve">图片展以“为了人类的正义与和平”为主题；中国代表强调东京审判对战后国际秩序和国际公平正义的意义，并批评日本右翼势力质疑东京审判合法性；多国代表呼吁铭记历史、防范军国主义。</w:t>
      </w:r>
    </w:p>
    <w:p>
      <w:pPr>
        <w:pStyle w:val="Compact"/>
        <w:numPr>
          <w:ilvl w:val="0"/>
          <w:numId w:val="1019"/>
        </w:numPr>
      </w:pPr>
      <w:r>
        <w:rPr>
          <w:rFonts w:hint="eastAsia"/>
          <w:b/>
          <w:bCs/>
        </w:rPr>
        <w:t xml:space="preserve">话术解码：</w:t>
      </w:r>
      <w:r>
        <w:t xml:space="preserve"> </w:t>
      </w:r>
      <w:r>
        <w:rPr>
          <w:rFonts w:hint="eastAsia"/>
        </w:rPr>
        <w:t xml:space="preserve">这是历史记忆与国际秩序立场的表达，政治和外交含义大于经济含义。</w:t>
      </w:r>
    </w:p>
    <w:p>
      <w:pPr>
        <w:pStyle w:val="Compact"/>
        <w:numPr>
          <w:ilvl w:val="0"/>
          <w:numId w:val="1019"/>
        </w:numPr>
      </w:pPr>
      <w:r>
        <w:rPr>
          <w:rFonts w:hint="eastAsia"/>
          <w:b/>
          <w:bCs/>
        </w:rPr>
        <w:t xml:space="preserve">A股传导推演：</w:t>
      </w:r>
      <w:r>
        <w:t xml:space="preserve"> </w:t>
      </w:r>
      <w:r>
        <w:rPr>
          <w:rFonts w:hint="eastAsia"/>
        </w:rPr>
        <w:t xml:space="preserve">对A股没有直接产业传导，维持中性；不据此扩大到军工或对日经贸方向。</w:t>
      </w:r>
    </w:p>
    <w:p>
      <w:pPr>
        <w:pStyle w:val="Compact"/>
        <w:numPr>
          <w:ilvl w:val="0"/>
          <w:numId w:val="1019"/>
        </w:numPr>
      </w:pPr>
      <w:r>
        <w:rPr>
          <w:rFonts w:hint="eastAsia"/>
          <w:b/>
          <w:bCs/>
        </w:rPr>
        <w:t xml:space="preserve">证伪与风险：</w:t>
      </w:r>
      <w:r>
        <w:t xml:space="preserve"> </w:t>
      </w:r>
      <w:r>
        <w:rPr>
          <w:rFonts w:hint="eastAsia"/>
        </w:rPr>
        <w:t xml:space="preserve">若市场仅凭情绪进行地缘主题交易，持续性和基本面支撑均不足。</w:t>
      </w:r>
    </w:p>
    <w:bookmarkEnd w:id="28"/>
    <w:bookmarkStart w:id="33" w:name="X28c60d97420cb0533227c7dedff3488a58b37f0"/>
    <w:p>
      <w:pPr>
        <w:pStyle w:val="Heading3"/>
      </w:pPr>
      <w:r>
        <w:t xml:space="preserve">13. </w:t>
      </w:r>
      <w:r>
        <w:rPr>
          <w:rFonts w:hint="eastAsia"/>
        </w:rPr>
        <w:t xml:space="preserve">国际联播快讯</w:t>
      </w:r>
    </w:p>
    <w:p>
      <w:pPr>
        <w:pStyle w:val="FirstParagraph"/>
      </w:pPr>
      <w:r>
        <w:rPr>
          <w:rFonts w:hint="eastAsia"/>
        </w:rPr>
        <w:t xml:space="preserve">该一级条目包含4个子条目，分别评估其风险方向与传导边界。</w:t>
      </w:r>
    </w:p>
    <w:bookmarkStart w:id="29" w:name="X9422bf1c498ae37776b3757957ae95b1c050fea"/>
    <w:p>
      <w:pPr>
        <w:pStyle w:val="Heading4"/>
      </w:pPr>
      <w:r>
        <w:t xml:space="preserve">13.1 </w:t>
      </w:r>
      <w:r>
        <w:rPr>
          <w:rFonts w:hint="eastAsia"/>
        </w:rPr>
        <w:t xml:space="preserve">俄乌在阿列什基实行人道主义停火</w:t>
      </w:r>
    </w:p>
    <w:p>
      <w:pPr>
        <w:pStyle w:val="Compact"/>
        <w:numPr>
          <w:ilvl w:val="0"/>
          <w:numId w:val="1020"/>
        </w:numPr>
      </w:pPr>
      <w:r>
        <w:rPr>
          <w:rFonts w:hint="eastAsia"/>
          <w:b/>
          <w:bCs/>
        </w:rPr>
        <w:t xml:space="preserve">原文事实：</w:t>
      </w:r>
      <w:r>
        <w:t xml:space="preserve"> </w:t>
      </w:r>
      <w:r>
        <w:rPr>
          <w:rFonts w:hint="eastAsia"/>
        </w:rPr>
        <w:t xml:space="preserve">俄乌双方表示从10月27日早间起在阿列什基实施停火，以配合人道主义行动；俄方同时表示，恢复俄美乌三方会谈不意味着限制军事行动，仍将打击乌克兰军工联合体及军事和准军事目标。</w:t>
      </w:r>
    </w:p>
    <w:p>
      <w:pPr>
        <w:pStyle w:val="Compact"/>
        <w:numPr>
          <w:ilvl w:val="0"/>
          <w:numId w:val="1020"/>
        </w:numPr>
      </w:pPr>
      <w:r>
        <w:rPr>
          <w:rFonts w:hint="eastAsia"/>
          <w:b/>
          <w:bCs/>
        </w:rPr>
        <w:t xml:space="preserve">解码与A股推演：★★｜中性｜事件驱动短期。</w:t>
      </w:r>
      <w:r>
        <w:t xml:space="preserve"> </w:t>
      </w:r>
      <w:r>
        <w:rPr>
          <w:rFonts w:hint="eastAsia"/>
        </w:rPr>
        <w:t xml:space="preserve">局部人道主义停火释放有限缓和信号，但俄方关于军事行动继续的表述限制了外推空间。对A股风险偏好的影响方向混合，不能视为冲突全面降级。</w:t>
      </w:r>
    </w:p>
    <w:p>
      <w:pPr>
        <w:pStyle w:val="Compact"/>
        <w:numPr>
          <w:ilvl w:val="0"/>
          <w:numId w:val="1020"/>
        </w:numPr>
      </w:pPr>
      <w:r>
        <w:rPr>
          <w:rFonts w:hint="eastAsia"/>
          <w:b/>
          <w:bCs/>
        </w:rPr>
        <w:t xml:space="preserve">证伪与风险：</w:t>
      </w:r>
      <w:r>
        <w:t xml:space="preserve"> </w:t>
      </w:r>
      <w:r>
        <w:rPr>
          <w:rFonts w:hint="eastAsia"/>
        </w:rPr>
        <w:t xml:space="preserve">停火范围若未扩大或军事行动延续，缓和交易会迅速失去依据。</w:t>
      </w:r>
    </w:p>
    <w:bookmarkEnd w:id="29"/>
    <w:bookmarkStart w:id="30" w:name="X886b093a8236c66e6f88f661dafb069d8210962"/>
    <w:p>
      <w:pPr>
        <w:pStyle w:val="Heading4"/>
      </w:pPr>
      <w:r>
        <w:t xml:space="preserve">13.2 </w:t>
      </w:r>
      <w:r>
        <w:rPr>
          <w:rFonts w:hint="eastAsia"/>
        </w:rPr>
        <w:t xml:space="preserve">胡塞武装称打击沙特军队和机场等目标</w:t>
      </w:r>
    </w:p>
    <w:p>
      <w:pPr>
        <w:pStyle w:val="Compact"/>
        <w:numPr>
          <w:ilvl w:val="0"/>
          <w:numId w:val="1021"/>
        </w:numPr>
      </w:pPr>
      <w:r>
        <w:rPr>
          <w:rFonts w:hint="eastAsia"/>
          <w:b/>
          <w:bCs/>
        </w:rPr>
        <w:t xml:space="preserve">原文事实：</w:t>
      </w:r>
      <w:r>
        <w:t xml:space="preserve"> </w:t>
      </w:r>
      <w:r>
        <w:rPr>
          <w:rFonts w:hint="eastAsia"/>
        </w:rPr>
        <w:t xml:space="preserve">胡塞武装称以导弹、无人机打击沙特军队人员和车辆、利雅得机场及输油管道泵站等目标；沙特主导的多国联军称拦截多枚弹道导弹和多架无人机；埃及议会授权总统采取必要措施支持沙特抵御外部袭击。</w:t>
      </w:r>
    </w:p>
    <w:p>
      <w:pPr>
        <w:pStyle w:val="Compact"/>
        <w:numPr>
          <w:ilvl w:val="0"/>
          <w:numId w:val="1021"/>
        </w:numPr>
      </w:pPr>
      <w:r>
        <w:rPr>
          <w:rFonts w:hint="eastAsia"/>
          <w:b/>
          <w:bCs/>
        </w:rPr>
        <w:t xml:space="preserve">解码与A股推演：★★★｜利空｜短期。</w:t>
      </w:r>
      <w:r>
        <w:t xml:space="preserve"> </w:t>
      </w:r>
      <w:r>
        <w:rPr>
          <w:rFonts w:hint="eastAsia"/>
        </w:rPr>
        <w:t xml:space="preserve">事件涉及机场和输油管道泵站，意味着地区安全风险触及交通与能源设施。对A股的主要映射是风险偏好承压和能源供应担忧升温；任何能源或防务主题的正向交易都只是风险事件映射，原文没有提供国内企业订单。</w:t>
      </w:r>
    </w:p>
    <w:p>
      <w:pPr>
        <w:pStyle w:val="Compact"/>
        <w:numPr>
          <w:ilvl w:val="0"/>
          <w:numId w:val="1021"/>
        </w:numPr>
      </w:pPr>
      <w:r>
        <w:rPr>
          <w:rFonts w:hint="eastAsia"/>
          <w:b/>
          <w:bCs/>
        </w:rPr>
        <w:t xml:space="preserve">证伪与风险：</w:t>
      </w:r>
      <w:r>
        <w:t xml:space="preserve"> </w:t>
      </w:r>
      <w:r>
        <w:rPr>
          <w:rFonts w:hint="eastAsia"/>
        </w:rPr>
        <w:t xml:space="preserve">若冲突未继续扩大、设施运行未受持续影响，事件溢价可能快速回落；反之，升级将加大全球资产波动。</w:t>
      </w:r>
    </w:p>
    <w:bookmarkEnd w:id="30"/>
    <w:bookmarkStart w:id="31" w:name="X25037023ca502d256cf92d79a0ae56121b5c0d0"/>
    <w:p>
      <w:pPr>
        <w:pStyle w:val="Heading4"/>
      </w:pPr>
      <w:r>
        <w:t xml:space="preserve">13.3 </w:t>
      </w:r>
      <w:r>
        <w:rPr>
          <w:rFonts w:hint="eastAsia"/>
        </w:rPr>
        <w:t xml:space="preserve">伊沙土巴四国同意磋商以加强安全合作</w:t>
      </w:r>
    </w:p>
    <w:p>
      <w:pPr>
        <w:pStyle w:val="Compact"/>
        <w:numPr>
          <w:ilvl w:val="0"/>
          <w:numId w:val="1022"/>
        </w:numPr>
      </w:pPr>
      <w:r>
        <w:rPr>
          <w:rFonts w:hint="eastAsia"/>
          <w:b/>
          <w:bCs/>
        </w:rPr>
        <w:t xml:space="preserve">原文事实：</w:t>
      </w:r>
      <w:r>
        <w:t xml:space="preserve"> </w:t>
      </w:r>
      <w:r>
        <w:rPr>
          <w:rFonts w:hint="eastAsia"/>
        </w:rPr>
        <w:t xml:space="preserve">伊朗、沙特、土耳其和巴基斯坦在德黑兰举行地区安全会议并达成继续磋商、加强西亚和平与安全合作的共识；这是伊朗首次与签署《麦加共同防务协议》的沙土巴三国举行高级别会谈。</w:t>
      </w:r>
    </w:p>
    <w:p>
      <w:pPr>
        <w:pStyle w:val="Compact"/>
        <w:numPr>
          <w:ilvl w:val="0"/>
          <w:numId w:val="1022"/>
        </w:numPr>
      </w:pPr>
      <w:r>
        <w:rPr>
          <w:rFonts w:hint="eastAsia"/>
          <w:b/>
          <w:bCs/>
        </w:rPr>
        <w:t xml:space="preserve">解码与A股推演：★★｜中性｜中期观察。</w:t>
      </w:r>
      <w:r>
        <w:t xml:space="preserve"> </w:t>
      </w:r>
      <w:r>
        <w:rPr>
          <w:rFonts w:hint="eastAsia"/>
        </w:rPr>
        <w:t xml:space="preserve">“继续磋商”表明沟通机制在形成，但还不是具体停火或安全执行方案。它对前述地区冲突风险形成一定缓和预期，暂不足以改变能源价格与风险偏好的现实扰动。</w:t>
      </w:r>
    </w:p>
    <w:p>
      <w:pPr>
        <w:pStyle w:val="Compact"/>
        <w:numPr>
          <w:ilvl w:val="0"/>
          <w:numId w:val="1022"/>
        </w:numPr>
      </w:pPr>
      <w:r>
        <w:rPr>
          <w:rFonts w:hint="eastAsia"/>
          <w:b/>
          <w:bCs/>
        </w:rPr>
        <w:t xml:space="preserve">证伪与风险：</w:t>
      </w:r>
      <w:r>
        <w:t xml:space="preserve"> </w:t>
      </w:r>
      <w:r>
        <w:rPr>
          <w:rFonts w:hint="eastAsia"/>
        </w:rPr>
        <w:t xml:space="preserve">若磋商没有形成可执行措施，缓和信号会停留在外交层面。</w:t>
      </w:r>
    </w:p>
    <w:bookmarkEnd w:id="31"/>
    <w:bookmarkStart w:id="32" w:name="X15fc799e42667b094c37565c2cd578b70f8c59a"/>
    <w:p>
      <w:pPr>
        <w:pStyle w:val="Heading4"/>
      </w:pPr>
      <w:r>
        <w:t xml:space="preserve">13.4 </w:t>
      </w:r>
      <w:r>
        <w:rPr>
          <w:rFonts w:hint="eastAsia"/>
        </w:rPr>
        <w:t xml:space="preserve">欧洲天然气价格升至近四年来最高水平</w:t>
      </w:r>
    </w:p>
    <w:p>
      <w:pPr>
        <w:pStyle w:val="Compact"/>
        <w:numPr>
          <w:ilvl w:val="0"/>
          <w:numId w:val="1023"/>
        </w:numPr>
      </w:pPr>
      <w:r>
        <w:rPr>
          <w:rFonts w:hint="eastAsia"/>
          <w:b/>
          <w:bCs/>
        </w:rPr>
        <w:t xml:space="preserve">原文事实：</w:t>
      </w:r>
      <w:r>
        <w:t xml:space="preserve"> </w:t>
      </w:r>
      <w:r>
        <w:rPr>
          <w:rFonts w:hint="eastAsia"/>
        </w:rPr>
        <w:t xml:space="preserve">受冬季能源供应紧张及中东冲突持续影响，荷兰所有权转让中心天然气11月期货价格一度突破每兆瓦时97欧元，为2022年12月以来最高；今年2月中东战事爆发前约为每兆瓦时32欧元。</w:t>
      </w:r>
    </w:p>
    <w:p>
      <w:pPr>
        <w:pStyle w:val="Compact"/>
        <w:numPr>
          <w:ilvl w:val="0"/>
          <w:numId w:val="1023"/>
        </w:numPr>
      </w:pPr>
      <w:r>
        <w:rPr>
          <w:rFonts w:hint="eastAsia"/>
          <w:b/>
          <w:bCs/>
        </w:rPr>
        <w:t xml:space="preserve">解码与A股推演：★★★｜利空｜短期至中期。</w:t>
      </w:r>
      <w:r>
        <w:t xml:space="preserve"> </w:t>
      </w:r>
      <w:r>
        <w:rPr>
          <w:rFonts w:hint="eastAsia"/>
        </w:rPr>
        <w:t xml:space="preserve">价格约为原文所给战前水平的三倍，显示海外能源供应风险显著升温。短期可能强化天然气和能源供应安全主题，同时压制对海外能源成本敏感的制造环节预期；中期影响取决于高价持续时间和冲突走向。本条的A股方向并非单边：资源与供应主题可能受关注，成本端则承压。</w:t>
      </w:r>
    </w:p>
    <w:p>
      <w:pPr>
        <w:pStyle w:val="Compact"/>
        <w:numPr>
          <w:ilvl w:val="0"/>
          <w:numId w:val="1023"/>
        </w:numPr>
      </w:pPr>
      <w:r>
        <w:rPr>
          <w:rFonts w:hint="eastAsia"/>
          <w:b/>
          <w:bCs/>
        </w:rPr>
        <w:t xml:space="preserve">证伪与风险：</w:t>
      </w:r>
      <w:r>
        <w:t xml:space="preserve"> </w:t>
      </w:r>
      <w:r>
        <w:rPr>
          <w:rFonts w:hint="eastAsia"/>
        </w:rPr>
        <w:t xml:space="preserve">期货盘中高点不等于长期价格中枢；若供应紧张缓解或冲突降温，能源主题可能反转。原文没有披露对中国进口成本或具体上市公司的影响，不能作确定性盈利判断。</w:t>
      </w:r>
    </w:p>
    <w:bookmarkEnd w:id="32"/>
    <w:bookmarkEnd w:id="33"/>
    <w:bookmarkEnd w:id="34"/>
    <w:bookmarkStart w:id="35" w:name="三核心信号排序"/>
    <w:p>
      <w:pPr>
        <w:pStyle w:val="Heading2"/>
      </w:pPr>
      <w:r>
        <w:rPr>
          <w:rFonts w:hint="eastAsia"/>
        </w:rPr>
        <w:t xml:space="preserve">三、核心信号排序</w:t>
      </w:r>
    </w:p>
    <w:p>
      <w:pPr>
        <w:pStyle w:val="Compact"/>
        <w:numPr>
          <w:ilvl w:val="0"/>
          <w:numId w:val="1024"/>
        </w:numPr>
      </w:pPr>
      <w:r>
        <w:rPr>
          <w:rFonts w:hint="eastAsia"/>
          <w:b/>
          <w:bCs/>
        </w:rPr>
        <w:t xml:space="preserve">规上工业利润与高技术制造利润改善（★★★★，利好）：</w:t>
      </w:r>
      <w:r>
        <w:t xml:space="preserve"> </w:t>
      </w:r>
      <w:r>
        <w:rPr>
          <w:rFonts w:hint="eastAsia"/>
        </w:rPr>
        <w:t xml:space="preserve">总量利润增长15.5%，高技术制造、电子、光纤光缆、光电子器件、先进存储和电子专用材料构成当天最清晰的产业盈利线索。</w:t>
      </w:r>
    </w:p>
    <w:p>
      <w:pPr>
        <w:pStyle w:val="Compact"/>
        <w:numPr>
          <w:ilvl w:val="0"/>
          <w:numId w:val="1024"/>
        </w:numPr>
      </w:pPr>
      <w:r>
        <w:rPr>
          <w:rFonts w:hint="eastAsia"/>
          <w:b/>
          <w:bCs/>
        </w:rPr>
        <w:t xml:space="preserve">风光累计装机突破20亿千瓦（★★★，利好）：</w:t>
      </w:r>
      <w:r>
        <w:t xml:space="preserve"> </w:t>
      </w:r>
      <w:r>
        <w:rPr>
          <w:rFonts w:hint="eastAsia"/>
        </w:rPr>
        <w:t xml:space="preserve">装机、发电增量贡献和能源投资占比共同确认新能源建设仍具规模，但后续必须观察从装机到利润的转化。</w:t>
      </w:r>
    </w:p>
    <w:p>
      <w:pPr>
        <w:pStyle w:val="Compact"/>
        <w:numPr>
          <w:ilvl w:val="0"/>
          <w:numId w:val="1024"/>
        </w:numPr>
      </w:pPr>
      <w:r>
        <w:rPr>
          <w:rFonts w:hint="eastAsia"/>
          <w:b/>
          <w:bCs/>
        </w:rPr>
        <w:t xml:space="preserve">重大水利工程进入合龙、试运行和高强度掘进节点（★★★，利好）：</w:t>
      </w:r>
      <w:r>
        <w:t xml:space="preserve"> </w:t>
      </w:r>
      <w:r>
        <w:rPr>
          <w:rFonts w:hint="eastAsia"/>
        </w:rPr>
        <w:t xml:space="preserve">实物工作量较明确，水利施工、掘进装备、数字孪生与内河航运是直接映射方向。</w:t>
      </w:r>
    </w:p>
    <w:p>
      <w:pPr>
        <w:pStyle w:val="Compact"/>
        <w:numPr>
          <w:ilvl w:val="0"/>
          <w:numId w:val="1024"/>
        </w:numPr>
      </w:pPr>
      <w:r>
        <w:rPr>
          <w:rFonts w:hint="eastAsia"/>
          <w:b/>
          <w:bCs/>
        </w:rPr>
        <w:t xml:space="preserve">欧洲天然气价格升至近四年高位（★★★，利空）：</w:t>
      </w:r>
      <w:r>
        <w:t xml:space="preserve"> </w:t>
      </w:r>
      <w:r>
        <w:rPr>
          <w:rFonts w:hint="eastAsia"/>
        </w:rPr>
        <w:t xml:space="preserve">冬季供应与中东冲突叠加，海外能源成本及风险偏好压力上升，是当天最重要的外部风险线索。</w:t>
      </w:r>
    </w:p>
    <w:p>
      <w:pPr>
        <w:pStyle w:val="Compact"/>
        <w:numPr>
          <w:ilvl w:val="0"/>
          <w:numId w:val="1024"/>
        </w:numPr>
      </w:pPr>
      <w:r>
        <w:rPr>
          <w:rFonts w:hint="eastAsia"/>
          <w:b/>
          <w:bCs/>
        </w:rPr>
        <w:t xml:space="preserve">西部陆海新通道贸易创同期新高（★★，利好）：</w:t>
      </w:r>
      <w:r>
        <w:t xml:space="preserve"> </w:t>
      </w:r>
      <w:r>
        <w:rPr>
          <w:rFonts w:hint="eastAsia"/>
        </w:rPr>
        <w:t xml:space="preserve">通道进出口增长11.5%、高技术产品经通道出口增长30%，为跨境物流和西部供应链提供数据支持。</w:t>
      </w:r>
    </w:p>
    <w:bookmarkEnd w:id="35"/>
    <w:bookmarkStart w:id="36" w:name="四板块影响汇总"/>
    <w:p>
      <w:pPr>
        <w:pStyle w:val="Heading2"/>
      </w:pPr>
      <w:r>
        <w:rPr>
          <w:rFonts w:hint="eastAsia"/>
        </w:rPr>
        <w:t xml:space="preserve">四、板块影响汇总</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板块方向</w:t>
            </w:r>
          </w:p>
        </w:tc>
        <w:tc>
          <w:tcPr/>
          <w:p>
            <w:pPr>
              <w:pStyle w:val="Compact"/>
            </w:pPr>
            <w:r>
              <w:rPr>
                <w:rFonts w:hint="eastAsia"/>
              </w:rPr>
              <w:t xml:space="preserve">判断</w:t>
            </w:r>
          </w:p>
        </w:tc>
        <w:tc>
          <w:tcPr/>
          <w:p>
            <w:pPr>
              <w:pStyle w:val="Compact"/>
            </w:pPr>
            <w:r>
              <w:rPr>
                <w:rFonts w:hint="eastAsia"/>
              </w:rPr>
              <w:t xml:space="preserve">原文依据与观察重点</w:t>
            </w:r>
          </w:p>
        </w:tc>
      </w:tr>
      <w:tr>
        <w:tc>
          <w:tcPr/>
          <w:p>
            <w:pPr>
              <w:pStyle w:val="Compact"/>
            </w:pPr>
            <w:r>
              <w:rPr>
                <w:rFonts w:hint="eastAsia"/>
              </w:rPr>
              <w:t xml:space="preserve">AI算力、数据中心配套、光纤光缆</w:t>
            </w:r>
          </w:p>
        </w:tc>
        <w:tc>
          <w:tcPr/>
          <w:p>
            <w:pPr>
              <w:pStyle w:val="Compact"/>
            </w:pPr>
            <w:r>
              <w:rPr>
                <w:rFonts w:hint="eastAsia"/>
              </w:rPr>
              <w:t xml:space="preserve">利好</w:t>
            </w:r>
          </w:p>
        </w:tc>
        <w:tc>
          <w:tcPr/>
          <w:p>
            <w:pPr>
              <w:pStyle w:val="Compact"/>
            </w:pPr>
            <w:r>
              <w:rPr>
                <w:rFonts w:hint="eastAsia"/>
              </w:rPr>
              <w:t xml:space="preserve">光纤、光缆利润分别增长5.7倍、1.1倍；验证行业增速能否传导至企业盈利</w:t>
            </w:r>
          </w:p>
        </w:tc>
      </w:tr>
      <w:tr>
        <w:tc>
          <w:tcPr/>
          <w:p>
            <w:pPr>
              <w:pStyle w:val="Compact"/>
            </w:pPr>
            <w:r>
              <w:rPr>
                <w:rFonts w:hint="eastAsia"/>
              </w:rPr>
              <w:t xml:space="preserve">先进存储、光电子器件、电子专用材料</w:t>
            </w:r>
          </w:p>
        </w:tc>
        <w:tc>
          <w:tcPr/>
          <w:p>
            <w:pPr>
              <w:pStyle w:val="Compact"/>
            </w:pPr>
            <w:r>
              <w:rPr>
                <w:rFonts w:hint="eastAsia"/>
              </w:rPr>
              <w:t xml:space="preserve">利好</w:t>
            </w:r>
          </w:p>
        </w:tc>
        <w:tc>
          <w:tcPr/>
          <w:p>
            <w:pPr>
              <w:pStyle w:val="Compact"/>
            </w:pPr>
            <w:r>
              <w:rPr>
                <w:rFonts w:hint="eastAsia"/>
              </w:rPr>
              <w:t xml:space="preserve">电子行业利润增长1.0倍，原文点名相关需求；验证需求持续性与利润兑现</w:t>
            </w:r>
          </w:p>
        </w:tc>
      </w:tr>
      <w:tr>
        <w:tc>
          <w:tcPr/>
          <w:p>
            <w:pPr>
              <w:pStyle w:val="Compact"/>
            </w:pPr>
            <w:r>
              <w:rPr>
                <w:rFonts w:hint="eastAsia"/>
              </w:rPr>
              <w:t xml:space="preserve">风电、光伏及装备、材料、智能运维</w:t>
            </w:r>
          </w:p>
        </w:tc>
        <w:tc>
          <w:tcPr/>
          <w:p>
            <w:pPr>
              <w:pStyle w:val="Compact"/>
            </w:pPr>
            <w:r>
              <w:rPr>
                <w:rFonts w:hint="eastAsia"/>
              </w:rPr>
              <w:t xml:space="preserve">利好</w:t>
            </w:r>
          </w:p>
        </w:tc>
        <w:tc>
          <w:tcPr/>
          <w:p>
            <w:pPr>
              <w:pStyle w:val="Compact"/>
            </w:pPr>
            <w:r>
              <w:rPr>
                <w:rFonts w:hint="eastAsia"/>
              </w:rPr>
              <w:t xml:space="preserve">新增装机约1.7亿千瓦、累计20.1亿千瓦；验证装机与投资能否转化为利润</w:t>
            </w:r>
          </w:p>
        </w:tc>
      </w:tr>
      <w:tr>
        <w:tc>
          <w:tcPr/>
          <w:p>
            <w:pPr>
              <w:pStyle w:val="Compact"/>
            </w:pPr>
            <w:r>
              <w:rPr>
                <w:rFonts w:hint="eastAsia"/>
              </w:rPr>
              <w:t xml:space="preserve">水利工程、硬岩掘进装备、工程数字化</w:t>
            </w:r>
          </w:p>
        </w:tc>
        <w:tc>
          <w:tcPr/>
          <w:p>
            <w:pPr>
              <w:pStyle w:val="Compact"/>
            </w:pPr>
            <w:r>
              <w:rPr>
                <w:rFonts w:hint="eastAsia"/>
              </w:rPr>
              <w:t xml:space="preserve">利好</w:t>
            </w:r>
          </w:p>
        </w:tc>
        <w:tc>
          <w:tcPr/>
          <w:p>
            <w:pPr>
              <w:pStyle w:val="Compact"/>
            </w:pPr>
            <w:r>
              <w:rPr>
                <w:rFonts w:hint="eastAsia"/>
              </w:rPr>
              <w:t xml:space="preserve">多项工程合龙、掘进或试运行；跟踪后续施工、验收与投资执行</w:t>
            </w:r>
          </w:p>
        </w:tc>
      </w:tr>
      <w:tr>
        <w:tc>
          <w:tcPr/>
          <w:p>
            <w:pPr>
              <w:pStyle w:val="Compact"/>
            </w:pPr>
            <w:r>
              <w:rPr>
                <w:rFonts w:hint="eastAsia"/>
              </w:rPr>
              <w:t xml:space="preserve">农业机械、烘干仓储、北斗农业应用</w:t>
            </w:r>
          </w:p>
        </w:tc>
        <w:tc>
          <w:tcPr/>
          <w:p>
            <w:pPr>
              <w:pStyle w:val="Compact"/>
            </w:pPr>
            <w:r>
              <w:rPr>
                <w:rFonts w:hint="eastAsia"/>
              </w:rPr>
              <w:t xml:space="preserve">利好</w:t>
            </w:r>
          </w:p>
        </w:tc>
        <w:tc>
          <w:tcPr/>
          <w:p>
            <w:pPr>
              <w:pStyle w:val="Compact"/>
            </w:pPr>
            <w:r>
              <w:rPr>
                <w:rFonts w:hint="eastAsia"/>
              </w:rPr>
              <w:t xml:space="preserve">原文披露农机调度、烘干与北斗精准作业；验证设备和服务需求</w:t>
            </w:r>
          </w:p>
        </w:tc>
      </w:tr>
      <w:tr>
        <w:tc>
          <w:tcPr/>
          <w:p>
            <w:pPr>
              <w:pStyle w:val="Compact"/>
            </w:pPr>
            <w:r>
              <w:rPr>
                <w:rFonts w:hint="eastAsia"/>
              </w:rPr>
              <w:t xml:space="preserve">跨境物流、铁路与区域通道运营</w:t>
            </w:r>
          </w:p>
        </w:tc>
        <w:tc>
          <w:tcPr/>
          <w:p>
            <w:pPr>
              <w:pStyle w:val="Compact"/>
            </w:pPr>
            <w:r>
              <w:rPr>
                <w:rFonts w:hint="eastAsia"/>
              </w:rPr>
              <w:t xml:space="preserve">利好</w:t>
            </w:r>
          </w:p>
        </w:tc>
        <w:tc>
          <w:tcPr/>
          <w:p>
            <w:pPr>
              <w:pStyle w:val="Compact"/>
            </w:pPr>
            <w:r>
              <w:rPr>
                <w:rFonts w:hint="eastAsia"/>
              </w:rPr>
              <w:t xml:space="preserve">通道贸易和铁路联调联试提供催化；跟踪货运量与运营效率</w:t>
            </w:r>
          </w:p>
        </w:tc>
      </w:tr>
      <w:tr>
        <w:tc>
          <w:tcPr/>
          <w:p>
            <w:pPr>
              <w:pStyle w:val="Compact"/>
            </w:pPr>
            <w:r>
              <w:rPr>
                <w:rFonts w:hint="eastAsia"/>
              </w:rPr>
              <w:t xml:space="preserve">影视内容、院线及“电影+”文旅体</w:t>
            </w:r>
          </w:p>
        </w:tc>
        <w:tc>
          <w:tcPr/>
          <w:p>
            <w:pPr>
              <w:pStyle w:val="Compact"/>
            </w:pPr>
            <w:r>
              <w:rPr>
                <w:rFonts w:hint="eastAsia"/>
              </w:rPr>
              <w:t xml:space="preserve">利好</w:t>
            </w:r>
          </w:p>
        </w:tc>
        <w:tc>
          <w:tcPr/>
          <w:p>
            <w:pPr>
              <w:pStyle w:val="Compact"/>
            </w:pPr>
            <w:r>
              <w:rPr>
                <w:rFonts w:hint="eastAsia"/>
              </w:rPr>
              <w:t xml:space="preserve">票房超315亿元、观影人次超8亿；区分行业热度与公司收益</w:t>
            </w:r>
          </w:p>
        </w:tc>
      </w:tr>
      <w:tr>
        <w:tc>
          <w:tcPr/>
          <w:p>
            <w:pPr>
              <w:pStyle w:val="Compact"/>
            </w:pPr>
            <w:r>
              <w:rPr>
                <w:rFonts w:hint="eastAsia"/>
              </w:rPr>
              <w:t xml:space="preserve">玩具、家纺、文具、健康休闲等出口消费</w:t>
            </w:r>
          </w:p>
        </w:tc>
        <w:tc>
          <w:tcPr/>
          <w:p>
            <w:pPr>
              <w:pStyle w:val="Compact"/>
            </w:pPr>
            <w:r>
              <w:rPr>
                <w:rFonts w:hint="eastAsia"/>
              </w:rPr>
              <w:t xml:space="preserve">利好</w:t>
            </w:r>
          </w:p>
        </w:tc>
        <w:tc>
          <w:tcPr/>
          <w:p>
            <w:pPr>
              <w:pStyle w:val="Compact"/>
            </w:pPr>
            <w:r>
              <w:rPr>
                <w:rFonts w:hint="eastAsia"/>
              </w:rPr>
              <w:t xml:space="preserve">广交会第三期安排明确；等待真实成交、交付和收入验证</w:t>
            </w:r>
          </w:p>
        </w:tc>
      </w:tr>
      <w:tr>
        <w:tc>
          <w:tcPr/>
          <w:p>
            <w:pPr>
              <w:pStyle w:val="Compact"/>
            </w:pPr>
            <w:r>
              <w:rPr>
                <w:rFonts w:hint="eastAsia"/>
              </w:rPr>
              <w:t xml:space="preserve">公交运营优化、调度信息化、适老化改造</w:t>
            </w:r>
          </w:p>
        </w:tc>
        <w:tc>
          <w:tcPr/>
          <w:p>
            <w:pPr>
              <w:pStyle w:val="Compact"/>
            </w:pPr>
            <w:r>
              <w:rPr>
                <w:rFonts w:hint="eastAsia"/>
              </w:rPr>
              <w:t xml:space="preserve">中性</w:t>
            </w:r>
          </w:p>
        </w:tc>
        <w:tc>
          <w:tcPr/>
          <w:p>
            <w:pPr>
              <w:pStyle w:val="Compact"/>
            </w:pPr>
            <w:r>
              <w:rPr>
                <w:rFonts w:hint="eastAsia"/>
              </w:rPr>
              <w:t xml:space="preserve">按需停靠、末端接驳、线网重构持续推进；观察是否形成全国性采购需求</w:t>
            </w:r>
          </w:p>
        </w:tc>
      </w:tr>
      <w:tr>
        <w:tc>
          <w:tcPr/>
          <w:p>
            <w:pPr>
              <w:pStyle w:val="Compact"/>
            </w:pPr>
            <w:r>
              <w:rPr>
                <w:rFonts w:hint="eastAsia"/>
              </w:rPr>
              <w:t xml:space="preserve">天然气与能源供应安全主题</w:t>
            </w:r>
          </w:p>
        </w:tc>
        <w:tc>
          <w:tcPr/>
          <w:p>
            <w:pPr>
              <w:pStyle w:val="Compact"/>
            </w:pPr>
            <w:r>
              <w:rPr>
                <w:rFonts w:hint="eastAsia"/>
              </w:rPr>
              <w:t xml:space="preserve">双向偏强</w:t>
            </w:r>
          </w:p>
        </w:tc>
        <w:tc>
          <w:tcPr/>
          <w:p>
            <w:pPr>
              <w:pStyle w:val="Compact"/>
            </w:pPr>
            <w:r>
              <w:rPr>
                <w:rFonts w:hint="eastAsia"/>
              </w:rPr>
              <w:t xml:space="preserve">欧洲天然气期货盘中突破97欧元/兆瓦时；重点看高价持续性</w:t>
            </w:r>
          </w:p>
        </w:tc>
      </w:tr>
      <w:tr>
        <w:tc>
          <w:tcPr/>
          <w:p>
            <w:pPr>
              <w:pStyle w:val="Compact"/>
            </w:pPr>
            <w:r>
              <w:rPr>
                <w:rFonts w:hint="eastAsia"/>
              </w:rPr>
              <w:t xml:space="preserve">对海外能源成本敏感的制造环节</w:t>
            </w:r>
          </w:p>
        </w:tc>
        <w:tc>
          <w:tcPr/>
          <w:p>
            <w:pPr>
              <w:pStyle w:val="Compact"/>
            </w:pPr>
            <w:r>
              <w:rPr>
                <w:rFonts w:hint="eastAsia"/>
              </w:rPr>
              <w:t xml:space="preserve">利空</w:t>
            </w:r>
          </w:p>
        </w:tc>
        <w:tc>
          <w:tcPr/>
          <w:p>
            <w:pPr>
              <w:pStyle w:val="Compact"/>
            </w:pPr>
            <w:r>
              <w:rPr>
                <w:rFonts w:hint="eastAsia"/>
              </w:rPr>
              <w:t xml:space="preserve">欧洲供应紧张与中东冲突抬升成本担忧；重点看高价持续时间</w:t>
            </w:r>
          </w:p>
        </w:tc>
      </w:tr>
    </w:tbl>
    <w:bookmarkEnd w:id="36"/>
    <w:bookmarkStart w:id="40" w:name="五操作观察框架"/>
    <w:p>
      <w:pPr>
        <w:pStyle w:val="Heading2"/>
      </w:pPr>
      <w:r>
        <w:rPr>
          <w:rFonts w:hint="eastAsia"/>
        </w:rPr>
        <w:t xml:space="preserve">五、操作观察框架</w:t>
      </w:r>
    </w:p>
    <w:bookmarkStart w:id="37" w:name="Xced39b7bfee962b29405f696afd44558175ada6"/>
    <w:p>
      <w:pPr>
        <w:pStyle w:val="Heading3"/>
      </w:pPr>
      <w:r>
        <w:t xml:space="preserve">1. </w:t>
      </w:r>
      <w:r>
        <w:rPr>
          <w:rFonts w:hint="eastAsia"/>
        </w:rPr>
        <w:t xml:space="preserve">短期：优先交易“有数据、有进度”的方向</w:t>
      </w:r>
    </w:p>
    <w:p>
      <w:pPr>
        <w:pStyle w:val="Compact"/>
        <w:numPr>
          <w:ilvl w:val="0"/>
          <w:numId w:val="1025"/>
        </w:numPr>
      </w:pPr>
      <w:r>
        <w:rPr>
          <w:rFonts w:hint="eastAsia"/>
        </w:rPr>
        <w:t xml:space="preserve">第一观察组是工业利润直接点名的AI算力、光通信、先进存储、光电子器件和电子材料。确认点不在标题热度，而在板块能否形成持续的广度与成交承接；若只有少数标的脉冲，行业数据的市场解释可能已透支。</w:t>
      </w:r>
    </w:p>
    <w:p>
      <w:pPr>
        <w:pStyle w:val="Compact"/>
        <w:numPr>
          <w:ilvl w:val="0"/>
          <w:numId w:val="1025"/>
        </w:numPr>
      </w:pPr>
      <w:r>
        <w:rPr>
          <w:rFonts w:hint="eastAsia"/>
        </w:rPr>
        <w:t xml:space="preserve">第二观察组是水利工程和风光产业链。水利具有明确施工节点，风光具有装机和投资数据，两者都强于纯概念；但前者不能误当新立项，后者不能把装机规模直接当作盈利增速。</w:t>
      </w:r>
    </w:p>
    <w:p>
      <w:pPr>
        <w:pStyle w:val="Compact"/>
        <w:numPr>
          <w:ilvl w:val="0"/>
          <w:numId w:val="1025"/>
        </w:numPr>
      </w:pPr>
      <w:r>
        <w:rPr>
          <w:rFonts w:hint="eastAsia"/>
        </w:rPr>
        <w:t xml:space="preserve">国际能源线以风险管理优先。天然气价格与中东设施安全事件可能带来快速行情，但事件驱动容易反转，应以价格持续性和冲突是否扩大作为条件，而非追逐单日波动。</w:t>
      </w:r>
    </w:p>
    <w:bookmarkEnd w:id="37"/>
    <w:bookmarkStart w:id="38" w:name="Xb78e506c8db16c1289d7b020a2fe121b1f397cb"/>
    <w:p>
      <w:pPr>
        <w:pStyle w:val="Heading3"/>
      </w:pPr>
      <w:r>
        <w:t xml:space="preserve">2. </w:t>
      </w:r>
      <w:r>
        <w:rPr>
          <w:rFonts w:hint="eastAsia"/>
        </w:rPr>
        <w:t xml:space="preserve">中期：跟踪三条兑现链</w:t>
      </w:r>
    </w:p>
    <w:p>
      <w:pPr>
        <w:pStyle w:val="Compact"/>
        <w:numPr>
          <w:ilvl w:val="0"/>
          <w:numId w:val="1026"/>
        </w:numPr>
      </w:pPr>
      <w:r>
        <w:rPr>
          <w:rFonts w:hint="eastAsia"/>
          <w:b/>
          <w:bCs/>
        </w:rPr>
        <w:t xml:space="preserve">工业利润链：</w:t>
      </w:r>
      <w:r>
        <w:t xml:space="preserve"> </w:t>
      </w:r>
      <w:r>
        <w:rPr>
          <w:rFonts w:hint="eastAsia"/>
        </w:rPr>
        <w:t xml:space="preserve">行业汇总利润增长能否继续，并由电子、高技术制造扩散至企业收入、毛利和现金流。</w:t>
      </w:r>
    </w:p>
    <w:p>
      <w:pPr>
        <w:pStyle w:val="Compact"/>
        <w:numPr>
          <w:ilvl w:val="0"/>
          <w:numId w:val="1026"/>
        </w:numPr>
      </w:pPr>
      <w:r>
        <w:rPr>
          <w:rFonts w:hint="eastAsia"/>
          <w:b/>
          <w:bCs/>
        </w:rPr>
        <w:t xml:space="preserve">实物工作量链：</w:t>
      </w:r>
      <w:r>
        <w:t xml:space="preserve"> </w:t>
      </w:r>
      <w:r>
        <w:rPr>
          <w:rFonts w:hint="eastAsia"/>
        </w:rPr>
        <w:t xml:space="preserve">水利掘进、船闸运行、灌区建设和铁路验收能否按节点推进；已有工程进度与新增业务必须区分。</w:t>
      </w:r>
    </w:p>
    <w:p>
      <w:pPr>
        <w:pStyle w:val="Compact"/>
        <w:numPr>
          <w:ilvl w:val="0"/>
          <w:numId w:val="1026"/>
        </w:numPr>
      </w:pPr>
      <w:r>
        <w:rPr>
          <w:rFonts w:hint="eastAsia"/>
          <w:b/>
          <w:bCs/>
        </w:rPr>
        <w:t xml:space="preserve">能源投资链：</w:t>
      </w:r>
      <w:r>
        <w:t xml:space="preserve"> </w:t>
      </w:r>
      <w:r>
        <w:rPr>
          <w:rFonts w:hint="eastAsia"/>
        </w:rPr>
        <w:t xml:space="preserve">风光装机和投资占比能否继续支撑装备、材料与运维环节，同时观察规模增长与盈利改善是否一致。</w:t>
      </w:r>
    </w:p>
    <w:bookmarkEnd w:id="38"/>
    <w:bookmarkStart w:id="39" w:name="X594891ac8172c00a8eb487349a06ae4824cb3b7"/>
    <w:p>
      <w:pPr>
        <w:pStyle w:val="Heading3"/>
      </w:pPr>
      <w:r>
        <w:t xml:space="preserve">3. </w:t>
      </w:r>
      <w:r>
        <w:rPr>
          <w:rFonts w:hint="eastAsia"/>
        </w:rPr>
        <w:t xml:space="preserve">降级条件</w:t>
      </w:r>
    </w:p>
    <w:p>
      <w:pPr>
        <w:pStyle w:val="Compact"/>
        <w:numPr>
          <w:ilvl w:val="0"/>
          <w:numId w:val="1027"/>
        </w:numPr>
      </w:pPr>
      <w:r>
        <w:rPr>
          <w:rFonts w:hint="eastAsia"/>
        </w:rPr>
        <w:t xml:space="preserve">只有宣传性表述、没有新增数据或执行安排的外交与党建条目，不进入行业主线。</w:t>
      </w:r>
    </w:p>
    <w:p>
      <w:pPr>
        <w:pStyle w:val="Compact"/>
        <w:numPr>
          <w:ilvl w:val="0"/>
          <w:numId w:val="1027"/>
        </w:numPr>
      </w:pPr>
      <w:r>
        <w:rPr>
          <w:rFonts w:hint="eastAsia"/>
        </w:rPr>
        <w:t xml:space="preserve">展会参展、新品首发、航线开通等信息，若没有成交、客流或企业收入验证，仅保留观察级别。</w:t>
      </w:r>
    </w:p>
    <w:p>
      <w:pPr>
        <w:pStyle w:val="Compact"/>
        <w:numPr>
          <w:ilvl w:val="0"/>
          <w:numId w:val="1027"/>
        </w:numPr>
      </w:pPr>
      <w:r>
        <w:rPr>
          <w:rFonts w:hint="eastAsia"/>
        </w:rPr>
        <w:t xml:space="preserve">海外冲突与能源价格若快速缓和，资源和避险主题应及时降级；若进一步升级，则先评估成本与风险偏好冲击，不把事件简单理解为单一板块利好。</w:t>
      </w:r>
    </w:p>
    <w:bookmarkEnd w:id="39"/>
    <w:bookmarkEnd w:id="40"/>
    <w:bookmarkStart w:id="41" w:name="六风险提示"/>
    <w:p>
      <w:pPr>
        <w:pStyle w:val="Heading2"/>
      </w:pPr>
      <w:r>
        <w:rPr>
          <w:rFonts w:hint="eastAsia"/>
        </w:rPr>
        <w:t xml:space="preserve">六、风险提示</w:t>
      </w:r>
    </w:p>
    <w:p>
      <w:pPr>
        <w:pStyle w:val="Compact"/>
        <w:numPr>
          <w:ilvl w:val="0"/>
          <w:numId w:val="1028"/>
        </w:numPr>
      </w:pPr>
      <w:r>
        <w:rPr>
          <w:rFonts w:hint="eastAsia"/>
          <w:b/>
          <w:bCs/>
        </w:rPr>
        <w:t xml:space="preserve">行业数据与个股业绩存在差异。</w:t>
      </w:r>
      <w:r>
        <w:t xml:space="preserve"> </w:t>
      </w:r>
      <w:r>
        <w:rPr>
          <w:rFonts w:hint="eastAsia"/>
        </w:rPr>
        <w:t xml:space="preserve">规上工业行业利润、通道贸易和电影票房都是总量数据，不能替代上市公司披露。</w:t>
      </w:r>
    </w:p>
    <w:p>
      <w:pPr>
        <w:pStyle w:val="Compact"/>
        <w:numPr>
          <w:ilvl w:val="0"/>
          <w:numId w:val="1028"/>
        </w:numPr>
      </w:pPr>
      <w:r>
        <w:rPr>
          <w:rFonts w:hint="eastAsia"/>
          <w:b/>
          <w:bCs/>
        </w:rPr>
        <w:t xml:space="preserve">规模增长不等于盈利增长。</w:t>
      </w:r>
      <w:r>
        <w:t xml:space="preserve"> </w:t>
      </w:r>
      <w:r>
        <w:rPr>
          <w:rFonts w:hint="eastAsia"/>
        </w:rPr>
        <w:t xml:space="preserve">风光装机突破20亿千瓦是产业规模事实，原文未给出产品价格、产能利用率或企业利润。</w:t>
      </w:r>
    </w:p>
    <w:p>
      <w:pPr>
        <w:pStyle w:val="Compact"/>
        <w:numPr>
          <w:ilvl w:val="0"/>
          <w:numId w:val="1028"/>
        </w:numPr>
      </w:pPr>
      <w:r>
        <w:rPr>
          <w:rFonts w:hint="eastAsia"/>
          <w:b/>
          <w:bCs/>
        </w:rPr>
        <w:t xml:space="preserve">在建工程不等于新增订单。</w:t>
      </w:r>
      <w:r>
        <w:t xml:space="preserve"> </w:t>
      </w:r>
      <w:r>
        <w:rPr>
          <w:rFonts w:hint="eastAsia"/>
        </w:rPr>
        <w:t xml:space="preserve">水利工程节点和铁路联调联试说明执行进度，不代表当天产生新的采购合同。</w:t>
      </w:r>
    </w:p>
    <w:p>
      <w:pPr>
        <w:pStyle w:val="Compact"/>
        <w:numPr>
          <w:ilvl w:val="0"/>
          <w:numId w:val="1028"/>
        </w:numPr>
      </w:pPr>
      <w:r>
        <w:rPr>
          <w:rFonts w:hint="eastAsia"/>
          <w:b/>
          <w:bCs/>
        </w:rPr>
        <w:t xml:space="preserve">展会热度不等于成交兑现。</w:t>
      </w:r>
      <w:r>
        <w:t xml:space="preserve"> </w:t>
      </w:r>
      <w:r>
        <w:rPr>
          <w:rFonts w:hint="eastAsia"/>
        </w:rPr>
        <w:t xml:space="preserve">原文披露参展、对接和新品活动数量，但没有成交金额。</w:t>
      </w:r>
    </w:p>
    <w:p>
      <w:pPr>
        <w:pStyle w:val="Compact"/>
        <w:numPr>
          <w:ilvl w:val="0"/>
          <w:numId w:val="1028"/>
        </w:numPr>
      </w:pPr>
      <w:r>
        <w:rPr>
          <w:rFonts w:hint="eastAsia"/>
          <w:b/>
          <w:bCs/>
        </w:rPr>
        <w:t xml:space="preserve">国际能源事件波动大。</w:t>
      </w:r>
      <w:r>
        <w:t xml:space="preserve"> </w:t>
      </w:r>
      <w:r>
        <w:rPr>
          <w:rFonts w:hint="eastAsia"/>
        </w:rPr>
        <w:t xml:space="preserve">欧洲天然气期货盘中高点、中东袭击与地区磋商可能相互拉扯，主题行情存在快速反转风险。</w:t>
      </w:r>
    </w:p>
    <w:p>
      <w:pPr>
        <w:pStyle w:val="Compact"/>
        <w:numPr>
          <w:ilvl w:val="0"/>
          <w:numId w:val="1028"/>
        </w:numPr>
      </w:pPr>
      <w:r>
        <w:rPr>
          <w:rFonts w:hint="eastAsia"/>
          <w:b/>
          <w:bCs/>
        </w:rPr>
        <w:t xml:space="preserve">单日联播不能替代连续验证。</w:t>
      </w:r>
      <w:r>
        <w:t xml:space="preserve"> </w:t>
      </w:r>
      <w:r>
        <w:rPr>
          <w:rFonts w:hint="eastAsia"/>
        </w:rPr>
        <w:t xml:space="preserve">本稿只依据2026年10月27日原文，不引入当日行情、估值、公司订单或其他政策文件。</w:t>
      </w:r>
    </w:p>
    <w:bookmarkEnd w:id="41"/>
    <w:bookmarkStart w:id="45" w:name="七逐条覆盖清单"/>
    <w:p>
      <w:pPr>
        <w:pStyle w:val="Heading2"/>
      </w:pPr>
      <w:r>
        <w:rPr>
          <w:rFonts w:hint="eastAsia"/>
        </w:rPr>
        <w:t xml:space="preserve">七、逐条覆盖清单</w:t>
      </w:r>
    </w:p>
    <w:bookmarkStart w:id="42" w:name="一级条目1313"/>
    <w:p>
      <w:pPr>
        <w:pStyle w:val="Heading3"/>
      </w:pPr>
      <w:r>
        <w:rPr>
          <w:rFonts w:hint="eastAsia"/>
        </w:rPr>
        <w:t xml:space="preserve">一级条目：13/13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序号</w:t>
            </w:r>
          </w:p>
        </w:tc>
        <w:tc>
          <w:tcPr/>
          <w:p>
            <w:pPr>
              <w:pStyle w:val="Compact"/>
            </w:pPr>
            <w:r>
              <w:rPr>
                <w:rFonts w:hint="eastAsia"/>
              </w:rPr>
              <w:t xml:space="preserve">原文一级标题</w:t>
            </w:r>
          </w:p>
        </w:tc>
        <w:tc>
          <w:tcPr/>
          <w:p>
            <w:pPr>
              <w:pStyle w:val="Compact"/>
            </w:pPr>
            <w:r>
              <w:rPr>
                <w:rFonts w:hint="eastAsia"/>
              </w:rPr>
              <w:t xml:space="preserve">覆盖状态</w:t>
            </w:r>
          </w:p>
        </w:tc>
      </w:tr>
      <w:tr>
        <w:tc>
          <w:tcPr/>
          <w:p>
            <w:pPr>
              <w:pStyle w:val="Compact"/>
              <w:jc w:val="right"/>
            </w:pPr>
            <w:r>
              <w:t xml:space="preserve">1</w:t>
            </w:r>
          </w:p>
        </w:tc>
        <w:tc>
          <w:tcPr/>
          <w:p>
            <w:pPr>
              <w:pStyle w:val="Compact"/>
            </w:pPr>
            <w:r>
              <w:rPr>
                <w:rFonts w:hint="eastAsia"/>
              </w:rPr>
              <w:t xml:space="preserve">习近平致电祝贺卢拉当选连任巴西总统</w:t>
            </w:r>
          </w:p>
        </w:tc>
        <w:tc>
          <w:tcPr/>
          <w:p>
            <w:pPr>
              <w:pStyle w:val="Compact"/>
            </w:pPr>
            <w:r>
              <w:rPr>
                <w:rFonts w:hint="eastAsia"/>
              </w:rPr>
              <w:t xml:space="preserve">已覆盖</w:t>
            </w:r>
          </w:p>
        </w:tc>
      </w:tr>
      <w:tr>
        <w:tc>
          <w:tcPr/>
          <w:p>
            <w:pPr>
              <w:pStyle w:val="Compact"/>
              <w:jc w:val="right"/>
            </w:pPr>
            <w:r>
              <w:t xml:space="preserve">2</w:t>
            </w:r>
          </w:p>
        </w:tc>
        <w:tc>
          <w:tcPr/>
          <w:p>
            <w:pPr>
              <w:pStyle w:val="Compact"/>
            </w:pPr>
            <w:r>
              <w:rPr>
                <w:rFonts w:hint="eastAsia"/>
              </w:rPr>
              <w:t xml:space="preserve">习近平向日本前首相福田康夫遗属致唁电</w:t>
            </w:r>
          </w:p>
        </w:tc>
        <w:tc>
          <w:tcPr/>
          <w:p>
            <w:pPr>
              <w:pStyle w:val="Compact"/>
            </w:pPr>
            <w:r>
              <w:rPr>
                <w:rFonts w:hint="eastAsia"/>
              </w:rPr>
              <w:t xml:space="preserve">已覆盖</w:t>
            </w:r>
          </w:p>
        </w:tc>
      </w:tr>
      <w:tr>
        <w:tc>
          <w:tcPr/>
          <w:p>
            <w:pPr>
              <w:pStyle w:val="Compact"/>
              <w:jc w:val="right"/>
            </w:pPr>
            <w:r>
              <w:t xml:space="preserve">3</w:t>
            </w:r>
          </w:p>
        </w:tc>
        <w:tc>
          <w:tcPr/>
          <w:p>
            <w:pPr>
              <w:pStyle w:val="Compact"/>
            </w:pPr>
            <w:r>
              <w:rPr>
                <w:rFonts w:hint="eastAsia"/>
              </w:rPr>
              <w:t xml:space="preserve">【持之以恒推进全面从严治党】以优良作风厚植党的执政根基</w:t>
            </w:r>
          </w:p>
        </w:tc>
        <w:tc>
          <w:tcPr/>
          <w:p>
            <w:pPr>
              <w:pStyle w:val="Compact"/>
            </w:pPr>
            <w:r>
              <w:rPr>
                <w:rFonts w:hint="eastAsia"/>
              </w:rPr>
              <w:t xml:space="preserve">已覆盖</w:t>
            </w:r>
          </w:p>
        </w:tc>
      </w:tr>
      <w:tr>
        <w:tc>
          <w:tcPr/>
          <w:p>
            <w:pPr>
              <w:pStyle w:val="Compact"/>
              <w:jc w:val="right"/>
            </w:pPr>
            <w:r>
              <w:t xml:space="preserve">4</w:t>
            </w:r>
          </w:p>
        </w:tc>
        <w:tc>
          <w:tcPr/>
          <w:p>
            <w:pPr>
              <w:pStyle w:val="Compact"/>
            </w:pPr>
            <w:r>
              <w:rPr>
                <w:rFonts w:hint="eastAsia"/>
              </w:rPr>
              <w:t xml:space="preserve">前三季度规模以上工业企业利润实现较快增长</w:t>
            </w:r>
          </w:p>
        </w:tc>
        <w:tc>
          <w:tcPr/>
          <w:p>
            <w:pPr>
              <w:pStyle w:val="Compact"/>
            </w:pPr>
            <w:r>
              <w:rPr>
                <w:rFonts w:hint="eastAsia"/>
              </w:rPr>
              <w:t xml:space="preserve">已覆盖</w:t>
            </w:r>
          </w:p>
        </w:tc>
      </w:tr>
      <w:tr>
        <w:tc>
          <w:tcPr/>
          <w:p>
            <w:pPr>
              <w:pStyle w:val="Compact"/>
              <w:jc w:val="right"/>
            </w:pPr>
            <w:r>
              <w:t xml:space="preserve">5</w:t>
            </w:r>
          </w:p>
        </w:tc>
        <w:tc>
          <w:tcPr/>
          <w:p>
            <w:pPr>
              <w:pStyle w:val="Compact"/>
            </w:pPr>
            <w:r>
              <w:rPr>
                <w:rFonts w:hint="eastAsia"/>
              </w:rPr>
              <w:t xml:space="preserve">各地重大水利工程加快建设</w:t>
            </w:r>
          </w:p>
        </w:tc>
        <w:tc>
          <w:tcPr/>
          <w:p>
            <w:pPr>
              <w:pStyle w:val="Compact"/>
            </w:pPr>
            <w:r>
              <w:rPr>
                <w:rFonts w:hint="eastAsia"/>
              </w:rPr>
              <w:t xml:space="preserve">已覆盖</w:t>
            </w:r>
          </w:p>
        </w:tc>
      </w:tr>
      <w:tr>
        <w:tc>
          <w:tcPr/>
          <w:p>
            <w:pPr>
              <w:pStyle w:val="Compact"/>
              <w:jc w:val="right"/>
            </w:pPr>
            <w:r>
              <w:t xml:space="preserve">6</w:t>
            </w:r>
          </w:p>
        </w:tc>
        <w:tc>
          <w:tcPr/>
          <w:p>
            <w:pPr>
              <w:pStyle w:val="Compact"/>
            </w:pPr>
            <w:r>
              <w:rPr>
                <w:rFonts w:hint="eastAsia"/>
              </w:rPr>
              <w:t xml:space="preserve">【在希望的田野上】各地秋收秋种有序推进</w:t>
            </w:r>
          </w:p>
        </w:tc>
        <w:tc>
          <w:tcPr/>
          <w:p>
            <w:pPr>
              <w:pStyle w:val="Compact"/>
            </w:pPr>
            <w:r>
              <w:rPr>
                <w:rFonts w:hint="eastAsia"/>
              </w:rPr>
              <w:t xml:space="preserve">已覆盖</w:t>
            </w:r>
          </w:p>
        </w:tc>
      </w:tr>
      <w:tr>
        <w:tc>
          <w:tcPr/>
          <w:p>
            <w:pPr>
              <w:pStyle w:val="Compact"/>
              <w:jc w:val="right"/>
            </w:pPr>
            <w:r>
              <w:t xml:space="preserve">7</w:t>
            </w:r>
          </w:p>
        </w:tc>
        <w:tc>
          <w:tcPr/>
          <w:p>
            <w:pPr>
              <w:pStyle w:val="Compact"/>
            </w:pPr>
            <w:r>
              <w:rPr>
                <w:rFonts w:hint="eastAsia"/>
              </w:rPr>
              <w:t xml:space="preserve">我国风电光伏累计装机容量突破20亿千瓦</w:t>
            </w:r>
          </w:p>
        </w:tc>
        <w:tc>
          <w:tcPr/>
          <w:p>
            <w:pPr>
              <w:pStyle w:val="Compact"/>
            </w:pPr>
            <w:r>
              <w:rPr>
                <w:rFonts w:hint="eastAsia"/>
              </w:rPr>
              <w:t xml:space="preserve">已覆盖</w:t>
            </w:r>
          </w:p>
        </w:tc>
      </w:tr>
      <w:tr>
        <w:tc>
          <w:tcPr/>
          <w:p>
            <w:pPr>
              <w:pStyle w:val="Compact"/>
              <w:jc w:val="right"/>
            </w:pPr>
            <w:r>
              <w:t xml:space="preserve">8</w:t>
            </w:r>
          </w:p>
        </w:tc>
        <w:tc>
          <w:tcPr/>
          <w:p>
            <w:pPr>
              <w:pStyle w:val="Compact"/>
            </w:pPr>
            <w:r>
              <w:rPr>
                <w:rFonts w:hint="eastAsia"/>
              </w:rPr>
              <w:t xml:space="preserve">第140届广交会第二期线下展今天闭展</w:t>
            </w:r>
          </w:p>
        </w:tc>
        <w:tc>
          <w:tcPr/>
          <w:p>
            <w:pPr>
              <w:pStyle w:val="Compact"/>
            </w:pPr>
            <w:r>
              <w:rPr>
                <w:rFonts w:hint="eastAsia"/>
              </w:rPr>
              <w:t xml:space="preserve">已覆盖</w:t>
            </w:r>
          </w:p>
        </w:tc>
      </w:tr>
      <w:tr>
        <w:tc>
          <w:tcPr/>
          <w:p>
            <w:pPr>
              <w:pStyle w:val="Compact"/>
              <w:jc w:val="right"/>
            </w:pPr>
            <w:r>
              <w:t xml:space="preserve">9</w:t>
            </w:r>
          </w:p>
        </w:tc>
        <w:tc>
          <w:tcPr/>
          <w:p>
            <w:pPr>
              <w:pStyle w:val="Compact"/>
            </w:pPr>
            <w:r>
              <w:rPr>
                <w:rFonts w:hint="eastAsia"/>
              </w:rPr>
              <w:t xml:space="preserve">城市公交通行</w:t>
            </w:r>
            <w:r>
              <w:t xml:space="preserve"> </w:t>
            </w:r>
            <w:r>
              <w:rPr>
                <w:rFonts w:hint="eastAsia"/>
              </w:rPr>
              <w:t xml:space="preserve">模式活起来服务暖起来</w:t>
            </w:r>
          </w:p>
        </w:tc>
        <w:tc>
          <w:tcPr/>
          <w:p>
            <w:pPr>
              <w:pStyle w:val="Compact"/>
            </w:pPr>
            <w:r>
              <w:rPr>
                <w:rFonts w:hint="eastAsia"/>
              </w:rPr>
              <w:t xml:space="preserve">已覆盖</w:t>
            </w:r>
          </w:p>
        </w:tc>
      </w:tr>
      <w:tr>
        <w:tc>
          <w:tcPr/>
          <w:p>
            <w:pPr>
              <w:pStyle w:val="Compact"/>
              <w:jc w:val="right"/>
            </w:pPr>
            <w:r>
              <w:t xml:space="preserve">10</w:t>
            </w:r>
          </w:p>
        </w:tc>
        <w:tc>
          <w:tcPr/>
          <w:p>
            <w:pPr>
              <w:pStyle w:val="Compact"/>
            </w:pPr>
            <w:r>
              <w:rPr>
                <w:rFonts w:hint="eastAsia"/>
              </w:rPr>
              <w:t xml:space="preserve">国内联播快讯</w:t>
            </w:r>
          </w:p>
        </w:tc>
        <w:tc>
          <w:tcPr/>
          <w:p>
            <w:pPr>
              <w:pStyle w:val="Compact"/>
            </w:pPr>
            <w:r>
              <w:rPr>
                <w:rFonts w:hint="eastAsia"/>
              </w:rPr>
              <w:t xml:space="preserve">已覆盖，7个子条目逐项展开</w:t>
            </w:r>
          </w:p>
        </w:tc>
      </w:tr>
      <w:tr>
        <w:tc>
          <w:tcPr/>
          <w:p>
            <w:pPr>
              <w:pStyle w:val="Compact"/>
              <w:jc w:val="right"/>
            </w:pPr>
            <w:r>
              <w:t xml:space="preserve">11</w:t>
            </w:r>
          </w:p>
        </w:tc>
        <w:tc>
          <w:tcPr/>
          <w:p>
            <w:pPr>
              <w:pStyle w:val="Compact"/>
            </w:pPr>
            <w:r>
              <w:rPr>
                <w:rFonts w:hint="eastAsia"/>
              </w:rPr>
              <w:t xml:space="preserve">全面从严治党为世界政党治理提供重要借鉴——国际人士高度关注中国共产党二十届五中全会</w:t>
            </w:r>
          </w:p>
        </w:tc>
        <w:tc>
          <w:tcPr/>
          <w:p>
            <w:pPr>
              <w:pStyle w:val="Compact"/>
            </w:pPr>
            <w:r>
              <w:rPr>
                <w:rFonts w:hint="eastAsia"/>
              </w:rPr>
              <w:t xml:space="preserve">已覆盖</w:t>
            </w:r>
          </w:p>
        </w:tc>
      </w:tr>
      <w:tr>
        <w:tc>
          <w:tcPr/>
          <w:p>
            <w:pPr>
              <w:pStyle w:val="Compact"/>
              <w:jc w:val="right"/>
            </w:pPr>
            <w:r>
              <w:t xml:space="preserve">12</w:t>
            </w:r>
          </w:p>
        </w:tc>
        <w:tc>
          <w:tcPr/>
          <w:p>
            <w:pPr>
              <w:pStyle w:val="Compact"/>
            </w:pPr>
            <w:r>
              <w:rPr>
                <w:rFonts w:hint="eastAsia"/>
              </w:rPr>
              <w:t xml:space="preserve">纪念东京审判开庭80周年图片展在纽约联合国总部开幕</w:t>
            </w:r>
          </w:p>
        </w:tc>
        <w:tc>
          <w:tcPr/>
          <w:p>
            <w:pPr>
              <w:pStyle w:val="Compact"/>
            </w:pPr>
            <w:r>
              <w:rPr>
                <w:rFonts w:hint="eastAsia"/>
              </w:rPr>
              <w:t xml:space="preserve">已覆盖</w:t>
            </w:r>
          </w:p>
        </w:tc>
      </w:tr>
      <w:tr>
        <w:tc>
          <w:tcPr/>
          <w:p>
            <w:pPr>
              <w:pStyle w:val="Compact"/>
              <w:jc w:val="right"/>
            </w:pPr>
            <w:r>
              <w:t xml:space="preserve">13</w:t>
            </w:r>
          </w:p>
        </w:tc>
        <w:tc>
          <w:tcPr/>
          <w:p>
            <w:pPr>
              <w:pStyle w:val="Compact"/>
            </w:pPr>
            <w:r>
              <w:rPr>
                <w:rFonts w:hint="eastAsia"/>
              </w:rPr>
              <w:t xml:space="preserve">国际联播快讯</w:t>
            </w:r>
          </w:p>
        </w:tc>
        <w:tc>
          <w:tcPr/>
          <w:p>
            <w:pPr>
              <w:pStyle w:val="Compact"/>
            </w:pPr>
            <w:r>
              <w:rPr>
                <w:rFonts w:hint="eastAsia"/>
              </w:rPr>
              <w:t xml:space="preserve">已覆盖，4个子条目逐项展开</w:t>
            </w:r>
          </w:p>
        </w:tc>
      </w:tr>
    </w:tbl>
    <w:bookmarkEnd w:id="42"/>
    <w:bookmarkStart w:id="43" w:name="国内联播快讯子条目77"/>
    <w:p>
      <w:pPr>
        <w:pStyle w:val="Heading3"/>
      </w:pPr>
      <w:r>
        <w:rPr>
          <w:rFonts w:hint="eastAsia"/>
        </w:rPr>
        <w:t xml:space="preserve">国内联播快讯子条目：7/7</w:t>
      </w:r>
    </w:p>
    <w:p>
      <w:pPr>
        <w:pStyle w:val="Compact"/>
        <w:numPr>
          <w:ilvl w:val="0"/>
          <w:numId w:val="1029"/>
        </w:numPr>
      </w:pPr>
      <w:r>
        <w:rPr>
          <w:rFonts w:hint="eastAsia"/>
        </w:rPr>
        <w:t xml:space="preserve">前三季度西部陆海新通道沿线经通道进出口超7870亿元：已覆盖。</w:t>
      </w:r>
    </w:p>
    <w:p>
      <w:pPr>
        <w:pStyle w:val="Compact"/>
        <w:numPr>
          <w:ilvl w:val="0"/>
          <w:numId w:val="1029"/>
        </w:numPr>
      </w:pPr>
      <w:r>
        <w:rPr>
          <w:rFonts w:hint="eastAsia"/>
        </w:rPr>
        <w:t xml:space="preserve">第三季度全国农产品质量安全状况保持稳定：已覆盖。</w:t>
      </w:r>
    </w:p>
    <w:p>
      <w:pPr>
        <w:pStyle w:val="Compact"/>
        <w:numPr>
          <w:ilvl w:val="0"/>
          <w:numId w:val="1029"/>
        </w:numPr>
      </w:pPr>
      <w:r>
        <w:rPr>
          <w:rFonts w:hint="eastAsia"/>
        </w:rPr>
        <w:t xml:space="preserve">民政部部署开展“寒冬送温暖”专项救助行动：已覆盖。</w:t>
      </w:r>
    </w:p>
    <w:p>
      <w:pPr>
        <w:pStyle w:val="Compact"/>
        <w:numPr>
          <w:ilvl w:val="0"/>
          <w:numId w:val="1029"/>
        </w:numPr>
      </w:pPr>
      <w:r>
        <w:rPr>
          <w:rFonts w:hint="eastAsia"/>
        </w:rPr>
        <w:t xml:space="preserve">前三季度全国环境空气质量总体向好：已覆盖。</w:t>
      </w:r>
    </w:p>
    <w:p>
      <w:pPr>
        <w:pStyle w:val="Compact"/>
        <w:numPr>
          <w:ilvl w:val="0"/>
          <w:numId w:val="1029"/>
        </w:numPr>
      </w:pPr>
      <w:r>
        <w:rPr>
          <w:rFonts w:hint="eastAsia"/>
        </w:rPr>
        <w:t xml:space="preserve">我国首条至冰岛定期客运航线正式开通：已覆盖。</w:t>
      </w:r>
    </w:p>
    <w:p>
      <w:pPr>
        <w:pStyle w:val="Compact"/>
        <w:numPr>
          <w:ilvl w:val="0"/>
          <w:numId w:val="1029"/>
        </w:numPr>
      </w:pPr>
      <w:r>
        <w:rPr>
          <w:rFonts w:hint="eastAsia"/>
        </w:rPr>
        <w:t xml:space="preserve">新建银川至巴彦浩特铁路正式启动联调联试：已覆盖。</w:t>
      </w:r>
    </w:p>
    <w:p>
      <w:pPr>
        <w:pStyle w:val="Compact"/>
        <w:numPr>
          <w:ilvl w:val="0"/>
          <w:numId w:val="1029"/>
        </w:numPr>
      </w:pPr>
      <w:r>
        <w:rPr>
          <w:rFonts w:hint="eastAsia"/>
        </w:rPr>
        <w:t xml:space="preserve">2026年电影票房超315亿元：已覆盖。</w:t>
      </w:r>
    </w:p>
    <w:bookmarkEnd w:id="43"/>
    <w:bookmarkStart w:id="44" w:name="国际联播快讯子条目44"/>
    <w:p>
      <w:pPr>
        <w:pStyle w:val="Heading3"/>
      </w:pPr>
      <w:r>
        <w:rPr>
          <w:rFonts w:hint="eastAsia"/>
        </w:rPr>
        <w:t xml:space="preserve">国际联播快讯子条目：4/4</w:t>
      </w:r>
    </w:p>
    <w:p>
      <w:pPr>
        <w:pStyle w:val="Compact"/>
        <w:numPr>
          <w:ilvl w:val="0"/>
          <w:numId w:val="1030"/>
        </w:numPr>
      </w:pPr>
      <w:r>
        <w:rPr>
          <w:rFonts w:hint="eastAsia"/>
        </w:rPr>
        <w:t xml:space="preserve">俄乌在阿列什基实行人道主义停火：已覆盖。</w:t>
      </w:r>
    </w:p>
    <w:p>
      <w:pPr>
        <w:pStyle w:val="Compact"/>
        <w:numPr>
          <w:ilvl w:val="0"/>
          <w:numId w:val="1030"/>
        </w:numPr>
      </w:pPr>
      <w:r>
        <w:rPr>
          <w:rFonts w:hint="eastAsia"/>
        </w:rPr>
        <w:t xml:space="preserve">胡塞武装称打击沙特军队和机场等目标：已覆盖。</w:t>
      </w:r>
    </w:p>
    <w:p>
      <w:pPr>
        <w:pStyle w:val="Compact"/>
        <w:numPr>
          <w:ilvl w:val="0"/>
          <w:numId w:val="1030"/>
        </w:numPr>
      </w:pPr>
      <w:r>
        <w:rPr>
          <w:rFonts w:hint="eastAsia"/>
        </w:rPr>
        <w:t xml:space="preserve">伊沙土巴四国同意磋商以加强安全合作：已覆盖。</w:t>
      </w:r>
    </w:p>
    <w:p>
      <w:pPr>
        <w:pStyle w:val="Compact"/>
        <w:numPr>
          <w:ilvl w:val="0"/>
          <w:numId w:val="1030"/>
        </w:numPr>
      </w:pPr>
      <w:r>
        <w:rPr>
          <w:rFonts w:hint="eastAsia"/>
        </w:rPr>
        <w:t xml:space="preserve">欧洲天然气价格升至近四年来最高水平：已覆盖。</w:t>
      </w:r>
    </w:p>
    <w:p>
      <w:r>
        <w:pict>
          <v:rect style="width:0;height:1.5pt" o:hralign="center" o:hrstd="t" o:hr="t"/>
        </w:pict>
      </w:r>
    </w:p>
    <w:p>
      <w:pPr>
        <w:pStyle w:val="FirstParagraph"/>
      </w:pPr>
      <w:r>
        <w:rPr>
          <w:rFonts w:hint="eastAsia"/>
        </w:rPr>
        <w:t xml:space="preserve">分析和写稿模型：GPT-5.6</w:t>
      </w:r>
      <w:r>
        <w:t xml:space="preserve"> Sol (openai-codex)。</w:t>
      </w:r>
    </w:p>
    <w:bookmarkEnd w:id="44"/>
    <w:bookmarkEnd w:id="45"/>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2026-10-27T12:25:29Z</dcterms:created>
  <dcterms:modified xsi:type="dcterms:W3CDTF">2026-10-27T12:25:29Z</dcterms:modified>
</cp:coreProperties>
</file>

<file path=docProps/custom.xml><?xml version="1.0" encoding="utf-8"?>
<Properties xmlns="http://schemas.openxmlformats.org/officeDocument/2006/custom-properties" xmlns:vt="http://schemas.openxmlformats.org/officeDocument/2006/docPropsVTypes"/>
</file>