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X8bedbccd5a2b870b46c4a433cf62625cd16fd58"/>
    <w:p>
      <w:pPr>
        <w:pStyle w:val="Heading1"/>
        <w:keepNext/>
      </w:pPr>
      <w:r>
        <w:rPr>
          <w:rFonts w:hint="eastAsia"/>
        </w:rPr>
        <w:t xml:space="preserve">2026年10月21日《新闻联播》A股解读生产稿</w:t>
      </w:r>
    </w:p>
    <w:p>
      <w:pPr>
        <w:pStyle w:val="BlockText"/>
      </w:pPr>
      <w:r>
        <w:rPr>
          <w:rFonts w:hint="eastAsia"/>
        </w:rPr>
        <w:t xml:space="preserve">数据边界：本文唯一联播原文数据源为</w:t>
      </w:r>
      <w:r>
        <w:t xml:space="preserve"> </w:t>
      </w:r>
      <w:r>
        <w:rPr>
          <w:rStyle w:val="VerbatimChar"/>
        </w:rPr>
        <w:t xml:space="preserve">/Users/qiji/.hermes/skills/finance/qiji-morning-know/memory/xinwenlianbo/2026-10-21.md</w:t>
      </w:r>
      <w:r>
        <w:rPr>
          <w:rFonts w:hint="eastAsia"/>
        </w:rPr>
        <w:t xml:space="preserve">。共核对17个一级分项、17条央视原文链接；“国内联播快讯”中的7个子项和“国际联播快讯”中的4个子项均单独覆盖。文中“事实核验”复述原文，“通俗解码”和“A股映射”属于基于原文的分析判断，不代表新增事实或投资建议。</w:t>
      </w:r>
    </w:p>
    <w:bookmarkStart w:id="9" w:name="一今日联播总评"/>
    <w:p>
      <w:pPr>
        <w:pStyle w:val="Heading2"/>
        <w:keepNext/>
      </w:pPr>
      <w:r>
        <w:rPr>
          <w:rFonts w:hint="eastAsia"/>
        </w:rPr>
        <w:t xml:space="preserve">一、今日联播总评</w:t>
      </w:r>
    </w:p>
    <w:p>
      <w:pPr>
        <w:pStyle w:val="Compact"/>
        <w:numPr>
          <w:ilvl w:val="0"/>
          <w:numId w:val="1001"/>
        </w:numPr>
      </w:pPr>
      <w:r>
        <w:rPr>
          <w:rFonts w:hint="eastAsia"/>
          <w:b/>
          <w:bCs/>
        </w:rPr>
        <w:t xml:space="preserve">整体基调：积极。</w:t>
      </w:r>
      <w:r>
        <w:t xml:space="preserve"> </w:t>
      </w:r>
      <w:r>
        <w:rPr>
          <w:rFonts w:hint="eastAsia"/>
        </w:rPr>
        <w:t xml:space="preserve">国内部分形成“科技新动能—科技金融—应用场景—绿色转型—安全能力建设—消费扩容”的完整政策叙事，直接可映射到A股的内容密度较高。</w:t>
      </w:r>
    </w:p>
    <w:p>
      <w:pPr>
        <w:pStyle w:val="Compact"/>
        <w:numPr>
          <w:ilvl w:val="0"/>
          <w:numId w:val="1001"/>
        </w:numPr>
      </w:pPr>
      <w:r>
        <w:rPr>
          <w:rFonts w:hint="eastAsia"/>
          <w:b/>
          <w:bCs/>
        </w:rPr>
        <w:t xml:space="preserve">政策信号强度：强。</w:t>
      </w:r>
      <w:r>
        <w:t xml:space="preserve"> </w:t>
      </w:r>
      <w:r>
        <w:rPr>
          <w:rFonts w:hint="eastAsia"/>
        </w:rPr>
        <w:t xml:space="preserve">最具可交易含义的增量来自央行科技金融与市场流动性工具、首批136项重大应用场景、京津冀氢能试点、“十五五”应急体系建设及碳市场扩围深化。</w:t>
      </w:r>
    </w:p>
    <w:p>
      <w:pPr>
        <w:pStyle w:val="Compact"/>
        <w:numPr>
          <w:ilvl w:val="0"/>
          <w:numId w:val="1001"/>
        </w:numPr>
      </w:pPr>
      <w:r>
        <w:rPr>
          <w:rFonts w:hint="eastAsia"/>
          <w:b/>
          <w:bCs/>
        </w:rPr>
        <w:t xml:space="preserve">对A股总体影响：结构性利好。</w:t>
      </w:r>
      <w:r>
        <w:t xml:space="preserve"> </w:t>
      </w:r>
      <w:r>
        <w:rPr>
          <w:rFonts w:hint="eastAsia"/>
        </w:rPr>
        <w:t xml:space="preserve">科技成长、创投与券商服务、应急装备、氢能、碳管理、服务消费获得政策或数据支撑；国际能源价格与地缘局势则构成成本端和风险偏好扰动。</w:t>
      </w:r>
    </w:p>
    <w:p>
      <w:pPr>
        <w:pStyle w:val="Compact"/>
        <w:numPr>
          <w:ilvl w:val="0"/>
          <w:numId w:val="1001"/>
        </w:numPr>
      </w:pPr>
      <w:r>
        <w:rPr>
          <w:rFonts w:hint="eastAsia"/>
          <w:b/>
          <w:bCs/>
        </w:rPr>
        <w:t xml:space="preserve">一句话结论：</w:t>
      </w:r>
      <w:r>
        <w:t xml:space="preserve"> </w:t>
      </w:r>
      <w:r>
        <w:rPr>
          <w:rFonts w:hint="eastAsia"/>
        </w:rPr>
        <w:t xml:space="preserve">今日不是单一行业刺激，而是以科技创新和金融支持为主轴、绿色安全与消费为两翼的结构性政策组合；交易上宜等待量价确认，不把政策方向直接等同于次日无条件买点。</w:t>
      </w:r>
    </w:p>
    <w:bookmarkEnd w:id="9"/>
    <w:bookmarkStart w:id="15" w:name="二最重要的五条a股信号"/>
    <w:p>
      <w:pPr>
        <w:pStyle w:val="Heading2"/>
        <w:keepNext/>
      </w:pPr>
      <w:r>
        <w:rPr>
          <w:rFonts w:hint="eastAsia"/>
        </w:rPr>
        <w:t xml:space="preserve">二、最重要的五条A股信号</w:t>
      </w:r>
    </w:p>
    <w:bookmarkStart w:id="10" w:name="X7c6cc9f53ada17220ecdde745f46f1443a34a90"/>
    <w:p>
      <w:pPr>
        <w:pStyle w:val="Heading3"/>
        <w:keepNext/>
      </w:pPr>
      <w:r>
        <w:t xml:space="preserve">1. </w:t>
      </w:r>
      <w:r>
        <w:rPr>
          <w:rFonts w:hint="eastAsia"/>
        </w:rPr>
        <w:t xml:space="preserve">科技金融政策从“支持方向”走向“试点、扩围和互认”——★★★★</w:t>
      </w:r>
    </w:p>
    <w:p>
      <w:pPr>
        <w:pStyle w:val="FirstParagraph"/>
      </w:pPr>
      <w:r>
        <w:rPr>
          <w:rFonts w:hint="eastAsia"/>
          <w:b/>
          <w:bCs/>
        </w:rPr>
        <w:t xml:space="preserve">事实核验：</w:t>
      </w:r>
      <w:r>
        <w:t xml:space="preserve"> </w:t>
      </w:r>
      <w:r>
        <w:rPr>
          <w:rFonts w:hint="eastAsia"/>
        </w:rPr>
        <w:t xml:space="preserve">中国人民银行宣布支持北京、上海、粤港澳大湾区打造国际级创投中心；在国际科技创新中心开展试点，把研发投入水平较高的民营中小企业纳入科技创新和技术改造再贷款支持范围；推动“创新积分制”在京津冀、长三角、粤港澳大湾区率先互联互通互认。同时拟推出非银机构大额赎回流动性支持工具、扩大常备借贷便利适用机构范围，并推动银行间与交易所债券市场互联互通。</w:t>
      </w:r>
    </w:p>
    <w:p>
      <w:pPr>
        <w:pStyle w:val="BodyText"/>
      </w:pPr>
      <w:r>
        <w:rPr>
          <w:rFonts w:hint="eastAsia"/>
          <w:b/>
          <w:bCs/>
        </w:rPr>
        <w:t xml:space="preserve">通俗解码：</w:t>
      </w:r>
      <w:r>
        <w:t xml:space="preserve"> </w:t>
      </w:r>
      <w:r>
        <w:rPr>
          <w:rFonts w:hint="eastAsia"/>
        </w:rPr>
        <w:t xml:space="preserve">一端降低科技型民营中小企业融资门槛，另一端补充非银机构极端赎回情形下的流动性工具，并打通债券市场基础设施。政策受益对象和实施场景均较明确，但具体效果仍取决于后续细则、额度、参与机构和实际投放。</w:t>
      </w:r>
    </w:p>
    <w:p>
      <w:pPr>
        <w:pStyle w:val="BodyText"/>
      </w:pPr>
      <w:r>
        <w:rPr>
          <w:rFonts w:hint="eastAsia"/>
          <w:b/>
          <w:bCs/>
        </w:rPr>
        <w:t xml:space="preserve">A股映射：</w:t>
      </w:r>
      <w:r>
        <w:t xml:space="preserve"> </w:t>
      </w:r>
      <w:r>
        <w:rPr>
          <w:rFonts w:hint="eastAsia"/>
        </w:rPr>
        <w:t xml:space="preserve">创投、券商及资本市场服务、科技型民营企业融资链条、银行金融科技偏正面；其中流动性工具更偏市场稳定器，不宜简单解读为面向全市场的无差别宽松。</w:t>
      </w:r>
    </w:p>
    <w:bookmarkEnd w:id="10"/>
    <w:bookmarkStart w:id="11" w:name="X920fd91cf6ce3185472d3db580932af25ca8f5a"/>
    <w:p>
      <w:pPr>
        <w:pStyle w:val="Heading3"/>
        <w:keepNext/>
      </w:pPr>
      <w:r>
        <w:t xml:space="preserve">2. </w:t>
      </w:r>
      <w:r>
        <w:rPr>
          <w:rFonts w:hint="eastAsia"/>
        </w:rPr>
        <w:t xml:space="preserve">新动能给出高密度产业数据，科技主线获得基本面叙事——★★★★</w:t>
      </w:r>
    </w:p>
    <w:p>
      <w:pPr>
        <w:pStyle w:val="FirstParagraph"/>
      </w:pPr>
      <w:r>
        <w:rPr>
          <w:rFonts w:hint="eastAsia"/>
          <w:b/>
          <w:bCs/>
        </w:rPr>
        <w:t xml:space="preserve">事实核验：</w:t>
      </w:r>
      <w:r>
        <w:t xml:space="preserve"> </w:t>
      </w:r>
      <w:r>
        <w:rPr>
          <w:rFonts w:hint="eastAsia"/>
        </w:rPr>
        <w:t xml:space="preserve">原文称，前三季度集成电路关键核心技术攻关取得突破；AI开源大模型全球累计下载量突破100亿次；人形机器人出货量全球占比超过90%；创新药对外技术授权1300亿美元，接近去年全年；新能源汽车渗透率达到53.6%；数据产业规模超过6万亿元，高技术制造业和装备制造业增加值均保持较快增长，服务业增加值同比增长5.2%。</w:t>
      </w:r>
    </w:p>
    <w:p>
      <w:pPr>
        <w:pStyle w:val="BodyText"/>
      </w:pPr>
      <w:r>
        <w:rPr>
          <w:rFonts w:hint="eastAsia"/>
          <w:b/>
          <w:bCs/>
        </w:rPr>
        <w:t xml:space="preserve">通俗解码：</w:t>
      </w:r>
      <w:r>
        <w:t xml:space="preserve"> </w:t>
      </w:r>
      <w:r>
        <w:rPr>
          <w:rFonts w:hint="eastAsia"/>
        </w:rPr>
        <w:t xml:space="preserve">联播把半导体、AI、人形机器人、创新药、新能源汽车和数据产业并列为增长新动能，说明科技产业政策叙事已从单点突破转为多产业共同贡献。</w:t>
      </w:r>
    </w:p>
    <w:p>
      <w:pPr>
        <w:pStyle w:val="BodyText"/>
      </w:pPr>
      <w:r>
        <w:rPr>
          <w:rFonts w:hint="eastAsia"/>
          <w:b/>
          <w:bCs/>
        </w:rPr>
        <w:t xml:space="preserve">A股映射：</w:t>
      </w:r>
      <w:r>
        <w:t xml:space="preserve"> </w:t>
      </w:r>
      <w:r>
        <w:rPr>
          <w:rFonts w:hint="eastAsia"/>
        </w:rPr>
        <w:t xml:space="preserve">半导体设备材料、AI模型与算力、机器人核心零部件、创新药出海、新能源汽车产业链、数据基础设施均获中期叙事支持。风险是高景气叙事可能已反映在估值中，需继续核验订单、收入、现金流和产业链利润分配。</w:t>
      </w:r>
    </w:p>
    <w:bookmarkEnd w:id="11"/>
    <w:bookmarkStart w:id="12" w:name="Xbe435e74a2b9fecaa176c00f5a7a0701d6d6dc3"/>
    <w:p>
      <w:pPr>
        <w:pStyle w:val="Heading3"/>
        <w:keepNext/>
      </w:pPr>
      <w:r>
        <w:t xml:space="preserve">3. </w:t>
      </w:r>
      <w:r>
        <w:rPr>
          <w:rFonts w:hint="eastAsia"/>
        </w:rPr>
        <w:t xml:space="preserve">首批136项重大应用场景释放“以场景换验证”信号——★★★★</w:t>
      </w:r>
    </w:p>
    <w:p>
      <w:pPr>
        <w:pStyle w:val="FirstParagraph"/>
      </w:pPr>
      <w:r>
        <w:rPr>
          <w:rFonts w:hint="eastAsia"/>
          <w:b/>
          <w:bCs/>
        </w:rPr>
        <w:t xml:space="preserve">事实核验：</w:t>
      </w:r>
      <w:r>
        <w:t xml:space="preserve"> </w:t>
      </w:r>
      <w:r>
        <w:rPr>
          <w:rFonts w:hint="eastAsia"/>
        </w:rPr>
        <w:t xml:space="preserve">国家发展改革委等部门推出首批136项标志性重大应用场景项目，覆盖新领域新赛道、产业转型升级、行业领域应用、社会治理服务和民生领域五大类型，为各类经营主体提供场景验证机会。</w:t>
      </w:r>
    </w:p>
    <w:p>
      <w:pPr>
        <w:pStyle w:val="BodyText"/>
      </w:pPr>
      <w:r>
        <w:rPr>
          <w:rFonts w:hint="eastAsia"/>
          <w:b/>
          <w:bCs/>
        </w:rPr>
        <w:t xml:space="preserve">通俗解码：</w:t>
      </w:r>
      <w:r>
        <w:t xml:space="preserve"> </w:t>
      </w:r>
      <w:r>
        <w:rPr>
          <w:rFonts w:hint="eastAsia"/>
        </w:rPr>
        <w:t xml:space="preserve">政策不只支持研发，还开始用真实应用场景帮助技术完成验证和商业化。原文未列明136个项目的逐项行业归属，因此不能据此自行扩写具体订单或企业名单。</w:t>
      </w:r>
    </w:p>
    <w:p>
      <w:pPr>
        <w:pStyle w:val="BodyText"/>
      </w:pPr>
      <w:r>
        <w:rPr>
          <w:rFonts w:hint="eastAsia"/>
          <w:b/>
          <w:bCs/>
        </w:rPr>
        <w:t xml:space="preserve">A股映射：</w:t>
      </w:r>
      <w:r>
        <w:t xml:space="preserve"> </w:t>
      </w:r>
      <w:r>
        <w:rPr>
          <w:rFonts w:hint="eastAsia"/>
        </w:rPr>
        <w:t xml:space="preserve">对具备产品交付能力、能进入示范项目并把验证转化为订单的软硬件企业更有意义；题材层面可能扩散至AI、机器人、数字化改造和社会治理技术，但需以后续清单与中标信息确认。</w:t>
      </w:r>
    </w:p>
    <w:bookmarkEnd w:id="12"/>
    <w:bookmarkStart w:id="13" w:name="Xf7f52245769aaeb26bceff5939a5dc881bfed48"/>
    <w:p>
      <w:pPr>
        <w:pStyle w:val="Heading3"/>
        <w:keepNext/>
      </w:pPr>
      <w:r>
        <w:t xml:space="preserve">4. </w:t>
      </w:r>
      <w:r>
        <w:rPr>
          <w:rFonts w:hint="eastAsia"/>
        </w:rPr>
        <w:t xml:space="preserve">“十五五”大安全大应急进入能力建设周期——★★★★</w:t>
      </w:r>
    </w:p>
    <w:p>
      <w:pPr>
        <w:pStyle w:val="FirstParagraph"/>
      </w:pPr>
      <w:r>
        <w:rPr>
          <w:rFonts w:hint="eastAsia"/>
          <w:b/>
          <w:bCs/>
        </w:rPr>
        <w:t xml:space="preserve">事实核验：</w:t>
      </w:r>
      <w:r>
        <w:t xml:space="preserve"> </w:t>
      </w:r>
      <w:r>
        <w:rPr>
          <w:rFonts w:hint="eastAsia"/>
        </w:rPr>
        <w:t xml:space="preserve">“十五五”期间将推动治理模式向事前预防转型，优化应急力量布局，提升大灾巨灾应对能力；消防救援将重点提升城乡灭火、森林草原灭火、特种灾害、航空救援四项能力，并推进高原高寒等极端场景装备研发升级；矿山安全法拟全面修订，地震监测预报预警和城乡基础设施抗震能力将提升，生产安全事故隐患排查治理条例也将推动出台。</w:t>
      </w:r>
    </w:p>
    <w:p>
      <w:pPr>
        <w:pStyle w:val="BodyText"/>
      </w:pPr>
      <w:r>
        <w:rPr>
          <w:rFonts w:hint="eastAsia"/>
          <w:b/>
          <w:bCs/>
        </w:rPr>
        <w:t xml:space="preserve">通俗解码：</w:t>
      </w:r>
      <w:r>
        <w:t xml:space="preserve"> </w:t>
      </w:r>
      <w:r>
        <w:rPr>
          <w:rFonts w:hint="eastAsia"/>
        </w:rPr>
        <w:t xml:space="preserve">应急投入从事故后的处置，前移到监测、预警、排查和预防，同时补强极端场景专业装备。</w:t>
      </w:r>
    </w:p>
    <w:p>
      <w:pPr>
        <w:pStyle w:val="BodyText"/>
      </w:pPr>
      <w:r>
        <w:rPr>
          <w:rFonts w:hint="eastAsia"/>
          <w:b/>
          <w:bCs/>
        </w:rPr>
        <w:t xml:space="preserve">A股映射：</w:t>
      </w:r>
      <w:r>
        <w:t xml:space="preserve"> </w:t>
      </w:r>
      <w:r>
        <w:rPr>
          <w:rFonts w:hint="eastAsia"/>
        </w:rPr>
        <w:t xml:space="preserve">应急救援装备、消防装备、航空救援、地震监测、矿山安全、工业安全监测和基础设施抗震改造方向偏正面。真正兑现要观察预算、采购节奏、标准落地和项目招标。</w:t>
      </w:r>
    </w:p>
    <w:bookmarkEnd w:id="13"/>
    <w:bookmarkStart w:id="14" w:name="X7ef796812f086281364f5b26da7be2df256d45e"/>
    <w:p>
      <w:pPr>
        <w:pStyle w:val="Heading3"/>
        <w:keepNext/>
      </w:pPr>
      <w:r>
        <w:t xml:space="preserve">5. </w:t>
      </w:r>
      <w:r>
        <w:rPr>
          <w:rFonts w:hint="eastAsia"/>
        </w:rPr>
        <w:t xml:space="preserve">碳市场、氢能和清洁能源构成绿色转型组合——★★★★</w:t>
      </w:r>
    </w:p>
    <w:p>
      <w:pPr>
        <w:pStyle w:val="FirstParagraph"/>
      </w:pPr>
      <w:r>
        <w:rPr>
          <w:rFonts w:hint="eastAsia"/>
          <w:b/>
          <w:bCs/>
        </w:rPr>
        <w:t xml:space="preserve">事实核验：</w:t>
      </w:r>
      <w:r>
        <w:t xml:space="preserve"> </w:t>
      </w:r>
      <w:r>
        <w:rPr>
          <w:rFonts w:hint="eastAsia"/>
        </w:rPr>
        <w:t xml:space="preserve">我国已发布113项碳排放管理国家标准，年内还将新增50余项；全国碳排放权交易市场最近配额累计成交量突破10亿吨。“十五五”时期将加快绿色低碳发展。京津冀氢能综合应用试点城市群将推广不少于1.2万辆氢燃料电池汽车、加氢站保有量超过100座，并把应用从交通拓展到钢铁、化工、热电联供和数据中心。青海共和百万千瓦级清洁能源工程已并网，年均上网电量可达25.3亿千瓦时。</w:t>
      </w:r>
    </w:p>
    <w:p>
      <w:pPr>
        <w:pStyle w:val="BodyText"/>
      </w:pPr>
      <w:r>
        <w:rPr>
          <w:rFonts w:hint="eastAsia"/>
          <w:b/>
          <w:bCs/>
        </w:rPr>
        <w:t xml:space="preserve">通俗解码：</w:t>
      </w:r>
      <w:r>
        <w:t xml:space="preserve"> </w:t>
      </w:r>
      <w:r>
        <w:rPr>
          <w:rFonts w:hint="eastAsia"/>
        </w:rPr>
        <w:t xml:space="preserve">碳核算、碳交易和碳足迹标准继续完善；氢能由单一交通示范向工业和能源场景扩展；光伏、光热储能与电热转换的一体化项目提供工程样本。</w:t>
      </w:r>
    </w:p>
    <w:p>
      <w:pPr>
        <w:pStyle w:val="BodyText"/>
      </w:pPr>
      <w:r>
        <w:rPr>
          <w:rFonts w:hint="eastAsia"/>
          <w:b/>
          <w:bCs/>
        </w:rPr>
        <w:t xml:space="preserve">A股映射：</w:t>
      </w:r>
      <w:r>
        <w:t xml:space="preserve"> </w:t>
      </w:r>
      <w:r>
        <w:rPr>
          <w:rFonts w:hint="eastAsia"/>
        </w:rPr>
        <w:t xml:space="preserve">碳监测与核算、节能服务、碳交易基础设施、燃料电池与加氢设备、工业用氢、光热储能偏正面。氢能仍需重点核验利用率、制氢成本、补贴机制和商业闭环。</w:t>
      </w:r>
    </w:p>
    <w:bookmarkEnd w:id="14"/>
    <w:bookmarkEnd w:id="15"/>
    <w:bookmarkStart w:id="44" w:name="三全部17个联播分项逐条解读"/>
    <w:p>
      <w:pPr>
        <w:pStyle w:val="Heading2"/>
        <w:keepNext/>
      </w:pPr>
      <w:r>
        <w:rPr>
          <w:rFonts w:hint="eastAsia"/>
        </w:rPr>
        <w:t xml:space="preserve">三、全部17个联播分项逐条解读</w:t>
      </w:r>
    </w:p>
    <w:bookmarkStart w:id="16" w:name="X5f6460f3faa96aea42a2f364aa6851587c0c6a7"/>
    <w:p>
      <w:pPr>
        <w:pStyle w:val="Heading3"/>
        <w:keepNext/>
      </w:pPr>
      <w:r>
        <w:t xml:space="preserve">1. </w:t>
      </w:r>
      <w:r>
        <w:rPr>
          <w:rFonts w:hint="eastAsia"/>
        </w:rPr>
        <w:t xml:space="preserve">【赓续长征精神</w:t>
      </w:r>
      <w:r>
        <w:t xml:space="preserve"> </w:t>
      </w:r>
      <w:r>
        <w:rPr>
          <w:rFonts w:hint="eastAsia"/>
        </w:rPr>
        <w:t xml:space="preserve">奋进复兴征程】在新的长征路上继续奋勇前进</w:t>
      </w:r>
    </w:p>
    <w:p>
      <w:pPr>
        <w:pStyle w:val="Compact"/>
        <w:numPr>
          <w:ilvl w:val="0"/>
          <w:numId w:val="1002"/>
        </w:numPr>
      </w:pPr>
      <w:r>
        <w:rPr>
          <w:rFonts w:hint="eastAsia"/>
          <w:b/>
          <w:bCs/>
        </w:rPr>
        <w:t xml:space="preserve">信号强度：★★★★★；A股影响：中性偏多；时效：中长期。</w:t>
      </w:r>
    </w:p>
    <w:p>
      <w:pPr>
        <w:pStyle w:val="Compact"/>
        <w:numPr>
          <w:ilvl w:val="0"/>
          <w:numId w:val="1002"/>
        </w:numPr>
      </w:pPr>
      <w:r>
        <w:rPr>
          <w:rFonts w:hint="eastAsia"/>
          <w:b/>
          <w:bCs/>
        </w:rPr>
        <w:t xml:space="preserve">事实核验：</w:t>
      </w:r>
      <w:r>
        <w:t xml:space="preserve"> </w:t>
      </w:r>
      <w:r>
        <w:rPr>
          <w:rFonts w:hint="eastAsia"/>
        </w:rPr>
        <w:t xml:space="preserve">头条以长征胜利90周年为节点，主线是弘扬长征精神和推进中国式现代化。报道列举乡村产业、重大工程和科技自立自强案例：潭头村2025年富硒产业全产业链突破1.8亿元、人均纯收入3.6万元；全国累计建设300个优势特色农业产业集群、450个现代农业产业园；西吉粉制品年产量超1.6万吨、年产值突破1亿元；川青铁路、全长超63公里的香炉山隧洞正在建设；庆阳“东数西算”智算中心、青海共和三塔光热基地和合肥托卡马克装置被重点呈现。</w:t>
      </w:r>
    </w:p>
    <w:p>
      <w:pPr>
        <w:pStyle w:val="Compact"/>
        <w:numPr>
          <w:ilvl w:val="0"/>
          <w:numId w:val="1002"/>
        </w:numPr>
      </w:pPr>
      <w:r>
        <w:rPr>
          <w:rFonts w:hint="eastAsia"/>
          <w:b/>
          <w:bCs/>
        </w:rPr>
        <w:t xml:space="preserve">通俗解码：</w:t>
      </w:r>
      <w:r>
        <w:t xml:space="preserve"> </w:t>
      </w:r>
      <w:r>
        <w:rPr>
          <w:rFonts w:hint="eastAsia"/>
        </w:rPr>
        <w:t xml:space="preserve">头条的主要功能是政治动员和发展叙事，但具体案例把乡村振兴、重大基础设施、算力、清洁能源、核聚变放进同一长期建设框架。</w:t>
      </w:r>
    </w:p>
    <w:p>
      <w:pPr>
        <w:pStyle w:val="Compact"/>
        <w:numPr>
          <w:ilvl w:val="0"/>
          <w:numId w:val="1002"/>
        </w:numPr>
      </w:pPr>
      <w:r>
        <w:rPr>
          <w:rFonts w:hint="eastAsia"/>
          <w:b/>
          <w:bCs/>
        </w:rPr>
        <w:t xml:space="preserve">A股映射：</w:t>
      </w:r>
      <w:r>
        <w:t xml:space="preserve"> </w:t>
      </w:r>
      <w:r>
        <w:rPr>
          <w:rFonts w:hint="eastAsia"/>
        </w:rPr>
        <w:t xml:space="preserve">数字基础设施、铁路及水利工程装备、特色农业产业化、光热储能、核聚变科研配套具备方向性利好；由于未披露新增订单或专项资金，短线强度低于央行政策和应用场景项目。</w:t>
      </w:r>
    </w:p>
    <w:bookmarkEnd w:id="16"/>
    <w:bookmarkStart w:id="17" w:name="X47c23b8d3d2e7e23d65091d18bae987d9c27a10"/>
    <w:p>
      <w:pPr>
        <w:pStyle w:val="Heading3"/>
        <w:keepNext/>
      </w:pPr>
      <w:r>
        <w:t xml:space="preserve">2. </w:t>
      </w:r>
      <w:r>
        <w:rPr>
          <w:rFonts w:hint="eastAsia"/>
        </w:rPr>
        <w:t xml:space="preserve">人民日报社论：齐心协力走好新的长征路——纪念中国工农红军长征胜利90周年</w:t>
      </w:r>
    </w:p>
    <w:p>
      <w:pPr>
        <w:pStyle w:val="Compact"/>
        <w:numPr>
          <w:ilvl w:val="0"/>
          <w:numId w:val="1003"/>
        </w:numPr>
      </w:pPr>
      <w:r>
        <w:rPr>
          <w:rFonts w:hint="eastAsia"/>
          <w:b/>
          <w:bCs/>
        </w:rPr>
        <w:t xml:space="preserve">信号强度：★★；A股影响：中性；时效：短期情绪。</w:t>
      </w:r>
    </w:p>
    <w:p>
      <w:pPr>
        <w:pStyle w:val="Compact"/>
        <w:numPr>
          <w:ilvl w:val="0"/>
          <w:numId w:val="1003"/>
        </w:numPr>
      </w:pPr>
      <w:r>
        <w:rPr>
          <w:rFonts w:hint="eastAsia"/>
          <w:b/>
          <w:bCs/>
        </w:rPr>
        <w:t xml:space="preserve">事实核验：</w:t>
      </w:r>
      <w:r>
        <w:t xml:space="preserve"> </w:t>
      </w:r>
      <w:r>
        <w:rPr>
          <w:rFonts w:hint="eastAsia"/>
        </w:rPr>
        <w:t xml:space="preserve">原文只预告10月22日《人民日报》将发表同名社论，没有提供文章正文。</w:t>
      </w:r>
    </w:p>
    <w:p>
      <w:pPr>
        <w:pStyle w:val="Compact"/>
        <w:numPr>
          <w:ilvl w:val="0"/>
          <w:numId w:val="1003"/>
        </w:numPr>
      </w:pPr>
      <w:r>
        <w:rPr>
          <w:rFonts w:hint="eastAsia"/>
          <w:b/>
          <w:bCs/>
        </w:rPr>
        <w:t xml:space="preserve">通俗解码与A股映射：</w:t>
      </w:r>
      <w:r>
        <w:t xml:space="preserve"> </w:t>
      </w:r>
      <w:r>
        <w:rPr>
          <w:rFonts w:hint="eastAsia"/>
        </w:rPr>
        <w:t xml:space="preserve">强化纪念主题和政策叙事连续性，但不能根据标题推演具体行业政策，暂不据此给出独立板块催化判断。</w:t>
      </w:r>
    </w:p>
    <w:bookmarkEnd w:id="17"/>
    <w:bookmarkStart w:id="18" w:name="X585dffff59c42492fde35bd3cdc8399c15e9001"/>
    <w:p>
      <w:pPr>
        <w:pStyle w:val="Heading3"/>
        <w:keepNext/>
      </w:pPr>
      <w:r>
        <w:t xml:space="preserve">3. </w:t>
      </w:r>
      <w:r>
        <w:rPr>
          <w:rFonts w:hint="eastAsia"/>
        </w:rPr>
        <w:t xml:space="preserve">人民日报任仲平文章：在新长征路上阔步前行——写在长征胜利90周年之际</w:t>
      </w:r>
    </w:p>
    <w:p>
      <w:pPr>
        <w:pStyle w:val="Compact"/>
        <w:numPr>
          <w:ilvl w:val="0"/>
          <w:numId w:val="1004"/>
        </w:numPr>
      </w:pPr>
      <w:r>
        <w:rPr>
          <w:rFonts w:hint="eastAsia"/>
          <w:b/>
          <w:bCs/>
        </w:rPr>
        <w:t xml:space="preserve">信号强度：★★；A股影响：中性；时效：短期情绪。</w:t>
      </w:r>
    </w:p>
    <w:p>
      <w:pPr>
        <w:pStyle w:val="Compact"/>
        <w:numPr>
          <w:ilvl w:val="0"/>
          <w:numId w:val="1004"/>
        </w:numPr>
      </w:pPr>
      <w:r>
        <w:rPr>
          <w:rFonts w:hint="eastAsia"/>
          <w:b/>
          <w:bCs/>
        </w:rPr>
        <w:t xml:space="preserve">事实核验：</w:t>
      </w:r>
      <w:r>
        <w:t xml:space="preserve"> </w:t>
      </w:r>
      <w:r>
        <w:rPr>
          <w:rFonts w:hint="eastAsia"/>
        </w:rPr>
        <w:t xml:space="preserve">原文只预告10月22日将发表任仲平文章，没有提供文章正文。</w:t>
      </w:r>
    </w:p>
    <w:p>
      <w:pPr>
        <w:pStyle w:val="Compact"/>
        <w:numPr>
          <w:ilvl w:val="0"/>
          <w:numId w:val="1004"/>
        </w:numPr>
      </w:pPr>
      <w:r>
        <w:rPr>
          <w:rFonts w:hint="eastAsia"/>
          <w:b/>
          <w:bCs/>
        </w:rPr>
        <w:t xml:space="preserve">通俗解码与A股映射：</w:t>
      </w:r>
      <w:r>
        <w:t xml:space="preserve"> </w:t>
      </w:r>
      <w:r>
        <w:rPr>
          <w:rFonts w:hint="eastAsia"/>
        </w:rPr>
        <w:t xml:space="preserve">属于主题宣传延续，不应补写未披露内容，也不构成可验证的行业增量政策。</w:t>
      </w:r>
    </w:p>
    <w:bookmarkEnd w:id="18"/>
    <w:bookmarkStart w:id="19" w:name="Xf90ec2c5926af0f3224f628a4eede139db1b690"/>
    <w:p>
      <w:pPr>
        <w:pStyle w:val="Heading3"/>
        <w:keepNext/>
      </w:pPr>
      <w:r>
        <w:t xml:space="preserve">4. </w:t>
      </w:r>
      <w:r>
        <w:rPr>
          <w:rFonts w:hint="eastAsia"/>
        </w:rPr>
        <w:t xml:space="preserve">央视快评：不忘初心</w:t>
      </w:r>
      <w:r>
        <w:t xml:space="preserve"> </w:t>
      </w:r>
      <w:r>
        <w:rPr>
          <w:rFonts w:hint="eastAsia"/>
        </w:rPr>
        <w:t xml:space="preserve">走好新的长征路</w:t>
      </w:r>
    </w:p>
    <w:p>
      <w:pPr>
        <w:pStyle w:val="Compact"/>
        <w:numPr>
          <w:ilvl w:val="0"/>
          <w:numId w:val="1005"/>
        </w:numPr>
      </w:pPr>
      <w:r>
        <w:rPr>
          <w:rFonts w:hint="eastAsia"/>
          <w:b/>
          <w:bCs/>
        </w:rPr>
        <w:t xml:space="preserve">信号强度：★★；A股影响：中性；时效：短期情绪。</w:t>
      </w:r>
    </w:p>
    <w:p>
      <w:pPr>
        <w:pStyle w:val="Compact"/>
        <w:numPr>
          <w:ilvl w:val="0"/>
          <w:numId w:val="1005"/>
        </w:numPr>
      </w:pPr>
      <w:r>
        <w:rPr>
          <w:rFonts w:hint="eastAsia"/>
          <w:b/>
          <w:bCs/>
        </w:rPr>
        <w:t xml:space="preserve">事实核验：</w:t>
      </w:r>
      <w:r>
        <w:t xml:space="preserve"> </w:t>
      </w:r>
      <w:r>
        <w:rPr>
          <w:rFonts w:hint="eastAsia"/>
        </w:rPr>
        <w:t xml:space="preserve">原文仅说明当日播发该篇央视快评，未提供快评正文。</w:t>
      </w:r>
    </w:p>
    <w:p>
      <w:pPr>
        <w:pStyle w:val="Compact"/>
        <w:numPr>
          <w:ilvl w:val="0"/>
          <w:numId w:val="1005"/>
        </w:numPr>
      </w:pPr>
      <w:r>
        <w:rPr>
          <w:rFonts w:hint="eastAsia"/>
          <w:b/>
          <w:bCs/>
        </w:rPr>
        <w:t xml:space="preserve">通俗解码与A股映射：</w:t>
      </w:r>
      <w:r>
        <w:t xml:space="preserve"> </w:t>
      </w:r>
      <w:r>
        <w:rPr>
          <w:rFonts w:hint="eastAsia"/>
        </w:rPr>
        <w:t xml:space="preserve">与头条形成主题呼应；除已在头条出现的产业案例外，不额外扩展板块或政策结论。</w:t>
      </w:r>
    </w:p>
    <w:bookmarkEnd w:id="19"/>
    <w:bookmarkStart w:id="20" w:name="Xc30fc310abf1f9d05b0c1400d9f849113a7ac53"/>
    <w:p>
      <w:pPr>
        <w:pStyle w:val="Heading3"/>
        <w:keepNext/>
      </w:pPr>
      <w:r>
        <w:t xml:space="preserve">5. </w:t>
      </w:r>
      <w:r>
        <w:rPr>
          <w:rFonts w:hint="eastAsia"/>
        </w:rPr>
        <w:t xml:space="preserve">李强赴圣彼得堡举行中俄总理第三十一次定期会晤</w:t>
      </w:r>
    </w:p>
    <w:p>
      <w:pPr>
        <w:pStyle w:val="Compact"/>
        <w:numPr>
          <w:ilvl w:val="0"/>
          <w:numId w:val="1006"/>
        </w:numPr>
      </w:pPr>
      <w:r>
        <w:rPr>
          <w:rFonts w:hint="eastAsia"/>
          <w:b/>
          <w:bCs/>
        </w:rPr>
        <w:t xml:space="preserve">信号强度：★★★；A股影响：中性偏多；时效：中期。</w:t>
      </w:r>
    </w:p>
    <w:p>
      <w:pPr>
        <w:pStyle w:val="Compact"/>
        <w:numPr>
          <w:ilvl w:val="0"/>
          <w:numId w:val="1006"/>
        </w:numPr>
      </w:pPr>
      <w:r>
        <w:rPr>
          <w:rFonts w:hint="eastAsia"/>
          <w:b/>
          <w:bCs/>
        </w:rPr>
        <w:t xml:space="preserve">事实核验：</w:t>
      </w:r>
      <w:r>
        <w:t xml:space="preserve"> </w:t>
      </w:r>
      <w:r>
        <w:rPr>
          <w:rFonts w:hint="eastAsia"/>
        </w:rPr>
        <w:t xml:space="preserve">李强于当地时间10月20日晚抵达圣彼得堡，将举行中俄总理第三十一次定期会晤；原文强调中俄关系“更加成熟坚韧”，并表示愿推动全面战略协作伙伴关系取得新成果。</w:t>
      </w:r>
    </w:p>
    <w:p>
      <w:pPr>
        <w:pStyle w:val="Compact"/>
        <w:numPr>
          <w:ilvl w:val="0"/>
          <w:numId w:val="1006"/>
        </w:numPr>
      </w:pPr>
      <w:r>
        <w:rPr>
          <w:rFonts w:hint="eastAsia"/>
          <w:b/>
          <w:bCs/>
        </w:rPr>
        <w:t xml:space="preserve">通俗解码与A股映射：</w:t>
      </w:r>
      <w:r>
        <w:t xml:space="preserve"> </w:t>
      </w:r>
      <w:r>
        <w:rPr>
          <w:rFonts w:hint="eastAsia"/>
        </w:rPr>
        <w:t xml:space="preserve">这是会晤前的到访与定调，实际产业含义要以后续会晤成果为准。对中俄经贸预期偏正面，但本条本身未列具体项目。</w:t>
      </w:r>
    </w:p>
    <w:bookmarkEnd w:id="20"/>
    <w:bookmarkStart w:id="21" w:name="Xbe9fe23bff3a745ead3c5e9d59487e888adac66"/>
    <w:p>
      <w:pPr>
        <w:pStyle w:val="Heading3"/>
        <w:keepNext/>
      </w:pPr>
      <w:r>
        <w:t xml:space="preserve">6. </w:t>
      </w:r>
      <w:r>
        <w:rPr>
          <w:rFonts w:hint="eastAsia"/>
        </w:rPr>
        <w:t xml:space="preserve">李强同俄罗斯总理共同主持中俄总理第三十一次定期会晤</w:t>
      </w:r>
    </w:p>
    <w:p>
      <w:pPr>
        <w:pStyle w:val="Compact"/>
        <w:numPr>
          <w:ilvl w:val="0"/>
          <w:numId w:val="1007"/>
        </w:numPr>
      </w:pPr>
      <w:r>
        <w:rPr>
          <w:rFonts w:hint="eastAsia"/>
          <w:b/>
          <w:bCs/>
        </w:rPr>
        <w:t xml:space="preserve">信号强度：★★★★；A股影响：结构性利好；时效：中期。</w:t>
      </w:r>
    </w:p>
    <w:p>
      <w:pPr>
        <w:pStyle w:val="Compact"/>
        <w:numPr>
          <w:ilvl w:val="0"/>
          <w:numId w:val="1007"/>
        </w:numPr>
      </w:pPr>
      <w:r>
        <w:rPr>
          <w:rFonts w:hint="eastAsia"/>
          <w:b/>
          <w:bCs/>
        </w:rPr>
        <w:t xml:space="preserve">事实核验：</w:t>
      </w:r>
      <w:r>
        <w:t xml:space="preserve"> </w:t>
      </w:r>
      <w:r>
        <w:rPr>
          <w:rFonts w:hint="eastAsia"/>
        </w:rPr>
        <w:t xml:space="preserve">双方提出推进经贸投资、能源资源、互联互通等重点领域合作，培育人工智能等前沿领域新动能；会后签署联合公报，并达成经贸、航天、科技、教育等领域合作文件。</w:t>
      </w:r>
    </w:p>
    <w:p>
      <w:pPr>
        <w:pStyle w:val="Compact"/>
        <w:numPr>
          <w:ilvl w:val="0"/>
          <w:numId w:val="1007"/>
        </w:numPr>
      </w:pPr>
      <w:r>
        <w:rPr>
          <w:rFonts w:hint="eastAsia"/>
          <w:b/>
          <w:bCs/>
        </w:rPr>
        <w:t xml:space="preserve">通俗解码：</w:t>
      </w:r>
      <w:r>
        <w:t xml:space="preserve"> </w:t>
      </w:r>
      <w:r>
        <w:rPr>
          <w:rFonts w:hint="eastAsia"/>
        </w:rPr>
        <w:t xml:space="preserve">相比一般外交表态，本条有联合公报和多领域合作文件，属于“有成果载体”的务实合作信号；但原文未披露项目金额、企业主体和执行时间表。</w:t>
      </w:r>
    </w:p>
    <w:p>
      <w:pPr>
        <w:pStyle w:val="Compact"/>
        <w:numPr>
          <w:ilvl w:val="0"/>
          <w:numId w:val="1007"/>
        </w:numPr>
      </w:pPr>
      <w:r>
        <w:rPr>
          <w:rFonts w:hint="eastAsia"/>
          <w:b/>
          <w:bCs/>
        </w:rPr>
        <w:t xml:space="preserve">A股映射：</w:t>
      </w:r>
      <w:r>
        <w:t xml:space="preserve"> </w:t>
      </w:r>
      <w:r>
        <w:rPr>
          <w:rFonts w:hint="eastAsia"/>
        </w:rPr>
        <w:t xml:space="preserve">对俄贸易与物流、能源资源合作、跨境基础设施服务、航天科技和AI合作方向偏正面。需防止把领域性文件直接等同于上市公司确定订单。</w:t>
      </w:r>
    </w:p>
    <w:bookmarkEnd w:id="21"/>
    <w:bookmarkStart w:id="22" w:name="Xe093919a3b50aa5cae725ff03778ad3b7fc5c39"/>
    <w:p>
      <w:pPr>
        <w:pStyle w:val="Heading3"/>
        <w:keepNext/>
      </w:pPr>
      <w:r>
        <w:t xml:space="preserve">7. </w:t>
      </w:r>
      <w:r>
        <w:rPr>
          <w:rFonts w:hint="eastAsia"/>
        </w:rPr>
        <w:t xml:space="preserve">丁薛祥会见2026年国际科学理事会中期会员大会暨北京科学对话部分外宾</w:t>
      </w:r>
    </w:p>
    <w:p>
      <w:pPr>
        <w:pStyle w:val="Compact"/>
        <w:numPr>
          <w:ilvl w:val="0"/>
          <w:numId w:val="1008"/>
        </w:numPr>
      </w:pPr>
      <w:r>
        <w:rPr>
          <w:rFonts w:hint="eastAsia"/>
          <w:b/>
          <w:bCs/>
        </w:rPr>
        <w:t xml:space="preserve">信号强度：★★★；A股影响：中性偏多；时效：中长期。</w:t>
      </w:r>
    </w:p>
    <w:p>
      <w:pPr>
        <w:pStyle w:val="Compact"/>
        <w:numPr>
          <w:ilvl w:val="0"/>
          <w:numId w:val="1008"/>
        </w:numPr>
      </w:pPr>
      <w:r>
        <w:rPr>
          <w:rFonts w:hint="eastAsia"/>
          <w:b/>
          <w:bCs/>
        </w:rPr>
        <w:t xml:space="preserve">事实核验：</w:t>
      </w:r>
      <w:r>
        <w:t xml:space="preserve"> </w:t>
      </w:r>
      <w:r>
        <w:rPr>
          <w:rFonts w:hint="eastAsia"/>
        </w:rPr>
        <w:t xml:space="preserve">原文强调开放包容的国际学术交流、协同攻关前沿科技难题和科技成果普惠共享。</w:t>
      </w:r>
    </w:p>
    <w:p>
      <w:pPr>
        <w:pStyle w:val="Compact"/>
        <w:numPr>
          <w:ilvl w:val="0"/>
          <w:numId w:val="1008"/>
        </w:numPr>
      </w:pPr>
      <w:r>
        <w:rPr>
          <w:rFonts w:hint="eastAsia"/>
          <w:b/>
          <w:bCs/>
        </w:rPr>
        <w:t xml:space="preserve">通俗解码与A股映射：</w:t>
      </w:r>
      <w:r>
        <w:t xml:space="preserve"> </w:t>
      </w:r>
      <w:r>
        <w:rPr>
          <w:rFonts w:hint="eastAsia"/>
        </w:rPr>
        <w:t xml:space="preserve">科技创新仍强调开放合作，不是封闭式研发。对科研服务、国际合作型研发平台和高端科研仪器形成方向性支撑，但没有具体产业扶持金额或项目清单，短线催化有限。</w:t>
      </w:r>
    </w:p>
    <w:bookmarkEnd w:id="22"/>
    <w:bookmarkStart w:id="23" w:name="X515222f8215af86209354150d2a67d1f2f0b771"/>
    <w:p>
      <w:pPr>
        <w:pStyle w:val="Heading3"/>
        <w:keepNext/>
      </w:pPr>
      <w:r>
        <w:t xml:space="preserve">8. </w:t>
      </w:r>
      <w:r>
        <w:rPr>
          <w:rFonts w:hint="eastAsia"/>
        </w:rPr>
        <w:t xml:space="preserve">【“十五五”开好局起好步】我国加快构建大安全大应急格局</w:t>
      </w:r>
    </w:p>
    <w:p>
      <w:pPr>
        <w:pStyle w:val="Compact"/>
        <w:numPr>
          <w:ilvl w:val="0"/>
          <w:numId w:val="1009"/>
        </w:numPr>
      </w:pPr>
      <w:r>
        <w:rPr>
          <w:rFonts w:hint="eastAsia"/>
          <w:b/>
          <w:bCs/>
        </w:rPr>
        <w:t xml:space="preserve">信号强度：★★★★；A股影响：利好；时效：中长期。</w:t>
      </w:r>
    </w:p>
    <w:p>
      <w:pPr>
        <w:pStyle w:val="Compact"/>
        <w:numPr>
          <w:ilvl w:val="0"/>
          <w:numId w:val="1009"/>
        </w:numPr>
      </w:pPr>
      <w:r>
        <w:rPr>
          <w:rFonts w:hint="eastAsia"/>
          <w:b/>
          <w:bCs/>
        </w:rPr>
        <w:t xml:space="preserve">事实核验：</w:t>
      </w:r>
      <w:r>
        <w:t xml:space="preserve"> </w:t>
      </w:r>
      <w:r>
        <w:rPr>
          <w:rFonts w:hint="eastAsia"/>
        </w:rPr>
        <w:t xml:space="preserve">政策内容覆盖事前预防、应急力量布局、大灾巨灾处置、基层防灾、消防四项能力、高原高寒装备、矿山灾害防治、地震监测预警、基础设施抗震和隐患排查治理条例。</w:t>
      </w:r>
    </w:p>
    <w:p>
      <w:pPr>
        <w:pStyle w:val="Compact"/>
        <w:numPr>
          <w:ilvl w:val="0"/>
          <w:numId w:val="1009"/>
        </w:numPr>
      </w:pPr>
      <w:r>
        <w:rPr>
          <w:rFonts w:hint="eastAsia"/>
          <w:b/>
          <w:bCs/>
        </w:rPr>
        <w:t xml:space="preserve">通俗解码与A股映射：</w:t>
      </w:r>
      <w:r>
        <w:t xml:space="preserve"> </w:t>
      </w:r>
      <w:r>
        <w:rPr>
          <w:rFonts w:hint="eastAsia"/>
        </w:rPr>
        <w:t xml:space="preserve">这是跨部门、跨灾种的系统建设信号。应急装备、监测预警、消防、矿山安全和抗震加固受益逻辑清晰，但投资兑现依赖后续预算与采购。</w:t>
      </w:r>
    </w:p>
    <w:bookmarkEnd w:id="23"/>
    <w:bookmarkStart w:id="24" w:name="X5625e2616172358df9a9bfde913200b4335c4cc"/>
    <w:p>
      <w:pPr>
        <w:pStyle w:val="Heading3"/>
        <w:keepNext/>
      </w:pPr>
      <w:r>
        <w:t xml:space="preserve">9. </w:t>
      </w:r>
      <w:r>
        <w:rPr>
          <w:rFonts w:hint="eastAsia"/>
        </w:rPr>
        <w:t xml:space="preserve">前三季度我国消费市场继续扩容</w:t>
      </w:r>
    </w:p>
    <w:p>
      <w:pPr>
        <w:pStyle w:val="Compact"/>
        <w:numPr>
          <w:ilvl w:val="0"/>
          <w:numId w:val="1010"/>
        </w:numPr>
      </w:pPr>
      <w:r>
        <w:rPr>
          <w:rFonts w:hint="eastAsia"/>
          <w:b/>
          <w:bCs/>
        </w:rPr>
        <w:t xml:space="preserve">信号强度：★★★；A股影响：结构性利好；时效：短中期。</w:t>
      </w:r>
    </w:p>
    <w:p>
      <w:pPr>
        <w:pStyle w:val="Compact"/>
        <w:numPr>
          <w:ilvl w:val="0"/>
          <w:numId w:val="1010"/>
        </w:numPr>
      </w:pPr>
      <w:r>
        <w:rPr>
          <w:rFonts w:hint="eastAsia"/>
          <w:b/>
          <w:bCs/>
        </w:rPr>
        <w:t xml:space="preserve">事实核验：</w:t>
      </w:r>
      <w:r>
        <w:t xml:space="preserve"> </w:t>
      </w:r>
      <w:r>
        <w:rPr>
          <w:rFonts w:hint="eastAsia"/>
        </w:rPr>
        <w:t xml:space="preserve">前三季度社会消费商品和服务零售总额同比增长2.6%；服务零售额增长5.0%，比商品零售额快4个百分点；旅游咨询租赁服务类和文体休闲服务类分别增长10.7%和9.7%；限额以上单位通讯器材类商品零售额增长18.1%，高能效等级家电零售额增长超过20%；乡村消费品零售额增速快于城镇1.4个百分点；全国网上商品和服务零售额151471亿元，同比增长4.4%，网上服务零售额增长5.3%。</w:t>
      </w:r>
    </w:p>
    <w:p>
      <w:pPr>
        <w:pStyle w:val="Compact"/>
        <w:numPr>
          <w:ilvl w:val="0"/>
          <w:numId w:val="1010"/>
        </w:numPr>
      </w:pPr>
      <w:r>
        <w:rPr>
          <w:rFonts w:hint="eastAsia"/>
          <w:b/>
          <w:bCs/>
        </w:rPr>
        <w:t xml:space="preserve">通俗解码：</w:t>
      </w:r>
      <w:r>
        <w:t xml:space="preserve"> </w:t>
      </w:r>
      <w:r>
        <w:rPr>
          <w:rFonts w:hint="eastAsia"/>
        </w:rPr>
        <w:t xml:space="preserve">消费总量温和增长，结构亮点明显集中在服务消费、通讯器材、高能效家电、县域和线上渠道。</w:t>
      </w:r>
    </w:p>
    <w:p>
      <w:pPr>
        <w:pStyle w:val="Compact"/>
        <w:numPr>
          <w:ilvl w:val="0"/>
          <w:numId w:val="1010"/>
        </w:numPr>
      </w:pPr>
      <w:r>
        <w:rPr>
          <w:rFonts w:hint="eastAsia"/>
          <w:b/>
          <w:bCs/>
        </w:rPr>
        <w:t xml:space="preserve">A股映射：</w:t>
      </w:r>
      <w:r>
        <w:t xml:space="preserve"> </w:t>
      </w:r>
      <w:r>
        <w:rPr>
          <w:rFonts w:hint="eastAsia"/>
        </w:rPr>
        <w:t xml:space="preserve">文旅休闲、消费电子渠道、高能效家电、县域商贸物流、电商服务偏正面。总量增速与结构高增并存，选方向时应区分行业景气和单家公司盈利兑现。</w:t>
      </w:r>
    </w:p>
    <w:bookmarkEnd w:id="24"/>
    <w:bookmarkStart w:id="25" w:name="X38fa4ef0857a7f0f6a1796602fde2e041af5e9e"/>
    <w:p>
      <w:pPr>
        <w:pStyle w:val="Heading3"/>
        <w:keepNext/>
      </w:pPr>
      <w:r>
        <w:t xml:space="preserve">10. </w:t>
      </w:r>
      <w:r>
        <w:rPr>
          <w:rFonts w:hint="eastAsia"/>
        </w:rPr>
        <w:t xml:space="preserve">新动能加速成长</w:t>
      </w:r>
      <w:r>
        <w:t xml:space="preserve"> </w:t>
      </w:r>
      <w:r>
        <w:rPr>
          <w:rFonts w:hint="eastAsia"/>
        </w:rPr>
        <w:t xml:space="preserve">带动作用不断增强</w:t>
      </w:r>
    </w:p>
    <w:p>
      <w:pPr>
        <w:pStyle w:val="Compact"/>
        <w:numPr>
          <w:ilvl w:val="0"/>
          <w:numId w:val="1011"/>
        </w:numPr>
      </w:pPr>
      <w:r>
        <w:rPr>
          <w:rFonts w:hint="eastAsia"/>
          <w:b/>
          <w:bCs/>
        </w:rPr>
        <w:t xml:space="preserve">信号强度：★★★★；A股影响：利好；时效：中期。</w:t>
      </w:r>
    </w:p>
    <w:p>
      <w:pPr>
        <w:pStyle w:val="Compact"/>
        <w:numPr>
          <w:ilvl w:val="0"/>
          <w:numId w:val="1011"/>
        </w:numPr>
      </w:pPr>
      <w:r>
        <w:rPr>
          <w:rFonts w:hint="eastAsia"/>
          <w:b/>
          <w:bCs/>
        </w:rPr>
        <w:t xml:space="preserve">事实核验：</w:t>
      </w:r>
      <w:r>
        <w:t xml:space="preserve"> </w:t>
      </w:r>
      <w:r>
        <w:rPr>
          <w:rFonts w:hint="eastAsia"/>
        </w:rPr>
        <w:t xml:space="preserve">半导体、AI开源模型、人形机器人、创新药授权、新能源汽车、高技术制造、装备制造和数据产业均被列为新动能，具体数据已在第二部分核验。</w:t>
      </w:r>
    </w:p>
    <w:p>
      <w:pPr>
        <w:pStyle w:val="Compact"/>
        <w:numPr>
          <w:ilvl w:val="0"/>
          <w:numId w:val="1011"/>
        </w:numPr>
      </w:pPr>
      <w:r>
        <w:rPr>
          <w:rFonts w:hint="eastAsia"/>
          <w:b/>
          <w:bCs/>
        </w:rPr>
        <w:t xml:space="preserve">通俗解码与A股映射：</w:t>
      </w:r>
      <w:r>
        <w:t xml:space="preserve"> </w:t>
      </w:r>
      <w:r>
        <w:rPr>
          <w:rFonts w:hint="eastAsia"/>
        </w:rPr>
        <w:t xml:space="preserve">这是当天最集中的科技产业景气叙事，利于强化成长风格，但不同产业处于不同商业化阶段，不宜把下载量、出货占比、技术授权金额和产业规模混为同一种盈利指标。</w:t>
      </w:r>
    </w:p>
    <w:bookmarkEnd w:id="25"/>
    <w:bookmarkStart w:id="26" w:name="Xfd94fa64d27e75717a445e347bd6da6474e7736"/>
    <w:p>
      <w:pPr>
        <w:pStyle w:val="Heading3"/>
        <w:keepNext/>
      </w:pPr>
      <w:r>
        <w:t xml:space="preserve">11. </w:t>
      </w:r>
      <w:r>
        <w:rPr>
          <w:rFonts w:hint="eastAsia"/>
        </w:rPr>
        <w:t xml:space="preserve">中国人民银行推出多项金融政策</w:t>
      </w:r>
    </w:p>
    <w:p>
      <w:pPr>
        <w:pStyle w:val="Compact"/>
        <w:numPr>
          <w:ilvl w:val="0"/>
          <w:numId w:val="1012"/>
        </w:numPr>
      </w:pPr>
      <w:r>
        <w:rPr>
          <w:rFonts w:hint="eastAsia"/>
          <w:b/>
          <w:bCs/>
        </w:rPr>
        <w:t xml:space="preserve">信号强度：★★★★；A股影响：利好；时效：短中期。</w:t>
      </w:r>
    </w:p>
    <w:p>
      <w:pPr>
        <w:pStyle w:val="Compact"/>
        <w:numPr>
          <w:ilvl w:val="0"/>
          <w:numId w:val="1012"/>
        </w:numPr>
      </w:pPr>
      <w:r>
        <w:rPr>
          <w:rFonts w:hint="eastAsia"/>
          <w:b/>
          <w:bCs/>
        </w:rPr>
        <w:t xml:space="preserve">事实核验：</w:t>
      </w:r>
      <w:r>
        <w:t xml:space="preserve"> </w:t>
      </w:r>
      <w:r>
        <w:rPr>
          <w:rFonts w:hint="eastAsia"/>
        </w:rPr>
        <w:t xml:space="preserve">政策同时覆盖创投中心、科技再贷款支持范围、创新积分互认、非银大额赎回流动性工具、常备借贷便利适用机构和两类债券市场互联互通。</w:t>
      </w:r>
    </w:p>
    <w:p>
      <w:pPr>
        <w:pStyle w:val="Compact"/>
        <w:numPr>
          <w:ilvl w:val="0"/>
          <w:numId w:val="1012"/>
        </w:numPr>
      </w:pPr>
      <w:r>
        <w:rPr>
          <w:rFonts w:hint="eastAsia"/>
          <w:b/>
          <w:bCs/>
        </w:rPr>
        <w:t xml:space="preserve">通俗解码与A股映射：</w:t>
      </w:r>
      <w:r>
        <w:t xml:space="preserve"> </w:t>
      </w:r>
      <w:r>
        <w:rPr>
          <w:rFonts w:hint="eastAsia"/>
        </w:rPr>
        <w:t xml:space="preserve">一方面提升科技融资可得性，另一方面补金融市场流动性和互联机制。科技金融、创投、券商、债券市场基础设施及符合条件的研发型民企偏正面；仍需等待细则确认覆盖范围。</w:t>
      </w:r>
    </w:p>
    <w:bookmarkEnd w:id="26"/>
    <w:bookmarkStart w:id="27" w:name="X94b2ca5c47f21d0b2cd19ae1c643cc7a52cf103"/>
    <w:p>
      <w:pPr>
        <w:pStyle w:val="Heading3"/>
        <w:keepNext/>
      </w:pPr>
      <w:r>
        <w:t xml:space="preserve">12. </w:t>
      </w:r>
      <w:r>
        <w:rPr>
          <w:rFonts w:hint="eastAsia"/>
        </w:rPr>
        <w:t xml:space="preserve">我国应对气候变化工作取得显著成效</w:t>
      </w:r>
    </w:p>
    <w:p>
      <w:pPr>
        <w:pStyle w:val="Compact"/>
        <w:numPr>
          <w:ilvl w:val="0"/>
          <w:numId w:val="1013"/>
        </w:numPr>
      </w:pPr>
      <w:r>
        <w:rPr>
          <w:rFonts w:hint="eastAsia"/>
          <w:b/>
          <w:bCs/>
        </w:rPr>
        <w:t xml:space="preserve">信号强度：★★★★；A股影响：结构性利好；时效：中长期。</w:t>
      </w:r>
    </w:p>
    <w:p>
      <w:pPr>
        <w:pStyle w:val="Compact"/>
        <w:numPr>
          <w:ilvl w:val="0"/>
          <w:numId w:val="1013"/>
        </w:numPr>
      </w:pPr>
      <w:r>
        <w:rPr>
          <w:rFonts w:hint="eastAsia"/>
          <w:b/>
          <w:bCs/>
        </w:rPr>
        <w:t xml:space="preserve">事实核验：</w:t>
      </w:r>
      <w:r>
        <w:t xml:space="preserve"> </w:t>
      </w:r>
      <w:r>
        <w:rPr>
          <w:rFonts w:hint="eastAsia"/>
        </w:rPr>
        <w:t xml:space="preserve">已发布113项碳排放管理国家标准，年内还将新增50余项，覆盖碳核算、碳交易、碳足迹；全国碳市场最近配额累计成交量突破10亿吨；“十五五”时期将加快绿色低碳发展并推进2030年国家自主贡献目标。</w:t>
      </w:r>
    </w:p>
    <w:p>
      <w:pPr>
        <w:pStyle w:val="Compact"/>
        <w:numPr>
          <w:ilvl w:val="0"/>
          <w:numId w:val="1013"/>
        </w:numPr>
      </w:pPr>
      <w:r>
        <w:rPr>
          <w:rFonts w:hint="eastAsia"/>
          <w:b/>
          <w:bCs/>
        </w:rPr>
        <w:t xml:space="preserve">通俗解码与A股映射：</w:t>
      </w:r>
      <w:r>
        <w:t xml:space="preserve"> </w:t>
      </w:r>
      <w:r>
        <w:rPr>
          <w:rFonts w:hint="eastAsia"/>
        </w:rPr>
        <w:t xml:space="preserve">标准体系扩充意味着企业碳数据、核算与履约要求趋于制度化。碳监测、碳核算软件、节能改造和碳交易服务具备中期机会，同时高排放行业可能面临新增合规与改造成本。</w:t>
      </w:r>
    </w:p>
    <w:bookmarkEnd w:id="27"/>
    <w:bookmarkStart w:id="28" w:name="X68137f2215490c5cf42d2e09ff11db58e95e607"/>
    <w:p>
      <w:pPr>
        <w:pStyle w:val="Heading3"/>
        <w:keepNext/>
      </w:pPr>
      <w:r>
        <w:t xml:space="preserve">13. </w:t>
      </w:r>
      <w:r>
        <w:rPr>
          <w:rFonts w:hint="eastAsia"/>
        </w:rPr>
        <w:t xml:space="preserve">国务院新闻办举行“新征程上的奋斗者”中外记者见面会</w:t>
      </w:r>
    </w:p>
    <w:p>
      <w:pPr>
        <w:pStyle w:val="Compact"/>
        <w:numPr>
          <w:ilvl w:val="0"/>
          <w:numId w:val="1014"/>
        </w:numPr>
      </w:pPr>
      <w:r>
        <w:rPr>
          <w:rFonts w:hint="eastAsia"/>
          <w:b/>
          <w:bCs/>
        </w:rPr>
        <w:t xml:space="preserve">信号强度：★★；A股影响：中性；时效：长期。</w:t>
      </w:r>
    </w:p>
    <w:p>
      <w:pPr>
        <w:pStyle w:val="Compact"/>
        <w:numPr>
          <w:ilvl w:val="0"/>
          <w:numId w:val="1014"/>
        </w:numPr>
      </w:pPr>
      <w:r>
        <w:rPr>
          <w:rFonts w:hint="eastAsia"/>
          <w:b/>
          <w:bCs/>
        </w:rPr>
        <w:t xml:space="preserve">事实核验：</w:t>
      </w:r>
      <w:r>
        <w:t xml:space="preserve"> </w:t>
      </w:r>
      <w:r>
        <w:rPr>
          <w:rFonts w:hint="eastAsia"/>
        </w:rPr>
        <w:t xml:space="preserve">5位司法行政领域代表围绕行政执法监督、禁毒宣传和公共法律服务等基层实践发言。</w:t>
      </w:r>
    </w:p>
    <w:p>
      <w:pPr>
        <w:pStyle w:val="Compact"/>
        <w:numPr>
          <w:ilvl w:val="0"/>
          <w:numId w:val="1014"/>
        </w:numPr>
      </w:pPr>
      <w:r>
        <w:rPr>
          <w:rFonts w:hint="eastAsia"/>
          <w:b/>
          <w:bCs/>
        </w:rPr>
        <w:t xml:space="preserve">通俗解码与A股映射：</w:t>
      </w:r>
      <w:r>
        <w:t xml:space="preserve"> </w:t>
      </w:r>
      <w:r>
        <w:rPr>
          <w:rFonts w:hint="eastAsia"/>
        </w:rPr>
        <w:t xml:space="preserve">主要是法治与公共服务主题展示，没有披露新的行业政策、采购计划或资本市场措施，对A股直接影响较弱。</w:t>
      </w:r>
    </w:p>
    <w:bookmarkEnd w:id="28"/>
    <w:bookmarkStart w:id="36" w:name="X3db5d1412d4d2da3d85c701b6a3c80eebe686d5"/>
    <w:p>
      <w:pPr>
        <w:pStyle w:val="Heading3"/>
        <w:keepNext/>
      </w:pPr>
      <w:r>
        <w:t xml:space="preserve">14. </w:t>
      </w:r>
      <w:r>
        <w:rPr>
          <w:rFonts w:hint="eastAsia"/>
        </w:rPr>
        <w:t xml:space="preserve">国内联播快讯（7个子项全部覆盖）</w:t>
      </w:r>
    </w:p>
    <w:bookmarkStart w:id="29" w:name="Xd787b3bc1ddacde58d9b8e6f11091253101ae84"/>
    <w:p>
      <w:pPr>
        <w:pStyle w:val="Heading4"/>
        <w:keepNext/>
      </w:pPr>
      <w:r>
        <w:t xml:space="preserve">14.1 </w:t>
      </w:r>
      <w:r>
        <w:rPr>
          <w:rFonts w:hint="eastAsia"/>
        </w:rPr>
        <w:t xml:space="preserve">城乡历史文化保护“十五五”规划印发</w:t>
      </w:r>
    </w:p>
    <w:p>
      <w:pPr>
        <w:pStyle w:val="Compact"/>
        <w:numPr>
          <w:ilvl w:val="0"/>
          <w:numId w:val="1015"/>
        </w:numPr>
      </w:pPr>
      <w:r>
        <w:rPr>
          <w:rFonts w:hint="eastAsia"/>
          <w:b/>
          <w:bCs/>
        </w:rPr>
        <w:t xml:space="preserve">信号强度：★★★；A股影响：中性偏多。</w:t>
      </w:r>
      <w:r>
        <w:t xml:space="preserve"> </w:t>
      </w:r>
      <w:r>
        <w:rPr>
          <w:rFonts w:hint="eastAsia"/>
        </w:rPr>
        <w:t xml:space="preserve">到2030年，历史文化名城、街区、村镇和历史建筑保护传承力度将加大。城市更新、古建保护、规划设计和文旅运营可能受益，但原文未给出资金规模和项目清单。</w:t>
      </w:r>
    </w:p>
    <w:bookmarkEnd w:id="29"/>
    <w:bookmarkStart w:id="30" w:name="X83fd2d650c2a0b58044b812c17d1742a7f728eb"/>
    <w:p>
      <w:pPr>
        <w:pStyle w:val="Heading4"/>
        <w:keepNext/>
      </w:pPr>
      <w:r>
        <w:t xml:space="preserve">14.2 </w:t>
      </w:r>
      <w:r>
        <w:rPr>
          <w:rFonts w:hint="eastAsia"/>
        </w:rPr>
        <w:t xml:space="preserve">2026年亚太经合组织财长会达成多项重要成果</w:t>
      </w:r>
    </w:p>
    <w:p>
      <w:pPr>
        <w:pStyle w:val="Compact"/>
        <w:numPr>
          <w:ilvl w:val="0"/>
          <w:numId w:val="1016"/>
        </w:numPr>
      </w:pPr>
      <w:r>
        <w:rPr>
          <w:rFonts w:hint="eastAsia"/>
          <w:b/>
          <w:bCs/>
        </w:rPr>
        <w:t xml:space="preserve">信号强度：★★★；A股影响：中性偏多。</w:t>
      </w:r>
      <w:r>
        <w:t xml:space="preserve"> </w:t>
      </w:r>
      <w:r>
        <w:rPr>
          <w:rFonts w:hint="eastAsia"/>
        </w:rPr>
        <w:t xml:space="preserve">会议通过APEC财长联合声明和亚太地区数字基础设施融资政策声明，并形成普惠金融案例集。数字基础设施融资和跨境金融合作预期偏正面，但缺少直接落到A股公司的项目细节。</w:t>
      </w:r>
    </w:p>
    <w:bookmarkEnd w:id="30"/>
    <w:bookmarkStart w:id="31" w:name="X301b1751ac2946cba668747e433ffc7e1d52318"/>
    <w:p>
      <w:pPr>
        <w:pStyle w:val="Heading4"/>
        <w:keepNext/>
      </w:pPr>
      <w:r>
        <w:t xml:space="preserve">14.3 </w:t>
      </w:r>
      <w:r>
        <w:rPr>
          <w:rFonts w:hint="eastAsia"/>
        </w:rPr>
        <w:t xml:space="preserve">国家发展改革委等部门发布首批标志性重大应用场景项目</w:t>
      </w:r>
    </w:p>
    <w:p>
      <w:pPr>
        <w:pStyle w:val="Compact"/>
        <w:numPr>
          <w:ilvl w:val="0"/>
          <w:numId w:val="1017"/>
        </w:numPr>
      </w:pPr>
      <w:r>
        <w:rPr>
          <w:rFonts w:hint="eastAsia"/>
          <w:b/>
          <w:bCs/>
        </w:rPr>
        <w:t xml:space="preserve">信号强度：★★★★；A股影响：利好。</w:t>
      </w:r>
      <w:r>
        <w:t xml:space="preserve"> </w:t>
      </w:r>
      <w:r>
        <w:rPr>
          <w:rFonts w:hint="eastAsia"/>
        </w:rPr>
        <w:t xml:space="preserve">首批136项项目提供真实场景验证机会，利于技术从研发走向商业化。关注后续项目清单、参与主体、采购金额和复制推广，未披露部分不得自行补全。</w:t>
      </w:r>
    </w:p>
    <w:bookmarkEnd w:id="31"/>
    <w:bookmarkStart w:id="32" w:name="X002e22b7d9370b6cd4c83ff2274870d21c1fba7"/>
    <w:p>
      <w:pPr>
        <w:pStyle w:val="Heading4"/>
        <w:keepNext/>
      </w:pPr>
      <w:r>
        <w:t xml:space="preserve">14.4 </w:t>
      </w:r>
      <w:r>
        <w:rPr>
          <w:rFonts w:hint="eastAsia"/>
        </w:rPr>
        <w:t xml:space="preserve">《人民法院司法责任追究条例》发布</w:t>
      </w:r>
    </w:p>
    <w:p>
      <w:pPr>
        <w:pStyle w:val="Compact"/>
        <w:numPr>
          <w:ilvl w:val="0"/>
          <w:numId w:val="1018"/>
        </w:numPr>
      </w:pPr>
      <w:r>
        <w:rPr>
          <w:rFonts w:hint="eastAsia"/>
          <w:b/>
          <w:bCs/>
        </w:rPr>
        <w:t xml:space="preserve">信号强度：★★★；A股影响：中性。</w:t>
      </w:r>
      <w:r>
        <w:t xml:space="preserve"> </w:t>
      </w:r>
      <w:r>
        <w:rPr>
          <w:rFonts w:hint="eastAsia"/>
        </w:rPr>
        <w:t xml:space="preserve">条例覆盖司法人员和司法审判流程，强化责任约束。对资本市场主要是法治环境的长期影响，原文没有直接对应的产业投资安排。</w:t>
      </w:r>
    </w:p>
    <w:bookmarkEnd w:id="32"/>
    <w:bookmarkStart w:id="33" w:name="X49deeb87d9273191684b0cc86ef92686d3d8f12"/>
    <w:p>
      <w:pPr>
        <w:pStyle w:val="Heading4"/>
        <w:keepNext/>
      </w:pPr>
      <w:r>
        <w:t xml:space="preserve">14.5 </w:t>
      </w:r>
      <w:r>
        <w:rPr>
          <w:rFonts w:hint="eastAsia"/>
        </w:rPr>
        <w:t xml:space="preserve">京津冀氢能综合应用试点城市群正式启动</w:t>
      </w:r>
    </w:p>
    <w:p>
      <w:pPr>
        <w:pStyle w:val="Compact"/>
        <w:numPr>
          <w:ilvl w:val="0"/>
          <w:numId w:val="1019"/>
        </w:numPr>
      </w:pPr>
      <w:r>
        <w:rPr>
          <w:rFonts w:hint="eastAsia"/>
          <w:b/>
          <w:bCs/>
        </w:rPr>
        <w:t xml:space="preserve">信号强度：★★★★；A股影响：利好。</w:t>
      </w:r>
      <w:r>
        <w:t xml:space="preserve"> </w:t>
      </w:r>
      <w:r>
        <w:rPr>
          <w:rFonts w:hint="eastAsia"/>
        </w:rPr>
        <w:t xml:space="preserve">将推广不少于1.2万辆氢燃料电池汽车、加氢站超过100座，并向钢铁、化工、热电联供和数据中心延伸。燃料电池、储运加注、工业用氢和系统集成方向受益逻辑清晰；成本、利用率和持续补贴仍是核心风险。</w:t>
      </w:r>
    </w:p>
    <w:bookmarkEnd w:id="33"/>
    <w:bookmarkStart w:id="34" w:name="Xb005f15424e1ef18af61981d403600899133f3e"/>
    <w:p>
      <w:pPr>
        <w:pStyle w:val="Heading4"/>
        <w:keepNext/>
      </w:pPr>
      <w:r>
        <w:t xml:space="preserve">14.6 </w:t>
      </w:r>
      <w:r>
        <w:rPr>
          <w:rFonts w:hint="eastAsia"/>
        </w:rPr>
        <w:t xml:space="preserve">第32届中国义乌国际小商品博览会开幕</w:t>
      </w:r>
    </w:p>
    <w:p>
      <w:pPr>
        <w:pStyle w:val="Compact"/>
        <w:numPr>
          <w:ilvl w:val="0"/>
          <w:numId w:val="1020"/>
        </w:numPr>
      </w:pPr>
      <w:r>
        <w:rPr>
          <w:rFonts w:hint="eastAsia"/>
          <w:b/>
          <w:bCs/>
        </w:rPr>
        <w:t xml:space="preserve">信号强度：★★；A股影响：中性偏多。</w:t>
      </w:r>
      <w:r>
        <w:t xml:space="preserve"> </w:t>
      </w:r>
      <w:r>
        <w:rPr>
          <w:rFonts w:hint="eastAsia"/>
        </w:rPr>
        <w:t xml:space="preserve">展会设八大行业展区，2770家企业参展并持续至10月24日。对小商品外贸、会展和跨境渠道情绪偏正面，但属于展会信息，不代表新增订单已经落地。</w:t>
      </w:r>
    </w:p>
    <w:bookmarkEnd w:id="34"/>
    <w:bookmarkStart w:id="35" w:name="X5fa868ab4019455bead2b36ef123c7a01a0915a"/>
    <w:p>
      <w:pPr>
        <w:pStyle w:val="Heading4"/>
        <w:keepNext/>
      </w:pPr>
      <w:r>
        <w:t xml:space="preserve">14.7 </w:t>
      </w:r>
      <w:r>
        <w:rPr>
          <w:rFonts w:hint="eastAsia"/>
        </w:rPr>
        <w:t xml:space="preserve">2026物理AI与世界模型大会举办</w:t>
      </w:r>
    </w:p>
    <w:p>
      <w:pPr>
        <w:pStyle w:val="Compact"/>
        <w:numPr>
          <w:ilvl w:val="0"/>
          <w:numId w:val="1021"/>
        </w:numPr>
      </w:pPr>
      <w:r>
        <w:rPr>
          <w:rFonts w:hint="eastAsia"/>
          <w:b/>
          <w:bCs/>
        </w:rPr>
        <w:t xml:space="preserve">信号强度：★★★；A股影响：利好。</w:t>
      </w:r>
      <w:r>
        <w:t xml:space="preserve"> </w:t>
      </w:r>
      <w:r>
        <w:rPr>
          <w:rFonts w:hint="eastAsia"/>
        </w:rPr>
        <w:t xml:space="preserve">大会围绕数据供给、模型训练开展研讨和对接，重点项目签约金额超60亿元，并发布高质量数据集建设专项计划。数据集、模型训练、物理AI和长三角AI产业链获主题催化；签约转收入的节奏和项目执行质量仍需跟踪。</w:t>
      </w:r>
    </w:p>
    <w:bookmarkEnd w:id="35"/>
    <w:bookmarkEnd w:id="36"/>
    <w:bookmarkStart w:id="37" w:name="X0cffef2dca5938f32a2fb22e668f612102989e4"/>
    <w:p>
      <w:pPr>
        <w:pStyle w:val="Heading3"/>
        <w:keepNext/>
      </w:pPr>
      <w:r>
        <w:t xml:space="preserve">15. </w:t>
      </w:r>
      <w:r>
        <w:rPr>
          <w:rFonts w:hint="eastAsia"/>
        </w:rPr>
        <w:t xml:space="preserve">日本民众连续两日在国会前举行集会，反对高市政权扩军修宪</w:t>
      </w:r>
    </w:p>
    <w:p>
      <w:pPr>
        <w:pStyle w:val="Compact"/>
        <w:numPr>
          <w:ilvl w:val="0"/>
          <w:numId w:val="1022"/>
        </w:numPr>
      </w:pPr>
      <w:r>
        <w:rPr>
          <w:rFonts w:hint="eastAsia"/>
          <w:b/>
          <w:bCs/>
        </w:rPr>
        <w:t xml:space="preserve">信号强度：★★；A股影响：中性；时效：短期情绪。</w:t>
      </w:r>
    </w:p>
    <w:p>
      <w:pPr>
        <w:pStyle w:val="Compact"/>
        <w:numPr>
          <w:ilvl w:val="0"/>
          <w:numId w:val="1022"/>
        </w:numPr>
      </w:pPr>
      <w:r>
        <w:rPr>
          <w:rFonts w:hint="eastAsia"/>
          <w:b/>
          <w:bCs/>
        </w:rPr>
        <w:t xml:space="preserve">事实核验：</w:t>
      </w:r>
      <w:r>
        <w:t xml:space="preserve"> </w:t>
      </w:r>
      <w:r>
        <w:rPr>
          <w:rFonts w:hint="eastAsia"/>
        </w:rPr>
        <w:t xml:space="preserve">日本民众连续两晚举行集会，反对扩军修宪并呼吁维护和平；日本人士也对向靖国神社供奉祭品及参拜行为表达反对。</w:t>
      </w:r>
    </w:p>
    <w:p>
      <w:pPr>
        <w:pStyle w:val="Compact"/>
        <w:numPr>
          <w:ilvl w:val="0"/>
          <w:numId w:val="1022"/>
        </w:numPr>
      </w:pPr>
      <w:r>
        <w:rPr>
          <w:rFonts w:hint="eastAsia"/>
          <w:b/>
          <w:bCs/>
        </w:rPr>
        <w:t xml:space="preserve">通俗解码与A股映射：</w:t>
      </w:r>
      <w:r>
        <w:t xml:space="preserve"> </w:t>
      </w:r>
      <w:r>
        <w:rPr>
          <w:rFonts w:hint="eastAsia"/>
        </w:rPr>
        <w:t xml:space="preserve">主要是地区政治与历史议题。原文未出现经贸制裁、供应链限制或中日贸易措施，因此不宜扩展为具体行业利空。</w:t>
      </w:r>
    </w:p>
    <w:bookmarkEnd w:id="37"/>
    <w:bookmarkStart w:id="38" w:name="X8249bb0bc27066424d0f4ab7f522da05789d9ce"/>
    <w:p>
      <w:pPr>
        <w:pStyle w:val="Heading3"/>
        <w:keepNext/>
      </w:pPr>
      <w:r>
        <w:t xml:space="preserve">16. </w:t>
      </w:r>
      <w:r>
        <w:rPr>
          <w:rFonts w:hint="eastAsia"/>
        </w:rPr>
        <w:t xml:space="preserve">美总统特使分别与乌俄领导人会面，讨论乌克兰问题</w:t>
      </w:r>
    </w:p>
    <w:p>
      <w:pPr>
        <w:pStyle w:val="Compact"/>
        <w:numPr>
          <w:ilvl w:val="0"/>
          <w:numId w:val="1023"/>
        </w:numPr>
      </w:pPr>
      <w:r>
        <w:rPr>
          <w:rFonts w:hint="eastAsia"/>
          <w:b/>
          <w:bCs/>
        </w:rPr>
        <w:t xml:space="preserve">信号强度：★★★；A股影响：中性偏多但不确定；时效：短期。</w:t>
      </w:r>
    </w:p>
    <w:p>
      <w:pPr>
        <w:pStyle w:val="Compact"/>
        <w:numPr>
          <w:ilvl w:val="0"/>
          <w:numId w:val="1023"/>
        </w:numPr>
      </w:pPr>
      <w:r>
        <w:rPr>
          <w:rFonts w:hint="eastAsia"/>
          <w:b/>
          <w:bCs/>
        </w:rPr>
        <w:t xml:space="preserve">事实核验：</w:t>
      </w:r>
      <w:r>
        <w:t xml:space="preserve"> </w:t>
      </w:r>
      <w:r>
        <w:rPr>
          <w:rFonts w:hint="eastAsia"/>
        </w:rPr>
        <w:t xml:space="preserve">美方特使与乌克兰方面讨论全面和平框架、安全保障、冲突后经济计划和欧洲安全架构；特朗普敦促乌方达成停火协议；俄方表示会研究建议但不会为经济交易作政治让步；美方特使随后与普京会面，并提出恢复俄美乌三方谈判，双方对恢复俄美经济关系表达积极立场。</w:t>
      </w:r>
    </w:p>
    <w:p>
      <w:pPr>
        <w:pStyle w:val="Compact"/>
        <w:numPr>
          <w:ilvl w:val="0"/>
          <w:numId w:val="1023"/>
        </w:numPr>
      </w:pPr>
      <w:r>
        <w:rPr>
          <w:rFonts w:hint="eastAsia"/>
          <w:b/>
          <w:bCs/>
        </w:rPr>
        <w:t xml:space="preserve">通俗解码与A股映射：</w:t>
      </w:r>
      <w:r>
        <w:t xml:space="preserve"> </w:t>
      </w:r>
      <w:r>
        <w:rPr>
          <w:rFonts w:hint="eastAsia"/>
        </w:rPr>
        <w:t xml:space="preserve">谈判预期有利于降低部分地缘风险溢价，但各方立场仍有距离。若后续实质缓和，风险偏好可能改善，部分能源与航运风险溢价可能回落；当前只能视为谈判信号，不能当作停火事实。</w:t>
      </w:r>
    </w:p>
    <w:bookmarkEnd w:id="38"/>
    <w:bookmarkStart w:id="43" w:name="X120ed68d6072dfeb4d2e6847db8d3e159ac75f6"/>
    <w:p>
      <w:pPr>
        <w:pStyle w:val="Heading3"/>
        <w:keepNext/>
      </w:pPr>
      <w:r>
        <w:t xml:space="preserve">17. </w:t>
      </w:r>
      <w:r>
        <w:rPr>
          <w:rFonts w:hint="eastAsia"/>
        </w:rPr>
        <w:t xml:space="preserve">国际联播快讯（4个子项全部覆盖）</w:t>
      </w:r>
    </w:p>
    <w:bookmarkStart w:id="39" w:name="Xab0c23436e6d7f4ba200f19a9fad7c291088c6b"/>
    <w:p>
      <w:pPr>
        <w:pStyle w:val="Heading4"/>
        <w:keepNext/>
      </w:pPr>
      <w:r>
        <w:t xml:space="preserve">17.1 </w:t>
      </w:r>
      <w:r>
        <w:rPr>
          <w:rFonts w:hint="eastAsia"/>
        </w:rPr>
        <w:t xml:space="preserve">伊朗总统会见巴陆军参谋长讨论地区局势</w:t>
      </w:r>
    </w:p>
    <w:p>
      <w:pPr>
        <w:pStyle w:val="Compact"/>
        <w:numPr>
          <w:ilvl w:val="0"/>
          <w:numId w:val="1024"/>
        </w:numPr>
      </w:pPr>
      <w:r>
        <w:rPr>
          <w:rFonts w:hint="eastAsia"/>
          <w:b/>
          <w:bCs/>
        </w:rPr>
        <w:t xml:space="preserve">信号强度：★★★；A股影响：偏空风险。</w:t>
      </w:r>
      <w:r>
        <w:t xml:space="preserve"> </w:t>
      </w:r>
      <w:r>
        <w:rPr>
          <w:rFonts w:hint="eastAsia"/>
        </w:rPr>
        <w:t xml:space="preserve">伊朗表示愿对话但要求美国先解除制裁，以色列方面则发表强硬表态，说明地区分歧仍大。对A股的主要传导是能源价格、航运安全与整体风险偏好。</w:t>
      </w:r>
    </w:p>
    <w:bookmarkEnd w:id="39"/>
    <w:bookmarkStart w:id="40" w:name="X2cdd52f4e3edf23dbb523fcdcb3a7c75e6da481"/>
    <w:p>
      <w:pPr>
        <w:pStyle w:val="Heading4"/>
        <w:keepNext/>
      </w:pPr>
      <w:r>
        <w:t xml:space="preserve">17.2 </w:t>
      </w:r>
      <w:r>
        <w:rPr>
          <w:rFonts w:hint="eastAsia"/>
        </w:rPr>
        <w:t xml:space="preserve">英称将派战机协助沙特抵御胡塞武装袭击</w:t>
      </w:r>
    </w:p>
    <w:p>
      <w:pPr>
        <w:pStyle w:val="Compact"/>
        <w:numPr>
          <w:ilvl w:val="0"/>
          <w:numId w:val="1025"/>
        </w:numPr>
      </w:pPr>
      <w:r>
        <w:rPr>
          <w:rFonts w:hint="eastAsia"/>
          <w:b/>
          <w:bCs/>
        </w:rPr>
        <w:t xml:space="preserve">信号强度：★★★；A股影响：偏空风险。</w:t>
      </w:r>
      <w:r>
        <w:t xml:space="preserve"> </w:t>
      </w:r>
      <w:r>
        <w:rPr>
          <w:rFonts w:hint="eastAsia"/>
        </w:rPr>
        <w:t xml:space="preserve">英国将派“台风”战机、军事顾问和运输机，虽强调防御任务，但反映海湾安全压力。能源运输、航运成本和避险情绪可能受扰动。</w:t>
      </w:r>
    </w:p>
    <w:bookmarkEnd w:id="40"/>
    <w:bookmarkStart w:id="41" w:name="X81d55d055dff385bcc897a501659751bed29aae"/>
    <w:p>
      <w:pPr>
        <w:pStyle w:val="Heading4"/>
        <w:keepNext/>
      </w:pPr>
      <w:r>
        <w:t xml:space="preserve">17.3 </w:t>
      </w:r>
      <w:r>
        <w:rPr>
          <w:rFonts w:hint="eastAsia"/>
        </w:rPr>
        <w:t xml:space="preserve">法政府部署反恐力量应对下一次抗议活动</w:t>
      </w:r>
    </w:p>
    <w:p>
      <w:pPr>
        <w:pStyle w:val="Compact"/>
        <w:numPr>
          <w:ilvl w:val="0"/>
          <w:numId w:val="1026"/>
        </w:numPr>
      </w:pPr>
      <w:r>
        <w:rPr>
          <w:rFonts w:hint="eastAsia"/>
          <w:b/>
          <w:bCs/>
        </w:rPr>
        <w:t xml:space="preserve">信号强度：★★；A股影响：中性偏空。</w:t>
      </w:r>
      <w:r>
        <w:t xml:space="preserve"> </w:t>
      </w:r>
      <w:r>
        <w:rPr>
          <w:rFonts w:hint="eastAsia"/>
        </w:rPr>
        <w:t xml:space="preserve">法国拟部署反恐力量应对可能的暴力事件，欧洲其他国家也出现生活成本相关抗议。对A股直接影响有限，主要体现欧洲需求与社会稳定风险。</w:t>
      </w:r>
    </w:p>
    <w:bookmarkEnd w:id="41"/>
    <w:bookmarkStart w:id="42" w:name="X303cb0e793a6a26d3fe79c52a18773b3c9f7944"/>
    <w:p>
      <w:pPr>
        <w:pStyle w:val="Heading4"/>
        <w:keepNext/>
      </w:pPr>
      <w:r>
        <w:t xml:space="preserve">17.4 </w:t>
      </w:r>
      <w:r>
        <w:rPr>
          <w:rFonts w:hint="eastAsia"/>
        </w:rPr>
        <w:t xml:space="preserve">欧洲天然气价格近4年来首次突破90欧元</w:t>
      </w:r>
    </w:p>
    <w:p>
      <w:pPr>
        <w:pStyle w:val="Compact"/>
        <w:numPr>
          <w:ilvl w:val="0"/>
          <w:numId w:val="1027"/>
        </w:numPr>
      </w:pPr>
      <w:r>
        <w:rPr>
          <w:rFonts w:hint="eastAsia"/>
          <w:b/>
          <w:bCs/>
        </w:rPr>
        <w:t xml:space="preserve">信号强度：★★★★；A股影响：结构性分化。</w:t>
      </w:r>
      <w:r>
        <w:t xml:space="preserve"> </w:t>
      </w:r>
      <w:r>
        <w:rPr>
          <w:rFonts w:hint="eastAsia"/>
        </w:rPr>
        <w:t xml:space="preserve">荷兰TTF天然气11月期货盘中突破每兆瓦时90欧元，高于中东战事前约32欧元；原文将其归因于海湾液化天然气出口受阻、全球供应紧张及冬季需求预期。上游能源与替代能源存在价格弹性，依赖欧洲能源成本的制造环节则面临成本与需求压力。价格已大幅波动，需警惕追高和局势反转。</w:t>
      </w:r>
    </w:p>
    <w:bookmarkEnd w:id="42"/>
    <w:bookmarkEnd w:id="43"/>
    <w:bookmarkEnd w:id="44"/>
    <w:bookmarkStart w:id="45" w:name="四板块影响汇总"/>
    <w:p>
      <w:pPr>
        <w:pStyle w:val="Heading2"/>
        <w:keepNext/>
      </w:pPr>
      <w:r>
        <w:rPr>
          <w:rFonts w:hint="eastAsia"/>
        </w:rPr>
        <w:t xml:space="preserve">四、板块影响汇总</w:t>
      </w:r>
    </w:p>
    <w:tbl>
      <w:tblPr>
        <w:tblStyle w:val="Table"/>
        <w:tblW w:type="auto" w:w="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b/>
              </w:rPr>
              <w:t xml:space="preserve">板块方向</w:t>
            </w:r>
          </w:p>
        </w:tc>
        <w:tc>
          <w:tcPr/>
          <w:p>
            <w:pPr>
              <w:pStyle w:val="Compact"/>
            </w:pPr>
            <w:r>
              <w:rPr>
                <w:rFonts w:hint="eastAsia"/>
                <w:b/>
              </w:rPr>
              <w:t xml:space="preserve">影响判断</w:t>
            </w:r>
          </w:p>
        </w:tc>
        <w:tc>
          <w:tcPr/>
          <w:p>
            <w:pPr>
              <w:pStyle w:val="Compact"/>
            </w:pPr>
            <w:r>
              <w:rPr>
                <w:rFonts w:hint="eastAsia"/>
                <w:b/>
              </w:rPr>
              <w:t xml:space="preserve">主要驱动</w:t>
            </w:r>
          </w:p>
        </w:tc>
        <w:tc>
          <w:tcPr/>
          <w:p>
            <w:pPr>
              <w:pStyle w:val="Compact"/>
            </w:pPr>
            <w:r>
              <w:rPr>
                <w:rFonts w:hint="eastAsia"/>
                <w:b/>
              </w:rPr>
              <w:t xml:space="preserve">信号强度</w:t>
            </w:r>
          </w:p>
        </w:tc>
        <w:tc>
          <w:tcPr/>
          <w:p>
            <w:pPr>
              <w:pStyle w:val="Compact"/>
            </w:pPr>
            <w:r>
              <w:rPr>
                <w:rFonts w:hint="eastAsia"/>
                <w:b/>
              </w:rPr>
              <w:t xml:space="preserve">兑现观察点</w:t>
            </w:r>
          </w:p>
        </w:tc>
      </w:tr>
      <w:tr>
        <w:tc>
          <w:tcPr/>
          <w:p>
            <w:pPr>
              <w:pStyle w:val="Compact"/>
            </w:pPr>
            <w:r>
              <w:rPr>
                <w:rFonts w:hint="eastAsia"/>
              </w:rPr>
              <w:t xml:space="preserve">科技金融、创投、券商服务</w:t>
            </w:r>
          </w:p>
        </w:tc>
        <w:tc>
          <w:tcPr/>
          <w:p>
            <w:pPr>
              <w:pStyle w:val="Compact"/>
            </w:pPr>
            <w:r>
              <w:rPr>
                <w:rFonts w:hint="eastAsia"/>
              </w:rPr>
              <w:t xml:space="preserve">利好</w:t>
            </w:r>
          </w:p>
        </w:tc>
        <w:tc>
          <w:tcPr/>
          <w:p>
            <w:pPr>
              <w:pStyle w:val="Compact"/>
            </w:pPr>
            <w:r>
              <w:rPr>
                <w:rFonts w:hint="eastAsia"/>
              </w:rPr>
              <w:t xml:space="preserve">科技再贷款扩围、创新积分互认、创投中心、债市互联</w:t>
            </w:r>
          </w:p>
        </w:tc>
        <w:tc>
          <w:tcPr/>
          <w:p>
            <w:pPr>
              <w:pStyle w:val="Compact"/>
            </w:pPr>
            <w:r>
              <w:t xml:space="preserve">★★★★</w:t>
            </w:r>
          </w:p>
        </w:tc>
        <w:tc>
          <w:tcPr/>
          <w:p>
            <w:pPr>
              <w:pStyle w:val="Compact"/>
            </w:pPr>
            <w:r>
              <w:rPr>
                <w:rFonts w:hint="eastAsia"/>
              </w:rPr>
              <w:t xml:space="preserve">细则、额度、投放规模、项目退出渠道</w:t>
            </w:r>
          </w:p>
        </w:tc>
      </w:tr>
      <w:tr>
        <w:tc>
          <w:tcPr/>
          <w:p>
            <w:pPr>
              <w:pStyle w:val="Compact"/>
            </w:pPr>
            <w:r>
              <w:rPr>
                <w:rFonts w:hint="eastAsia"/>
              </w:rPr>
              <w:t xml:space="preserve">半导体、AI与数据基础设施</w:t>
            </w:r>
          </w:p>
        </w:tc>
        <w:tc>
          <w:tcPr/>
          <w:p>
            <w:pPr>
              <w:pStyle w:val="Compact"/>
            </w:pPr>
            <w:r>
              <w:rPr>
                <w:rFonts w:hint="eastAsia"/>
              </w:rPr>
              <w:t xml:space="preserve">利好</w:t>
            </w:r>
          </w:p>
        </w:tc>
        <w:tc>
          <w:tcPr/>
          <w:p>
            <w:pPr>
              <w:pStyle w:val="Compact"/>
            </w:pPr>
            <w:r>
              <w:rPr>
                <w:rFonts w:hint="eastAsia"/>
              </w:rPr>
              <w:t xml:space="preserve">核心技术突破、模型下载量、数据产业、东数西算</w:t>
            </w:r>
          </w:p>
        </w:tc>
        <w:tc>
          <w:tcPr/>
          <w:p>
            <w:pPr>
              <w:pStyle w:val="Compact"/>
            </w:pPr>
            <w:r>
              <w:t xml:space="preserve">★★★★</w:t>
            </w:r>
          </w:p>
        </w:tc>
        <w:tc>
          <w:tcPr/>
          <w:p>
            <w:pPr>
              <w:pStyle w:val="Compact"/>
            </w:pPr>
            <w:r>
              <w:rPr>
                <w:rFonts w:hint="eastAsia"/>
              </w:rPr>
              <w:t xml:space="preserve">订单、资本开支、收入和现金流</w:t>
            </w:r>
          </w:p>
        </w:tc>
      </w:tr>
      <w:tr>
        <w:tc>
          <w:tcPr/>
          <w:p>
            <w:pPr>
              <w:pStyle w:val="Compact"/>
            </w:pPr>
            <w:r>
              <w:rPr>
                <w:rFonts w:hint="eastAsia"/>
              </w:rPr>
              <w:t xml:space="preserve">人形机器人、物理AI</w:t>
            </w:r>
          </w:p>
        </w:tc>
        <w:tc>
          <w:tcPr/>
          <w:p>
            <w:pPr>
              <w:pStyle w:val="Compact"/>
            </w:pPr>
            <w:r>
              <w:rPr>
                <w:rFonts w:hint="eastAsia"/>
              </w:rPr>
              <w:t xml:space="preserve">利好</w:t>
            </w:r>
          </w:p>
        </w:tc>
        <w:tc>
          <w:tcPr/>
          <w:p>
            <w:pPr>
              <w:pStyle w:val="Compact"/>
            </w:pPr>
            <w:r>
              <w:rPr>
                <w:rFonts w:hint="eastAsia"/>
              </w:rPr>
              <w:t xml:space="preserve">出货占比、应用场景、物理AI签约</w:t>
            </w:r>
          </w:p>
        </w:tc>
        <w:tc>
          <w:tcPr/>
          <w:p>
            <w:pPr>
              <w:pStyle w:val="Compact"/>
            </w:pPr>
            <w:r>
              <w:t xml:space="preserve">★★★★</w:t>
            </w:r>
          </w:p>
        </w:tc>
        <w:tc>
          <w:tcPr/>
          <w:p>
            <w:pPr>
              <w:pStyle w:val="Compact"/>
            </w:pPr>
            <w:r>
              <w:rPr>
                <w:rFonts w:hint="eastAsia"/>
              </w:rPr>
              <w:t xml:space="preserve">量产、单机价值量、签约转收入</w:t>
            </w:r>
          </w:p>
        </w:tc>
      </w:tr>
      <w:tr>
        <w:tc>
          <w:tcPr/>
          <w:p>
            <w:pPr>
              <w:pStyle w:val="Compact"/>
            </w:pPr>
            <w:r>
              <w:rPr>
                <w:rFonts w:hint="eastAsia"/>
              </w:rPr>
              <w:t xml:space="preserve">创新药</w:t>
            </w:r>
          </w:p>
        </w:tc>
        <w:tc>
          <w:tcPr/>
          <w:p>
            <w:pPr>
              <w:pStyle w:val="Compact"/>
            </w:pPr>
            <w:r>
              <w:rPr>
                <w:rFonts w:hint="eastAsia"/>
              </w:rPr>
              <w:t xml:space="preserve">利好</w:t>
            </w:r>
          </w:p>
        </w:tc>
        <w:tc>
          <w:tcPr/>
          <w:p>
            <w:pPr>
              <w:pStyle w:val="Compact"/>
            </w:pPr>
            <w:r>
              <w:rPr>
                <w:rFonts w:hint="eastAsia"/>
              </w:rPr>
              <w:t xml:space="preserve">对外技术授权金额</w:t>
            </w:r>
          </w:p>
        </w:tc>
        <w:tc>
          <w:tcPr/>
          <w:p>
            <w:pPr>
              <w:pStyle w:val="Compact"/>
            </w:pPr>
            <w:r>
              <w:t xml:space="preserve">★★★★</w:t>
            </w:r>
          </w:p>
        </w:tc>
        <w:tc>
          <w:tcPr/>
          <w:p>
            <w:pPr>
              <w:pStyle w:val="Compact"/>
            </w:pPr>
            <w:r>
              <w:rPr>
                <w:rFonts w:hint="eastAsia"/>
              </w:rPr>
              <w:t xml:space="preserve">首付款回款、临床进展、持续授权能力</w:t>
            </w:r>
          </w:p>
        </w:tc>
      </w:tr>
      <w:tr>
        <w:tc>
          <w:tcPr/>
          <w:p>
            <w:pPr>
              <w:pStyle w:val="Compact"/>
            </w:pPr>
            <w:r>
              <w:rPr>
                <w:rFonts w:hint="eastAsia"/>
              </w:rPr>
              <w:t xml:space="preserve">应急装备与安全监测</w:t>
            </w:r>
          </w:p>
        </w:tc>
        <w:tc>
          <w:tcPr/>
          <w:p>
            <w:pPr>
              <w:pStyle w:val="Compact"/>
            </w:pPr>
            <w:r>
              <w:rPr>
                <w:rFonts w:hint="eastAsia"/>
              </w:rPr>
              <w:t xml:space="preserve">利好</w:t>
            </w:r>
          </w:p>
        </w:tc>
        <w:tc>
          <w:tcPr/>
          <w:p>
            <w:pPr>
              <w:pStyle w:val="Compact"/>
            </w:pPr>
            <w:r>
              <w:rPr>
                <w:rFonts w:hint="eastAsia"/>
              </w:rPr>
              <w:t xml:space="preserve">“十五五”大安全大应急能力建设</w:t>
            </w:r>
          </w:p>
        </w:tc>
        <w:tc>
          <w:tcPr/>
          <w:p>
            <w:pPr>
              <w:pStyle w:val="Compact"/>
            </w:pPr>
            <w:r>
              <w:t xml:space="preserve">★★★★</w:t>
            </w:r>
          </w:p>
        </w:tc>
        <w:tc>
          <w:tcPr/>
          <w:p>
            <w:pPr>
              <w:pStyle w:val="Compact"/>
            </w:pPr>
            <w:r>
              <w:rPr>
                <w:rFonts w:hint="eastAsia"/>
              </w:rPr>
              <w:t xml:space="preserve">预算、招标、采购和标准落地</w:t>
            </w:r>
          </w:p>
        </w:tc>
      </w:tr>
      <w:tr>
        <w:tc>
          <w:tcPr/>
          <w:p>
            <w:pPr>
              <w:pStyle w:val="Compact"/>
            </w:pPr>
            <w:r>
              <w:rPr>
                <w:rFonts w:hint="eastAsia"/>
              </w:rPr>
              <w:t xml:space="preserve">氢能与加氢设备</w:t>
            </w:r>
          </w:p>
        </w:tc>
        <w:tc>
          <w:tcPr/>
          <w:p>
            <w:pPr>
              <w:pStyle w:val="Compact"/>
            </w:pPr>
            <w:r>
              <w:rPr>
                <w:rFonts w:hint="eastAsia"/>
              </w:rPr>
              <w:t xml:space="preserve">利好</w:t>
            </w:r>
          </w:p>
        </w:tc>
        <w:tc>
          <w:tcPr/>
          <w:p>
            <w:pPr>
              <w:pStyle w:val="Compact"/>
            </w:pPr>
            <w:r>
              <w:rPr>
                <w:rFonts w:hint="eastAsia"/>
              </w:rPr>
              <w:t xml:space="preserve">京津冀试点城市群量化目标和应用扩围</w:t>
            </w:r>
          </w:p>
        </w:tc>
        <w:tc>
          <w:tcPr/>
          <w:p>
            <w:pPr>
              <w:pStyle w:val="Compact"/>
            </w:pPr>
            <w:r>
              <w:t xml:space="preserve">★★★★</w:t>
            </w:r>
          </w:p>
        </w:tc>
        <w:tc>
          <w:tcPr/>
          <w:p>
            <w:pPr>
              <w:pStyle w:val="Compact"/>
            </w:pPr>
            <w:r>
              <w:rPr>
                <w:rFonts w:hint="eastAsia"/>
              </w:rPr>
              <w:t xml:space="preserve">制氢成本、站点利用率、车辆运营数据</w:t>
            </w:r>
          </w:p>
        </w:tc>
      </w:tr>
      <w:tr>
        <w:tc>
          <w:tcPr/>
          <w:p>
            <w:pPr>
              <w:pStyle w:val="Compact"/>
            </w:pPr>
            <w:r>
              <w:rPr>
                <w:rFonts w:hint="eastAsia"/>
              </w:rPr>
              <w:t xml:space="preserve">碳管理与节能服务</w:t>
            </w:r>
          </w:p>
        </w:tc>
        <w:tc>
          <w:tcPr/>
          <w:p>
            <w:pPr>
              <w:pStyle w:val="Compact"/>
            </w:pPr>
            <w:r>
              <w:rPr>
                <w:rFonts w:hint="eastAsia"/>
              </w:rPr>
              <w:t xml:space="preserve">利好</w:t>
            </w:r>
          </w:p>
        </w:tc>
        <w:tc>
          <w:tcPr/>
          <w:p>
            <w:pPr>
              <w:pStyle w:val="Compact"/>
            </w:pPr>
            <w:r>
              <w:rPr>
                <w:rFonts w:hint="eastAsia"/>
              </w:rPr>
              <w:t xml:space="preserve">碳标准扩充、碳市场成交突破10亿吨</w:t>
            </w:r>
          </w:p>
        </w:tc>
        <w:tc>
          <w:tcPr/>
          <w:p>
            <w:pPr>
              <w:pStyle w:val="Compact"/>
            </w:pPr>
            <w:r>
              <w:t xml:space="preserve">★★★★</w:t>
            </w:r>
          </w:p>
        </w:tc>
        <w:tc>
          <w:tcPr/>
          <w:p>
            <w:pPr>
              <w:pStyle w:val="Compact"/>
            </w:pPr>
            <w:r>
              <w:rPr>
                <w:rFonts w:hint="eastAsia"/>
              </w:rPr>
              <w:t xml:space="preserve">行业覆盖扩围、履约需求、收费模式</w:t>
            </w:r>
          </w:p>
        </w:tc>
      </w:tr>
      <w:tr>
        <w:tc>
          <w:tcPr/>
          <w:p>
            <w:pPr>
              <w:pStyle w:val="Compact"/>
            </w:pPr>
            <w:r>
              <w:rPr>
                <w:rFonts w:hint="eastAsia"/>
              </w:rPr>
              <w:t xml:space="preserve">服务消费、高效家电、县域渠道</w:t>
            </w:r>
          </w:p>
        </w:tc>
        <w:tc>
          <w:tcPr/>
          <w:p>
            <w:pPr>
              <w:pStyle w:val="Compact"/>
            </w:pPr>
            <w:r>
              <w:rPr>
                <w:rFonts w:hint="eastAsia"/>
              </w:rPr>
              <w:t xml:space="preserve">结构性利好</w:t>
            </w:r>
          </w:p>
        </w:tc>
        <w:tc>
          <w:tcPr/>
          <w:p>
            <w:pPr>
              <w:pStyle w:val="Compact"/>
            </w:pPr>
            <w:r>
              <w:rPr>
                <w:rFonts w:hint="eastAsia"/>
              </w:rPr>
              <w:t xml:space="preserve">服务零售、通讯器材、高效家电及乡村消费数据</w:t>
            </w:r>
          </w:p>
        </w:tc>
        <w:tc>
          <w:tcPr/>
          <w:p>
            <w:pPr>
              <w:pStyle w:val="Compact"/>
            </w:pPr>
            <w:r>
              <w:t xml:space="preserve">★★★</w:t>
            </w:r>
          </w:p>
        </w:tc>
        <w:tc>
          <w:tcPr/>
          <w:p>
            <w:pPr>
              <w:pStyle w:val="Compact"/>
            </w:pPr>
            <w:r>
              <w:rPr>
                <w:rFonts w:hint="eastAsia"/>
              </w:rPr>
              <w:t xml:space="preserve">同店增长、利润率、库存和现金流</w:t>
            </w:r>
          </w:p>
        </w:tc>
      </w:tr>
      <w:tr>
        <w:tc>
          <w:tcPr/>
          <w:p>
            <w:pPr>
              <w:pStyle w:val="Compact"/>
            </w:pPr>
            <w:r>
              <w:rPr>
                <w:rFonts w:hint="eastAsia"/>
              </w:rPr>
              <w:t xml:space="preserve">中俄经贸、能源、物流、航天合作</w:t>
            </w:r>
          </w:p>
        </w:tc>
        <w:tc>
          <w:tcPr/>
          <w:p>
            <w:pPr>
              <w:pStyle w:val="Compact"/>
            </w:pPr>
            <w:r>
              <w:rPr>
                <w:rFonts w:hint="eastAsia"/>
              </w:rPr>
              <w:t xml:space="preserve">中性偏多</w:t>
            </w:r>
          </w:p>
        </w:tc>
        <w:tc>
          <w:tcPr/>
          <w:p>
            <w:pPr>
              <w:pStyle w:val="Compact"/>
            </w:pPr>
            <w:r>
              <w:rPr>
                <w:rFonts w:hint="eastAsia"/>
              </w:rPr>
              <w:t xml:space="preserve">联合公报及多领域合作文件</w:t>
            </w:r>
          </w:p>
        </w:tc>
        <w:tc>
          <w:tcPr/>
          <w:p>
            <w:pPr>
              <w:pStyle w:val="Compact"/>
            </w:pPr>
            <w:r>
              <w:t xml:space="preserve">★★★★</w:t>
            </w:r>
          </w:p>
        </w:tc>
        <w:tc>
          <w:tcPr/>
          <w:p>
            <w:pPr>
              <w:pStyle w:val="Compact"/>
            </w:pPr>
            <w:r>
              <w:rPr>
                <w:rFonts w:hint="eastAsia"/>
              </w:rPr>
              <w:t xml:space="preserve">具体项目、金额、参与主体、履约周期</w:t>
            </w:r>
          </w:p>
        </w:tc>
      </w:tr>
      <w:tr>
        <w:tc>
          <w:tcPr/>
          <w:p>
            <w:pPr>
              <w:pStyle w:val="Compact"/>
            </w:pPr>
            <w:r>
              <w:rPr>
                <w:rFonts w:hint="eastAsia"/>
              </w:rPr>
              <w:t xml:space="preserve">天然气与替代能源</w:t>
            </w:r>
          </w:p>
        </w:tc>
        <w:tc>
          <w:tcPr/>
          <w:p>
            <w:pPr>
              <w:pStyle w:val="Compact"/>
            </w:pPr>
            <w:r>
              <w:rPr>
                <w:rFonts w:hint="eastAsia"/>
              </w:rPr>
              <w:t xml:space="preserve">分化</w:t>
            </w:r>
          </w:p>
        </w:tc>
        <w:tc>
          <w:tcPr/>
          <w:p>
            <w:pPr>
              <w:pStyle w:val="Compact"/>
            </w:pPr>
            <w:r>
              <w:rPr>
                <w:rFonts w:hint="eastAsia"/>
              </w:rPr>
              <w:t xml:space="preserve">欧洲气价突破90欧元及供应紧张</w:t>
            </w:r>
          </w:p>
        </w:tc>
        <w:tc>
          <w:tcPr/>
          <w:p>
            <w:pPr>
              <w:pStyle w:val="Compact"/>
            </w:pPr>
            <w:r>
              <w:t xml:space="preserve">★★★★</w:t>
            </w:r>
          </w:p>
        </w:tc>
        <w:tc>
          <w:tcPr/>
          <w:p>
            <w:pPr>
              <w:pStyle w:val="Compact"/>
            </w:pPr>
            <w:r>
              <w:rPr>
                <w:rFonts w:hint="eastAsia"/>
              </w:rPr>
              <w:t xml:space="preserve">地缘局势、LNG供应、冬季需求和价格持续性</w:t>
            </w:r>
          </w:p>
        </w:tc>
      </w:tr>
    </w:tbl>
    <w:bookmarkEnd w:id="45"/>
    <w:bookmarkStart w:id="49" w:name="五操作框架"/>
    <w:p>
      <w:pPr>
        <w:pStyle w:val="Heading2"/>
        <w:keepNext/>
      </w:pPr>
      <w:r>
        <w:rPr>
          <w:rFonts w:hint="eastAsia"/>
        </w:rPr>
        <w:t xml:space="preserve">五、操作框架</w:t>
      </w:r>
    </w:p>
    <w:bookmarkStart w:id="46" w:name="短线"/>
    <w:p>
      <w:pPr>
        <w:pStyle w:val="Heading3"/>
        <w:keepNext/>
      </w:pPr>
      <w:r>
        <w:rPr>
          <w:rFonts w:hint="eastAsia"/>
        </w:rPr>
        <w:t xml:space="preserve">短线</w:t>
      </w:r>
    </w:p>
    <w:p>
      <w:pPr>
        <w:pStyle w:val="Compact"/>
        <w:numPr>
          <w:ilvl w:val="0"/>
          <w:numId w:val="1028"/>
        </w:numPr>
      </w:pPr>
      <w:r>
        <w:rPr>
          <w:rFonts w:hint="eastAsia"/>
          <w:b/>
          <w:bCs/>
        </w:rPr>
        <w:t xml:space="preserve">优先观察有明确政策载体的方向：</w:t>
      </w:r>
      <w:r>
        <w:t xml:space="preserve"> </w:t>
      </w:r>
      <w:r>
        <w:rPr>
          <w:rFonts w:hint="eastAsia"/>
        </w:rPr>
        <w:t xml:space="preserve">科技金融、重大应用场景、京津冀氢能、应急装备。</w:t>
      </w:r>
    </w:p>
    <w:p>
      <w:pPr>
        <w:pStyle w:val="Compact"/>
        <w:numPr>
          <w:ilvl w:val="0"/>
          <w:numId w:val="1028"/>
        </w:numPr>
      </w:pPr>
      <w:r>
        <w:rPr>
          <w:rFonts w:hint="eastAsia"/>
          <w:b/>
          <w:bCs/>
        </w:rPr>
        <w:t xml:space="preserve">不把联播点名等同于追涨理由：</w:t>
      </w:r>
      <w:r>
        <w:t xml:space="preserve"> </w:t>
      </w:r>
      <w:r>
        <w:rPr>
          <w:rFonts w:hint="eastAsia"/>
        </w:rPr>
        <w:t xml:space="preserve">若板块高开但成交不能持续、龙头冲高回落或板块内部快速分化，应等待回踩后的承接确认。</w:t>
      </w:r>
    </w:p>
    <w:p>
      <w:pPr>
        <w:pStyle w:val="Compact"/>
        <w:numPr>
          <w:ilvl w:val="0"/>
          <w:numId w:val="1028"/>
        </w:numPr>
      </w:pPr>
      <w:r>
        <w:rPr>
          <w:rFonts w:hint="eastAsia"/>
          <w:b/>
          <w:bCs/>
        </w:rPr>
        <w:t xml:space="preserve">外部风险单独定价：</w:t>
      </w:r>
      <w:r>
        <w:t xml:space="preserve"> </w:t>
      </w:r>
      <w:r>
        <w:rPr>
          <w:rFonts w:hint="eastAsia"/>
        </w:rPr>
        <w:t xml:space="preserve">欧洲天然气价格和中东安全形势可能推动能源主题，也可能压制风险偏好；避免只看受益端而忽略成本冲击。</w:t>
      </w:r>
    </w:p>
    <w:bookmarkEnd w:id="46"/>
    <w:bookmarkStart w:id="47" w:name="中线"/>
    <w:p>
      <w:pPr>
        <w:pStyle w:val="Heading3"/>
        <w:keepNext/>
      </w:pPr>
      <w:r>
        <w:rPr>
          <w:rFonts w:hint="eastAsia"/>
        </w:rPr>
        <w:t xml:space="preserve">中线</w:t>
      </w:r>
    </w:p>
    <w:p>
      <w:pPr>
        <w:pStyle w:val="Compact"/>
        <w:numPr>
          <w:ilvl w:val="0"/>
          <w:numId w:val="1029"/>
        </w:numPr>
      </w:pPr>
      <w:r>
        <w:rPr>
          <w:rFonts w:hint="eastAsia"/>
        </w:rPr>
        <w:t xml:space="preserve">关注“科技研发—再贷款支持—应用场景验证—产业订单”的闭环，优先选择能把政策支持转化为收入和现金流的环节。</w:t>
      </w:r>
    </w:p>
    <w:p>
      <w:pPr>
        <w:pStyle w:val="Compact"/>
        <w:numPr>
          <w:ilvl w:val="0"/>
          <w:numId w:val="1029"/>
        </w:numPr>
      </w:pPr>
      <w:r>
        <w:rPr>
          <w:rFonts w:hint="eastAsia"/>
        </w:rPr>
        <w:t xml:space="preserve">应急、碳管理和氢能均具备“十五五”周期特征，但应以预算、标准、招标和利用率验证，不用远期规划替代当期业绩。</w:t>
      </w:r>
    </w:p>
    <w:p>
      <w:pPr>
        <w:pStyle w:val="Compact"/>
        <w:numPr>
          <w:ilvl w:val="0"/>
          <w:numId w:val="1029"/>
        </w:numPr>
      </w:pPr>
      <w:r>
        <w:rPr>
          <w:rFonts w:hint="eastAsia"/>
        </w:rPr>
        <w:t xml:space="preserve">消费方向重结构而非总量：服务消费、高效家电、通讯器材、县域与线上渠道优于泛化消费概念。</w:t>
      </w:r>
    </w:p>
    <w:bookmarkEnd w:id="47"/>
    <w:bookmarkStart w:id="48" w:name="风险与证伪条件"/>
    <w:p>
      <w:pPr>
        <w:pStyle w:val="Heading3"/>
        <w:keepNext/>
      </w:pPr>
      <w:r>
        <w:rPr>
          <w:rFonts w:hint="eastAsia"/>
        </w:rPr>
        <w:t xml:space="preserve">风险与证伪条件</w:t>
      </w:r>
    </w:p>
    <w:p>
      <w:pPr>
        <w:pStyle w:val="Compact"/>
        <w:numPr>
          <w:ilvl w:val="0"/>
          <w:numId w:val="1030"/>
        </w:numPr>
      </w:pPr>
      <w:r>
        <w:rPr>
          <w:rFonts w:hint="eastAsia"/>
        </w:rPr>
        <w:t xml:space="preserve">科技金融细则若覆盖范围、额度或实际投放低于预期，政策催化会弱化。</w:t>
      </w:r>
    </w:p>
    <w:p>
      <w:pPr>
        <w:pStyle w:val="Compact"/>
        <w:numPr>
          <w:ilvl w:val="0"/>
          <w:numId w:val="1030"/>
        </w:numPr>
      </w:pPr>
      <w:r>
        <w:rPr>
          <w:rFonts w:hint="eastAsia"/>
        </w:rPr>
        <w:t xml:space="preserve">重大应用场景若长期停留在展示和签约、不能转化为采购与收入，商业化逻辑将被证伪。</w:t>
      </w:r>
    </w:p>
    <w:p>
      <w:pPr>
        <w:pStyle w:val="Compact"/>
        <w:numPr>
          <w:ilvl w:val="0"/>
          <w:numId w:val="1030"/>
        </w:numPr>
      </w:pPr>
      <w:r>
        <w:rPr>
          <w:rFonts w:hint="eastAsia"/>
        </w:rPr>
        <w:t xml:space="preserve">氢能若制氢成本、加氢站利用率和车辆运营效率不能改善，量化建设目标可能难以转化为盈利。</w:t>
      </w:r>
    </w:p>
    <w:p>
      <w:pPr>
        <w:pStyle w:val="Compact"/>
        <w:numPr>
          <w:ilvl w:val="0"/>
          <w:numId w:val="1030"/>
        </w:numPr>
      </w:pPr>
      <w:r>
        <w:rPr>
          <w:rFonts w:hint="eastAsia"/>
        </w:rPr>
        <w:t xml:space="preserve">碳管理标准增加不必然带来高利润，需观察强制履约范围和服务收费能力。</w:t>
      </w:r>
    </w:p>
    <w:p>
      <w:pPr>
        <w:pStyle w:val="Compact"/>
        <w:numPr>
          <w:ilvl w:val="0"/>
          <w:numId w:val="1030"/>
        </w:numPr>
      </w:pPr>
      <w:r>
        <w:rPr>
          <w:rFonts w:hint="eastAsia"/>
        </w:rPr>
        <w:t xml:space="preserve">国际能源价格若继续急升，可能通过输入成本和风险偏好对制造业及成长估值形成压制；若局势缓和，能源主题也可能快速降温。</w:t>
      </w:r>
    </w:p>
    <w:bookmarkEnd w:id="48"/>
    <w:bookmarkEnd w:id="49"/>
    <w:bookmarkStart w:id="50" w:name="六事实核验与完整性清单"/>
    <w:p>
      <w:pPr>
        <w:pStyle w:val="Heading2"/>
        <w:keepNext/>
      </w:pPr>
      <w:r>
        <w:rPr>
          <w:rFonts w:hint="eastAsia"/>
        </w:rPr>
        <w:t xml:space="preserve">六、事实核验与完整性清单</w:t>
      </w:r>
    </w:p>
    <w:p>
      <w:pPr>
        <w:pStyle w:val="Compact"/>
        <w:numPr>
          <w:ilvl w:val="0"/>
          <w:numId w:val="1031"/>
        </w:numPr>
      </w:pPr>
      <w:r>
        <w:rPr>
          <w:rFonts w:hint="eastAsia"/>
        </w:rPr>
        <w:t xml:space="preserve">一级分项：17/17，按原文顺序逐条覆盖。</w:t>
      </w:r>
    </w:p>
    <w:p>
      <w:pPr>
        <w:pStyle w:val="Compact"/>
        <w:numPr>
          <w:ilvl w:val="0"/>
          <w:numId w:val="1032"/>
        </w:numPr>
      </w:pPr>
      <w:r>
        <w:rPr>
          <w:rFonts w:hint="eastAsia"/>
        </w:rPr>
        <w:t xml:space="preserve">国内联播快讯：7/7，全部拆分解读。</w:t>
      </w:r>
    </w:p>
    <w:p>
      <w:pPr>
        <w:pStyle w:val="Compact"/>
        <w:numPr>
          <w:ilvl w:val="0"/>
          <w:numId w:val="1033"/>
        </w:numPr>
      </w:pPr>
      <w:r>
        <w:rPr>
          <w:rFonts w:hint="eastAsia"/>
        </w:rPr>
        <w:t xml:space="preserve">国际联播快讯：4/4，全部拆分解读。</w:t>
      </w:r>
    </w:p>
    <w:p>
      <w:pPr>
        <w:pStyle w:val="Compact"/>
        <w:numPr>
          <w:ilvl w:val="0"/>
          <w:numId w:val="1034"/>
        </w:numPr>
      </w:pPr>
      <w:r>
        <w:rPr>
          <w:rFonts w:hint="eastAsia"/>
        </w:rPr>
        <w:t xml:space="preserve">关键数字已逐项对照唯一原文：农业产业集群与产业园、重大工程、消费、新动能、碳标准与碳市场、136项应用场景、氢能试点、AI会议签约、欧洲天然气价格等。</w:t>
      </w:r>
    </w:p>
    <w:p>
      <w:pPr>
        <w:pStyle w:val="Compact"/>
        <w:numPr>
          <w:ilvl w:val="0"/>
          <w:numId w:val="1035"/>
        </w:numPr>
      </w:pPr>
      <w:r>
        <w:rPr>
          <w:rFonts w:hint="eastAsia"/>
        </w:rPr>
        <w:t xml:space="preserve">对仅有标题预告的社论、任仲平文章和央视快评，未推演未提供的正文。</w:t>
      </w:r>
    </w:p>
    <w:p>
      <w:pPr>
        <w:pStyle w:val="Compact"/>
        <w:numPr>
          <w:ilvl w:val="0"/>
          <w:numId w:val="1036"/>
        </w:numPr>
      </w:pPr>
      <w:r>
        <w:rPr>
          <w:rFonts w:hint="eastAsia"/>
        </w:rPr>
        <w:t xml:space="preserve">未引入个股名单、未虚构订单、未把会晤领域或签约项目泛化为上市公司确定业绩。</w:t>
      </w:r>
    </w:p>
    <w:p>
      <w:pPr>
        <w:pStyle w:val="Compact"/>
        <w:numPr>
          <w:ilvl w:val="0"/>
          <w:numId w:val="1037"/>
        </w:numPr>
      </w:pPr>
      <w:r>
        <w:rPr>
          <w:rFonts w:hint="eastAsia"/>
        </w:rPr>
        <w:t xml:space="preserve">事实、通俗解码与A股映射已分层；星级为分析框架，不是原文评级。</w:t>
      </w:r>
    </w:p>
    <w:p>
      <w:r>
        <w:pict>
          <v:rect style="width:0;height:1.5pt" o:hralign="center" o:hrstd="t" o:hr="t"/>
        </w:pict>
      </w:r>
    </w:p>
    <w:p>
      <w:pPr>
        <w:pStyle w:val="FirstParagraph"/>
      </w:pPr>
      <w:r>
        <w:rPr>
          <w:rFonts w:hint="eastAsia"/>
          <w:i/>
          <w:iCs/>
        </w:rPr>
        <w:t xml:space="preserve">分析模型：GPT-5.6</w:t>
      </w:r>
      <w:r>
        <w:rPr>
          <w:i/>
          <w:iCs/>
        </w:rPr>
        <w:t xml:space="preserve"> Sol (openai-codex)</w:t>
      </w:r>
      <w:r>
        <w:br/>
      </w:r>
      <w:r>
        <w:rPr>
          <w:rFonts w:hint="eastAsia"/>
          <w:i/>
          <w:iCs/>
        </w:rPr>
        <w:t xml:space="preserve">写稿模型：GPT-5.6</w:t>
      </w:r>
      <w:r>
        <w:rPr>
          <w:i/>
          <w:iCs/>
        </w:rPr>
        <w:t xml:space="preserve"> Sol (openai-codex)</w:t>
      </w:r>
    </w:p>
    <w:bookmarkEnd w:id="50"/>
    <w:bookmarkEnd w:id="51"/>
    <w:sectPr>
      <w:footerReference w:type="default" r:id="rId9"/>
      <w:footnotePr>
        <w:numRestart w:val="eachSect"/>
      </w:footnotePr>
      <w:pgMar w:top="1020" w:bottom="1020" w:left="1134" w:right="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分析模型：GPT-5.6 Sol (openai-codex)｜写稿模型：GPT-5.6 Sol (openai-codex)｜第</w:t>
    </w:r>
    <w:fldSimple w:instr="PAGE"/>
    <w:r>
      <w:t>页</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3">
    <w:nsid w:val="0000A993"/>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3"/>
  </w:num>
  <w:num w:numId="1032">
    <w:abstractNumId w:val="993"/>
  </w:num>
  <w:num w:numId="1033">
    <w:abstractNumId w:val="993"/>
  </w:num>
  <w:num w:numId="1034">
    <w:abstractNumId w:val="993"/>
  </w:num>
  <w:num w:numId="1035">
    <w:abstractNumId w:val="993"/>
  </w:num>
  <w:num w:numId="1036">
    <w:abstractNumId w:val="993"/>
  </w:num>
  <w:num w:numId="1037">
    <w:abstractNumId w:val="993"/>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宋体" w:hAnsi="宋体" w:eastAsia="宋体"/>
      <w:b w:val="0"/>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微软雅黑" w:hAnsi="微软雅黑" w:eastAsia="微软雅黑"/>
      <w:b/>
      <w:color w:val="17365D"/>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微软雅黑" w:hAnsi="微软雅黑" w:eastAsia="微软雅黑"/>
      <w:b/>
      <w:color w:val="17365D"/>
      <w:sz w:val="32"/>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微软雅黑" w:hAnsi="微软雅黑" w:eastAsia="微软雅黑"/>
      <w:b/>
      <w:color w:val="1F4E79"/>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微软雅黑" w:hAnsi="微软雅黑" w:eastAsia="微软雅黑"/>
      <w:b/>
      <w:color w:val="2F5597"/>
      <w:sz w:val="23"/>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2026-10-21T15:51:10Z</dcterms:created>
  <dcterms:modified xsi:type="dcterms:W3CDTF">2026-10-21T15:51:10Z</dcterms:modified>
</cp:coreProperties>
</file>

<file path=docProps/custom.xml><?xml version="1.0" encoding="utf-8"?>
<Properties xmlns="http://schemas.openxmlformats.org/officeDocument/2006/custom-properties" xmlns:vt="http://schemas.openxmlformats.org/officeDocument/2006/docPropsVTypes"/>
</file>