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年10月20日新闻联播a股影响深度解读"/>
    <w:p>
      <w:pPr>
        <w:pStyle w:val="Heading1"/>
      </w:pPr>
      <w:r>
        <w:rPr>
          <w:rFonts w:hint="eastAsia"/>
        </w:rPr>
        <w:t xml:space="preserve">2026年10月20日《新闻联播》A股影响深度解读</w:t>
      </w:r>
    </w:p>
    <w:p>
      <w:pPr>
        <w:pStyle w:val="BlockText"/>
      </w:pPr>
      <w:r>
        <w:rPr>
          <w:rFonts w:hint="eastAsia"/>
        </w:rPr>
        <w:t xml:space="preserve">数据边界：本文唯一联播事实底稿为</w:t>
      </w:r>
      <w:r>
        <w:t xml:space="preserve"> </w:t>
      </w:r>
      <w:r>
        <w:rPr>
          <w:rStyle w:val="VerbatimChar"/>
        </w:rPr>
        <w:t xml:space="preserve">/Users/qiji/.hermes/skills/finance/qiji-morning-know/memory/xinwenlianbo/2026-10-20.md</w:t>
      </w:r>
      <w:r>
        <w:rPr>
          <w:rFonts w:hint="eastAsia"/>
        </w:rPr>
        <w:t xml:space="preserve">。下文严格区分“原文事实”与“产业解读”；所有板块影响均为基于底稿事实的条件性映射，不代表政策已转化为上市公司订单、收入、利润或资金流，不构成投资建议。本文不列个股，也未引入实时行情、估值、公司公告或底稿之外的联播事实。</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整体基调：数字中国与先进制造政策信号偏强，文化遗产保护、区域合作和国防建设提供中长期线索，海外冲突压制风险偏好。</w:t>
      </w:r>
      <w:r>
        <w:t xml:space="preserve"> </w:t>
      </w:r>
      <w:r>
        <w:rPr>
          <w:rFonts w:hint="eastAsia"/>
        </w:rPr>
        <w:t xml:space="preserve">国内最明确的增量信号是国家数据集团有限公司成立并提出数据要素服务、数据基础设施和关键核心技术攻关；前三季度工业、高技术制造、通信和6G数据则确认制造升级斜率。文化遗产保护传承首次形成五年规划。国际部分同时呈现中东军事风险、俄伊协作、美乌分歧、法国社会冲突和西班牙洪灾。</w:t>
      </w:r>
    </w:p>
    <w:p>
      <w:pPr>
        <w:pStyle w:val="Compact"/>
        <w:numPr>
          <w:ilvl w:val="0"/>
          <w:numId w:val="1001"/>
        </w:numPr>
      </w:pPr>
      <w:r>
        <w:rPr>
          <w:rFonts w:hint="eastAsia"/>
          <w:b/>
          <w:bCs/>
        </w:rPr>
        <w:t xml:space="preserve">政策信号强度：强。</w:t>
      </w:r>
      <w:r>
        <w:t xml:space="preserve"> </w:t>
      </w:r>
      <w:r>
        <w:rPr>
          <w:rFonts w:hint="eastAsia"/>
        </w:rPr>
        <w:t xml:space="preserve">国家数据集团由中央政治局常委、国务院副总理出席揭牌，原文将其定位为党中央从全局和战略高度作出的重要决策，并直接关联人工智能、数字中国和国家竞争新优势；这是当日对A股最具辨识度的产业信号。工业数据和首次文化遗产五年规划构成第二梯队。</w:t>
      </w:r>
    </w:p>
    <w:p>
      <w:pPr>
        <w:pStyle w:val="Compact"/>
        <w:numPr>
          <w:ilvl w:val="0"/>
          <w:numId w:val="1001"/>
        </w:numPr>
      </w:pPr>
      <w:r>
        <w:rPr>
          <w:rFonts w:hint="eastAsia"/>
          <w:b/>
          <w:bCs/>
        </w:rPr>
        <w:t xml:space="preserve">对A股总体影响：结构性利好、指数层面中性偏正面。</w:t>
      </w:r>
      <w:r>
        <w:t xml:space="preserve"> </w:t>
      </w:r>
      <w:r>
        <w:rPr>
          <w:rFonts w:hint="eastAsia"/>
        </w:rPr>
        <w:t xml:space="preserve">数据要素、数据基础设施、关键核心技术、高技术制造、智能制造、通信与6G、文化遗产保护、文博与非遗、服务机器人、新能源及水利调水存在正向映射；但国家数据集团尚未披露资本金、资产注入、采购清单或商业模式，外交合作也未披露具体项目金额，海外冲突可能抬升能源、航运和避险波动。</w:t>
      </w:r>
    </w:p>
    <w:p>
      <w:pPr>
        <w:pStyle w:val="Compact"/>
        <w:numPr>
          <w:ilvl w:val="0"/>
          <w:numId w:val="1001"/>
        </w:numPr>
      </w:pPr>
      <w:r>
        <w:rPr>
          <w:rFonts w:hint="eastAsia"/>
          <w:b/>
          <w:bCs/>
        </w:rPr>
        <w:t xml:space="preserve">一句话结论：</w:t>
      </w:r>
      <w:r>
        <w:t xml:space="preserve"> </w:t>
      </w:r>
      <w:r>
        <w:rPr>
          <w:rFonts w:hint="eastAsia"/>
        </w:rPr>
        <w:t xml:space="preserve">短线优先观察国家数据集团带动的数据要素与基础设施、高技术制造和6G三条主线的真实成交承接；中线跟踪数据运营机制、工业设备更新、文化遗产规划项目化和上合经贸运输通道，所有方向均以细则、预算、招标、订单和盈利兑现为准。</w:t>
      </w:r>
    </w:p>
    <w:bookmarkEnd w:id="9"/>
    <w:bookmarkStart w:id="10" w:name="二核心政策与市场信号"/>
    <w:p>
      <w:pPr>
        <w:pStyle w:val="Heading2"/>
      </w:pPr>
      <w:r>
        <w:rPr>
          <w:rFonts w:hint="eastAsia"/>
        </w:rPr>
        <w:t xml:space="preserve">二、核心政策与市场信号</w:t>
      </w:r>
    </w:p>
    <w:p>
      <w:pPr>
        <w:pStyle w:val="Compact"/>
        <w:numPr>
          <w:ilvl w:val="0"/>
          <w:numId w:val="1002"/>
        </w:numPr>
      </w:pPr>
      <w:r>
        <w:rPr>
          <w:rFonts w:hint="eastAsia"/>
          <w:b/>
          <w:bCs/>
        </w:rPr>
        <w:t xml:space="preserve">国家数据集团正式成立（★★★★★）</w:t>
      </w:r>
      <w:r>
        <w:rPr>
          <w:rFonts w:hint="eastAsia"/>
        </w:rPr>
        <w:t xml:space="preserve">：政策层级最高，任务覆盖数据要素服务、数据基础设施、关键核心技术、公司治理与产业协同，直接服务人工智能和数字中国建设。</w:t>
      </w:r>
    </w:p>
    <w:p>
      <w:pPr>
        <w:pStyle w:val="Compact"/>
        <w:numPr>
          <w:ilvl w:val="0"/>
          <w:numId w:val="1002"/>
        </w:numPr>
      </w:pPr>
      <w:r>
        <w:rPr>
          <w:rFonts w:hint="eastAsia"/>
          <w:b/>
          <w:bCs/>
        </w:rPr>
        <w:t xml:space="preserve">工业升级数据形成多点共振（★★★★☆）</w:t>
      </w:r>
      <w:r>
        <w:rPr>
          <w:rFonts w:hint="eastAsia"/>
        </w:rPr>
        <w:t xml:space="preserve">：前三季度规上工业增加值增长5.3%，高技术制造增长14.3%；制造业技术改造、设备更新、智能制造、通信基础设施及6G研发共同指向先进制造。</w:t>
      </w:r>
    </w:p>
    <w:p>
      <w:pPr>
        <w:pStyle w:val="Compact"/>
        <w:numPr>
          <w:ilvl w:val="0"/>
          <w:numId w:val="1002"/>
        </w:numPr>
      </w:pPr>
      <w:r>
        <w:rPr>
          <w:rFonts w:hint="eastAsia"/>
          <w:b/>
          <w:bCs/>
        </w:rPr>
        <w:t xml:space="preserve">文化遗产保护首次纳入五年规划（★★★★）</w:t>
      </w:r>
      <w:r>
        <w:rPr>
          <w:rFonts w:hint="eastAsia"/>
        </w:rPr>
        <w:t xml:space="preserve">：到2030年的资源摸清、统一监管、法规制度、人才、督察和大保护格局目标，为文物普查、博物馆管理、历史街区保护、非遗普查和数字化留出中期政策空间。</w:t>
      </w:r>
    </w:p>
    <w:p>
      <w:pPr>
        <w:pStyle w:val="Compact"/>
        <w:numPr>
          <w:ilvl w:val="0"/>
          <w:numId w:val="1002"/>
        </w:numPr>
      </w:pPr>
      <w:r>
        <w:rPr>
          <w:rFonts w:hint="eastAsia"/>
          <w:b/>
          <w:bCs/>
        </w:rPr>
        <w:t xml:space="preserve">建军百年目标进入攻坚叙事（★★★★）</w:t>
      </w:r>
      <w:r>
        <w:rPr>
          <w:rFonts w:hint="eastAsia"/>
        </w:rPr>
        <w:t xml:space="preserve">：报道强调练兵备战、实战化训练、信息化战争能力，并列举万吨级驱逐舰、运-20和导弹阵地，国防信息化和高端装备维持长期战略关注，但当日没有新增采购金额。</w:t>
      </w:r>
    </w:p>
    <w:p>
      <w:pPr>
        <w:pStyle w:val="Compact"/>
        <w:numPr>
          <w:ilvl w:val="0"/>
          <w:numId w:val="1002"/>
        </w:numPr>
      </w:pPr>
      <w:r>
        <w:rPr>
          <w:rFonts w:hint="eastAsia"/>
          <w:b/>
          <w:bCs/>
        </w:rPr>
        <w:t xml:space="preserve">上合合作强调运输通道和产供链稳定（★★★★）</w:t>
      </w:r>
      <w:r>
        <w:rPr>
          <w:rFonts w:hint="eastAsia"/>
        </w:rPr>
        <w:t xml:space="preserve">：成员国政府首脑会议提出打造稳定有韧性的国际运输通道体系、维护全球产供链稳定，并签署联合公报、批准合作文件；方向明确，具体项目仍待披露。</w:t>
      </w:r>
    </w:p>
    <w:p>
      <w:pPr>
        <w:pStyle w:val="Compact"/>
        <w:numPr>
          <w:ilvl w:val="0"/>
          <w:numId w:val="1002"/>
        </w:numPr>
      </w:pPr>
      <w:r>
        <w:rPr>
          <w:rFonts w:hint="eastAsia"/>
          <w:b/>
          <w:bCs/>
        </w:rPr>
        <w:t xml:space="preserve">海外地缘与社会风险升温（★★★★）</w:t>
      </w:r>
      <w:r>
        <w:rPr>
          <w:rFonts w:hint="eastAsia"/>
        </w:rPr>
        <w:t xml:space="preserve">：胡塞武装称打击沙特石油和航空设施，美国尚未批准向乌转让“爱国者”拦截弹，法国多地宵禁，西班牙洪灾，可能提高能源、航运、航空、海外经营和避险资产波动。</w:t>
      </w:r>
    </w:p>
    <w:bookmarkEnd w:id="10"/>
    <w:bookmarkStart w:id="20" w:name="三逐条a股影响分析"/>
    <w:p>
      <w:pPr>
        <w:pStyle w:val="Heading2"/>
      </w:pPr>
      <w:r>
        <w:rPr>
          <w:rFonts w:hint="eastAsia"/>
        </w:rPr>
        <w:t xml:space="preserve">三、逐条A股影响分析</w:t>
      </w:r>
    </w:p>
    <w:bookmarkStart w:id="11" w:name="中央社会主义学院建院70周年统一战线人才培养与政治培训是核心产业催化有限"/>
    <w:p>
      <w:pPr>
        <w:pStyle w:val="Heading3"/>
      </w:pPr>
      <w:r>
        <w:t xml:space="preserve">1. </w:t>
      </w:r>
      <w:r>
        <w:rPr>
          <w:rFonts w:hint="eastAsia"/>
        </w:rPr>
        <w:t xml:space="preserve">中央社会主义学院建院70周年：统一战线人才培养与政治培训是核心，产业催化有限</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A股影响：总体中性</w:t>
      </w:r>
    </w:p>
    <w:p>
      <w:pPr>
        <w:pStyle w:val="Compact"/>
        <w:numPr>
          <w:ilvl w:val="0"/>
          <w:numId w:val="1003"/>
        </w:numPr>
      </w:pPr>
      <w:r>
        <w:rPr>
          <w:rFonts w:hint="eastAsia"/>
          <w:b/>
          <w:bCs/>
        </w:rPr>
        <w:t xml:space="preserve">影响时效：长期制度建设</w:t>
      </w:r>
    </w:p>
    <w:p>
      <w:pPr>
        <w:pStyle w:val="Compact"/>
        <w:numPr>
          <w:ilvl w:val="0"/>
          <w:numId w:val="1003"/>
        </w:numPr>
      </w:pPr>
      <w:r>
        <w:rPr>
          <w:rFonts w:hint="eastAsia"/>
          <w:b/>
          <w:bCs/>
        </w:rPr>
        <w:t xml:space="preserve">关联方向：</w:t>
      </w:r>
      <w:r>
        <w:t xml:space="preserve"> </w:t>
      </w:r>
      <w:r>
        <w:rPr>
          <w:rFonts w:hint="eastAsia"/>
        </w:rPr>
        <w:t xml:space="preserve">政务教育培训、数字教学与理论研究服务仅有弱映射，不构成明确行业订单线索。</w:t>
      </w:r>
    </w:p>
    <w:p>
      <w:pPr>
        <w:pStyle w:val="FirstParagraph"/>
      </w:pPr>
      <w:r>
        <w:rPr>
          <w:rFonts w:hint="eastAsia"/>
          <w:b/>
          <w:bCs/>
        </w:rPr>
        <w:t xml:space="preserve">原文事实：</w:t>
      </w:r>
      <w:r>
        <w:t xml:space="preserve"> </w:t>
      </w:r>
      <w:r>
        <w:rPr>
          <w:rFonts w:hint="eastAsia"/>
        </w:rPr>
        <w:t xml:space="preserve">习近平致信祝贺中央社会主义学院建院70周年，肯定其70年来培养党外代表人士、服务爱国统一战线的作用，并要求把握正确办学方向，持续加强政治培训、广泛凝聚政治共识，提高教学科研和治院水平，在统一战线人才培养、理论研究和方针政策宣传等方面发挥作用。庆祝大会10月20日在北京举行，王沪宁出席并讲话，要求做强政治共识教育主责主业、提升办学质量并全面从严治院。李干杰主持，武维华、丁仲礼致辞，相关部门、各地社会主义学院及学员教职工代表参加。</w:t>
      </w:r>
    </w:p>
    <w:p>
      <w:pPr>
        <w:pStyle w:val="BodyText"/>
      </w:pPr>
      <w:r>
        <w:rPr>
          <w:rFonts w:hint="eastAsia"/>
          <w:b/>
          <w:bCs/>
        </w:rPr>
        <w:t xml:space="preserve">通俗解读：</w:t>
      </w:r>
      <w:r>
        <w:t xml:space="preserve"> </w:t>
      </w:r>
      <w:r>
        <w:rPr>
          <w:rFonts w:hint="eastAsia"/>
        </w:rPr>
        <w:t xml:space="preserve">这是一项统一战线和政治教育领域的制度建设安排，核心是人才培养、政治共识、教学科研与从严治院，而非经济刺激政策。</w:t>
      </w:r>
    </w:p>
    <w:p>
      <w:pPr>
        <w:pStyle w:val="BodyText"/>
      </w:pPr>
      <w:r>
        <w:rPr>
          <w:rFonts w:hint="eastAsia"/>
          <w:b/>
          <w:bCs/>
        </w:rPr>
        <w:t xml:space="preserve">产业解读：</w:t>
      </w:r>
      <w:r>
        <w:t xml:space="preserve"> </w:t>
      </w:r>
      <w:r>
        <w:rPr>
          <w:rFonts w:hint="eastAsia"/>
        </w:rPr>
        <w:t xml:space="preserve">对A股缺乏直接可量化催化。即使后续存在培训信息化、数字课程或科研服务需求，也需以公开预算和采购为证；不能仅凭“教学科研”表述推导教育科技订单。</w:t>
      </w:r>
    </w:p>
    <w:bookmarkEnd w:id="11"/>
    <w:bookmarkStart w:id="12" w:name="央视快评强化前述政治培训与凝聚共识信号"/>
    <w:p>
      <w:pPr>
        <w:pStyle w:val="Heading3"/>
      </w:pPr>
      <w:r>
        <w:t xml:space="preserve">2. </w:t>
      </w:r>
      <w:r>
        <w:rPr>
          <w:rFonts w:hint="eastAsia"/>
        </w:rPr>
        <w:t xml:space="preserve">央视快评：强化前述政治培训与凝聚共识信号</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A股影响：中性</w:t>
      </w:r>
    </w:p>
    <w:p>
      <w:pPr>
        <w:pStyle w:val="Compact"/>
        <w:numPr>
          <w:ilvl w:val="0"/>
          <w:numId w:val="1004"/>
        </w:numPr>
      </w:pPr>
      <w:r>
        <w:rPr>
          <w:rFonts w:hint="eastAsia"/>
          <w:b/>
          <w:bCs/>
        </w:rPr>
        <w:t xml:space="preserve">影响时效：长期</w:t>
      </w:r>
    </w:p>
    <w:p>
      <w:pPr>
        <w:pStyle w:val="FirstParagraph"/>
      </w:pPr>
      <w:r>
        <w:rPr>
          <w:rFonts w:hint="eastAsia"/>
          <w:b/>
          <w:bCs/>
        </w:rPr>
        <w:t xml:space="preserve">原文事实：</w:t>
      </w:r>
      <w:r>
        <w:t xml:space="preserve"> </w:t>
      </w:r>
      <w:r>
        <w:rPr>
          <w:rFonts w:hint="eastAsia"/>
        </w:rPr>
        <w:t xml:space="preserve">新闻联播播发央视快评《持续加强政治培训</w:t>
      </w:r>
      <w:r>
        <w:t xml:space="preserve"> </w:t>
      </w:r>
      <w:r>
        <w:rPr>
          <w:rFonts w:hint="eastAsia"/>
        </w:rPr>
        <w:t xml:space="preserve">广泛凝聚政治共识》。底稿仅给出播发信息，没有附加政策、资金、项目或产业措施。</w:t>
      </w:r>
    </w:p>
    <w:p>
      <w:pPr>
        <w:pStyle w:val="BodyText"/>
      </w:pPr>
      <w:r>
        <w:rPr>
          <w:rFonts w:hint="eastAsia"/>
          <w:b/>
          <w:bCs/>
        </w:rPr>
        <w:t xml:space="preserve">通俗解读与产业边界：</w:t>
      </w:r>
      <w:r>
        <w:t xml:space="preserve"> </w:t>
      </w:r>
      <w:r>
        <w:rPr>
          <w:rFonts w:hint="eastAsia"/>
        </w:rPr>
        <w:t xml:space="preserve">快评说明第一条新闻的政治主题受到进一步强调，但不能与上一条重复累计为经济或产业利好。由于原文没有更多正文，本文不补写快评内容，也不据此扩展投资方向。</w:t>
      </w:r>
    </w:p>
    <w:bookmarkEnd w:id="12"/>
    <w:bookmarkStart w:id="13" w:name="赓续长征精神打好建军百年目标攻坚战国防信息化与高端装备维持长期战略权重"/>
    <w:p>
      <w:pPr>
        <w:pStyle w:val="Heading3"/>
      </w:pPr>
      <w:r>
        <w:t xml:space="preserve">3. </w:t>
      </w:r>
      <w:r>
        <w:rPr>
          <w:rFonts w:hint="eastAsia"/>
        </w:rPr>
        <w:t xml:space="preserve">赓续长征精神、打好建军百年目标攻坚战：国防信息化与高端装备维持长期战略权重</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A股影响：国防军工长期偏利好，短期直接订单催化有限</w:t>
      </w:r>
    </w:p>
    <w:p>
      <w:pPr>
        <w:pStyle w:val="Compact"/>
        <w:numPr>
          <w:ilvl w:val="0"/>
          <w:numId w:val="1005"/>
        </w:numPr>
      </w:pPr>
      <w:r>
        <w:rPr>
          <w:rFonts w:hint="eastAsia"/>
          <w:b/>
          <w:bCs/>
        </w:rPr>
        <w:t xml:space="preserve">影响时效：中长期；重大演训和采购节点可形成阶段性关注</w:t>
      </w:r>
    </w:p>
    <w:p>
      <w:pPr>
        <w:pStyle w:val="Compact"/>
        <w:numPr>
          <w:ilvl w:val="0"/>
          <w:numId w:val="1005"/>
        </w:numPr>
      </w:pPr>
      <w:r>
        <w:rPr>
          <w:rFonts w:hint="eastAsia"/>
          <w:b/>
          <w:bCs/>
        </w:rPr>
        <w:t xml:space="preserve">条件性受益映射：</w:t>
      </w:r>
      <w:r>
        <w:t xml:space="preserve"> </w:t>
      </w:r>
      <w:r>
        <w:rPr>
          <w:rFonts w:hint="eastAsia"/>
        </w:rPr>
        <w:t xml:space="preserve">军工电子、信息化作战系统、航空航天装备、舰船装备、导弹产业链、实战化训练保障。</w:t>
      </w:r>
    </w:p>
    <w:p>
      <w:pPr>
        <w:pStyle w:val="FirstParagraph"/>
      </w:pPr>
      <w:r>
        <w:rPr>
          <w:rFonts w:hint="eastAsia"/>
          <w:b/>
          <w:bCs/>
        </w:rPr>
        <w:t xml:space="preserve">原文事实：</w:t>
      </w:r>
      <w:r>
        <w:t xml:space="preserve"> </w:t>
      </w:r>
      <w:r>
        <w:rPr>
          <w:rFonts w:hint="eastAsia"/>
        </w:rPr>
        <w:t xml:space="preserve">报道围绕弘扬长征精神和实现建军一百年奋斗目标展开，强调政治引领、练兵备战、实战化军事训练和提升打赢信息化战争能力。报道以“半截皮带”、强渡大渡河和“半条被子”等历史故事说明信仰、血性和军民关系；列举首艘万吨级驱逐舰南昌舰、运-20执行任务以及火箭军部队建设导弹阵地；提到海空舰机应对挑衅、东部战区接续开展联合演习。报道还回顾红军跨越近百条江河、攀越40余座高山险峰、进行600余次战役战斗，并列举抗疫、脱贫、抗震、抗洪和支援地方等任务。</w:t>
      </w:r>
    </w:p>
    <w:p>
      <w:pPr>
        <w:pStyle w:val="BodyText"/>
      </w:pPr>
      <w:r>
        <w:rPr>
          <w:rFonts w:hint="eastAsia"/>
          <w:b/>
          <w:bCs/>
        </w:rPr>
        <w:t xml:space="preserve">通俗解读：</w:t>
      </w:r>
      <w:r>
        <w:t xml:space="preserve"> </w:t>
      </w:r>
      <w:r>
        <w:rPr>
          <w:rFonts w:hint="eastAsia"/>
        </w:rPr>
        <w:t xml:space="preserve">核心不是纪念活动本身，而是把政治忠诚、实战训练、信息化能力和如期完成建军百年目标放在同一叙事中，说明国防现代化仍处于攻坚阶段。</w:t>
      </w:r>
    </w:p>
    <w:p>
      <w:pPr>
        <w:pStyle w:val="BodyText"/>
      </w:pPr>
      <w:r>
        <w:rPr>
          <w:rFonts w:hint="eastAsia"/>
          <w:b/>
          <w:bCs/>
        </w:rPr>
        <w:t xml:space="preserve">产业解读：</w:t>
      </w:r>
      <w:r>
        <w:t xml:space="preserve"> </w:t>
      </w:r>
      <w:r>
        <w:rPr>
          <w:rFonts w:hint="eastAsia"/>
        </w:rPr>
        <w:t xml:space="preserve">万吨级驱逐舰、运-20和导弹阵地体现海、空、火箭军装备体系，但都是报道中的能力案例，不等于10月20日新增订单。A股映射应等待军费结构、型号进展、采购合同、交付节奏和应收回款验证；军工主题若仅靠情绪升温而无基本面兑现，波动风险较高。</w:t>
      </w:r>
    </w:p>
    <w:bookmarkEnd w:id="13"/>
    <w:bookmarkStart w:id="14" w:name="上合组织成员国政府首脑会议运输通道产供链韧性和多领域合作是经济抓手"/>
    <w:p>
      <w:pPr>
        <w:pStyle w:val="Heading3"/>
      </w:pPr>
      <w:r>
        <w:t xml:space="preserve">4. </w:t>
      </w:r>
      <w:r>
        <w:rPr>
          <w:rFonts w:hint="eastAsia"/>
        </w:rPr>
        <w:t xml:space="preserve">上合组织成员国政府首脑会议：运输通道、产供链韧性和多领域合作是经济抓手</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A股影响：跨境基建、物流与供应链服务中长期偏利好</w:t>
      </w:r>
    </w:p>
    <w:p>
      <w:pPr>
        <w:pStyle w:val="Compact"/>
        <w:numPr>
          <w:ilvl w:val="0"/>
          <w:numId w:val="1006"/>
        </w:numPr>
      </w:pPr>
      <w:r>
        <w:rPr>
          <w:rFonts w:hint="eastAsia"/>
          <w:b/>
          <w:bCs/>
        </w:rPr>
        <w:t xml:space="preserve">影响时效：中长期</w:t>
      </w:r>
    </w:p>
    <w:p>
      <w:pPr>
        <w:pStyle w:val="Compact"/>
        <w:numPr>
          <w:ilvl w:val="0"/>
          <w:numId w:val="1006"/>
        </w:numPr>
      </w:pPr>
      <w:r>
        <w:rPr>
          <w:rFonts w:hint="eastAsia"/>
          <w:b/>
          <w:bCs/>
        </w:rPr>
        <w:t xml:space="preserve">条件性受益映射：</w:t>
      </w:r>
      <w:r>
        <w:t xml:space="preserve"> </w:t>
      </w:r>
      <w:r>
        <w:rPr>
          <w:rFonts w:hint="eastAsia"/>
        </w:rPr>
        <w:t xml:space="preserve">国际工程、铁路公路与口岸设施、跨境物流、供应链服务、区域贸易和人文交流。</w:t>
      </w:r>
    </w:p>
    <w:p>
      <w:pPr>
        <w:pStyle w:val="FirstParagraph"/>
      </w:pPr>
      <w:r>
        <w:rPr>
          <w:rFonts w:hint="eastAsia"/>
          <w:b/>
          <w:bCs/>
        </w:rPr>
        <w:t xml:space="preserve">原文事实：</w:t>
      </w:r>
      <w:r>
        <w:t xml:space="preserve"> </w:t>
      </w:r>
      <w:r>
        <w:rPr>
          <w:rFonts w:hint="eastAsia"/>
        </w:rPr>
        <w:t xml:space="preserve">李强在塔吉克斯坦杜尚别出席上海合作组织成员国政府首脑理事会第二十五次会议。中方提出，上合组织成立25周年之际，应提升组织运行效能、做实做强合作项目，践行四大全球倡议；在禀赋差异中加强经贸合作，打造稳定有韧性的国际运输通道体系，维护全球产供链稳定畅通；同时维护和平稳定、促进文化和合共生。与会各方表示将落实天津峰会和比什凯克峰会成果。各方签署并发表联合公报，批准各领域合作文件和组织建设相关决议。</w:t>
      </w:r>
    </w:p>
    <w:p>
      <w:pPr>
        <w:pStyle w:val="BodyText"/>
      </w:pPr>
      <w:r>
        <w:rPr>
          <w:rFonts w:hint="eastAsia"/>
          <w:b/>
          <w:bCs/>
        </w:rPr>
        <w:t xml:space="preserve">通俗解读：</w:t>
      </w:r>
      <w:r>
        <w:t xml:space="preserve"> </w:t>
      </w:r>
      <w:r>
        <w:rPr>
          <w:rFonts w:hint="eastAsia"/>
        </w:rPr>
        <w:t xml:space="preserve">会议从原则性合作进一步落到“运输通道、供应链和合作项目”，但底稿没有公布项目清单、金额、线路或企业参与方。</w:t>
      </w:r>
    </w:p>
    <w:p>
      <w:pPr>
        <w:pStyle w:val="BodyText"/>
      </w:pPr>
      <w:r>
        <w:rPr>
          <w:rFonts w:hint="eastAsia"/>
          <w:b/>
          <w:bCs/>
        </w:rPr>
        <w:t xml:space="preserve">产业解读：</w:t>
      </w:r>
      <w:r>
        <w:t xml:space="preserve"> </w:t>
      </w:r>
      <w:r>
        <w:rPr>
          <w:rFonts w:hint="eastAsia"/>
        </w:rPr>
        <w:t xml:space="preserve">对跨境交通、口岸、物流和国际工程形成方向性支持。只有后续出现融资安排、招标、合同和开工，才能从外交与组织层面的预期升级为业绩线索。联合公报和合作文件的具体内容未在底稿展开，不应自行补写。</w:t>
      </w:r>
    </w:p>
    <w:bookmarkEnd w:id="14"/>
    <w:bookmarkStart w:id="15" w:name="李强会见伊朗第一副总统合作预期与中东和平主张并行"/>
    <w:p>
      <w:pPr>
        <w:pStyle w:val="Heading3"/>
      </w:pPr>
      <w:r>
        <w:t xml:space="preserve">5. </w:t>
      </w:r>
      <w:r>
        <w:rPr>
          <w:rFonts w:hint="eastAsia"/>
        </w:rPr>
        <w:t xml:space="preserve">李强会见伊朗第一副总统：合作预期与中东和平主张并行</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A股影响：中伊合作预期偏正面，中东风险仍构成约束</w:t>
      </w:r>
    </w:p>
    <w:p>
      <w:pPr>
        <w:pStyle w:val="Compact"/>
        <w:numPr>
          <w:ilvl w:val="0"/>
          <w:numId w:val="1007"/>
        </w:numPr>
      </w:pPr>
      <w:r>
        <w:rPr>
          <w:rFonts w:hint="eastAsia"/>
          <w:b/>
          <w:bCs/>
        </w:rPr>
        <w:t xml:space="preserve">影响时效：中长期外交关系；地缘风险为短期变量</w:t>
      </w:r>
    </w:p>
    <w:p>
      <w:pPr>
        <w:pStyle w:val="Compact"/>
        <w:numPr>
          <w:ilvl w:val="0"/>
          <w:numId w:val="1007"/>
        </w:numPr>
      </w:pPr>
      <w:r>
        <w:rPr>
          <w:rFonts w:hint="eastAsia"/>
          <w:b/>
          <w:bCs/>
        </w:rPr>
        <w:t xml:space="preserve">关联方向：</w:t>
      </w:r>
      <w:r>
        <w:t xml:space="preserve"> </w:t>
      </w:r>
      <w:r>
        <w:rPr>
          <w:rFonts w:hint="eastAsia"/>
        </w:rPr>
        <w:t xml:space="preserve">对伊贸易、跨境物流、能源与工程服务仅作条件性观察。</w:t>
      </w:r>
    </w:p>
    <w:p>
      <w:pPr>
        <w:pStyle w:val="FirstParagraph"/>
      </w:pPr>
      <w:r>
        <w:rPr>
          <w:rFonts w:hint="eastAsia"/>
          <w:b/>
          <w:bCs/>
        </w:rPr>
        <w:t xml:space="preserve">原文事实：</w:t>
      </w:r>
      <w:r>
        <w:t xml:space="preserve"> </w:t>
      </w:r>
      <w:r>
        <w:rPr>
          <w:rFonts w:hint="eastAsia"/>
        </w:rPr>
        <w:t xml:space="preserve">李强10月19日在杜尚别会见伊朗第一副总统阿雷夫。中方表示，今年以来中东局势动荡不安，将继续劝和促谈；中伊建交55年来关系保持平稳健康发展，愿推动各领域交流合作取得新进展。伊方表示愿加强各领域合作，支持中方关于促进中东和平安全的倡议，愿通过对话化解分歧、尽早恢复地区和平。</w:t>
      </w:r>
    </w:p>
    <w:p>
      <w:pPr>
        <w:pStyle w:val="BodyText"/>
      </w:pPr>
      <w:r>
        <w:rPr>
          <w:rFonts w:hint="eastAsia"/>
          <w:b/>
          <w:bCs/>
        </w:rPr>
        <w:t xml:space="preserve">产业解读：</w:t>
      </w:r>
      <w:r>
        <w:t xml:space="preserve"> </w:t>
      </w:r>
      <w:r>
        <w:rPr>
          <w:rFonts w:hint="eastAsia"/>
        </w:rPr>
        <w:t xml:space="preserve">“各领域合作”没有进一步拆分，不能直接推导油气、基建或贸易订单。中东局势动荡本身会增加结算、运输、保险和项目回款风险，因此本条应同时看合作机会与风险成本，而不能单边解读为利好。</w:t>
      </w:r>
    </w:p>
    <w:bookmarkEnd w:id="15"/>
    <w:bookmarkStart w:id="16" w:name="李强会见白俄罗斯总理贸易投资与数字经济合作获得高层确认"/>
    <w:p>
      <w:pPr>
        <w:pStyle w:val="Heading3"/>
      </w:pPr>
      <w:r>
        <w:t xml:space="preserve">6. </w:t>
      </w:r>
      <w:r>
        <w:rPr>
          <w:rFonts w:hint="eastAsia"/>
        </w:rPr>
        <w:t xml:space="preserve">李强会见白俄罗斯总理：贸易投资与数字经济合作获得高层确认</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A股影响：中白经贸与数字经济合作预期偏利好</w:t>
      </w:r>
    </w:p>
    <w:p>
      <w:pPr>
        <w:pStyle w:val="Compact"/>
        <w:numPr>
          <w:ilvl w:val="0"/>
          <w:numId w:val="1008"/>
        </w:numPr>
      </w:pPr>
      <w:r>
        <w:rPr>
          <w:rFonts w:hint="eastAsia"/>
          <w:b/>
          <w:bCs/>
        </w:rPr>
        <w:t xml:space="preserve">影响时效：中长期</w:t>
      </w:r>
    </w:p>
    <w:p>
      <w:pPr>
        <w:pStyle w:val="Compact"/>
        <w:numPr>
          <w:ilvl w:val="0"/>
          <w:numId w:val="1008"/>
        </w:numPr>
      </w:pPr>
      <w:r>
        <w:rPr>
          <w:rFonts w:hint="eastAsia"/>
          <w:b/>
          <w:bCs/>
        </w:rPr>
        <w:t xml:space="preserve">条件性受益映射：</w:t>
      </w:r>
      <w:r>
        <w:t xml:space="preserve"> </w:t>
      </w:r>
      <w:r>
        <w:rPr>
          <w:rFonts w:hint="eastAsia"/>
        </w:rPr>
        <w:t xml:space="preserve">对白贸易、跨境物流、数字经济解决方案和人文服务。</w:t>
      </w:r>
    </w:p>
    <w:p>
      <w:pPr>
        <w:pStyle w:val="FirstParagraph"/>
      </w:pPr>
      <w:r>
        <w:rPr>
          <w:rFonts w:hint="eastAsia"/>
          <w:b/>
          <w:bCs/>
        </w:rPr>
        <w:t xml:space="preserve">原文事实：</w:t>
      </w:r>
      <w:r>
        <w:t xml:space="preserve"> </w:t>
      </w:r>
      <w:r>
        <w:rPr>
          <w:rFonts w:hint="eastAsia"/>
        </w:rPr>
        <w:t xml:space="preserve">李强10月19日在杜尚别会见白俄罗斯总理图尔钦。中方表示愿巩固战略互信，深化贸易投资、数字经济和人文等领域合作，并加强地区和国际事务协调。白方希望以明年两国建交35周年为契机深化互利合作。吴政隆参加会见。</w:t>
      </w:r>
    </w:p>
    <w:p>
      <w:pPr>
        <w:pStyle w:val="BodyText"/>
      </w:pPr>
      <w:r>
        <w:rPr>
          <w:rFonts w:hint="eastAsia"/>
          <w:b/>
          <w:bCs/>
        </w:rPr>
        <w:t xml:space="preserve">产业解读：</w:t>
      </w:r>
      <w:r>
        <w:t xml:space="preserve"> </w:t>
      </w:r>
      <w:r>
        <w:rPr>
          <w:rFonts w:hint="eastAsia"/>
        </w:rPr>
        <w:t xml:space="preserve">数字经济是较明确的产业方向，但原文没有项目、金额、实施主体或签约成果。后续需观察双边文件、跨境数据和通信规则、项目采购与回款；建交纪念节点可能提升合作活动密度，但不等于商业合同必然落地。</w:t>
      </w:r>
    </w:p>
    <w:bookmarkEnd w:id="16"/>
    <w:bookmarkStart w:id="17" w:name="国家数据集团有限公司成立当日最强产业政策信号"/>
    <w:p>
      <w:pPr>
        <w:pStyle w:val="Heading3"/>
      </w:pPr>
      <w:r>
        <w:t xml:space="preserve">7. </w:t>
      </w:r>
      <w:r>
        <w:rPr>
          <w:rFonts w:hint="eastAsia"/>
        </w:rPr>
        <w:t xml:space="preserve">国家数据集团有限公司成立：当日最强产业政策信号</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A股影响：数据要素、数据基础设施和AI底座结构性利好</w:t>
      </w:r>
    </w:p>
    <w:p>
      <w:pPr>
        <w:pStyle w:val="Compact"/>
        <w:numPr>
          <w:ilvl w:val="0"/>
          <w:numId w:val="1009"/>
        </w:numPr>
      </w:pPr>
      <w:r>
        <w:rPr>
          <w:rFonts w:hint="eastAsia"/>
          <w:b/>
          <w:bCs/>
        </w:rPr>
        <w:t xml:space="preserve">影响时效：短期政策催化；中长期看资产、机制、采购与盈利模式</w:t>
      </w:r>
    </w:p>
    <w:p>
      <w:pPr>
        <w:pStyle w:val="Compact"/>
        <w:numPr>
          <w:ilvl w:val="0"/>
          <w:numId w:val="1009"/>
        </w:numPr>
      </w:pPr>
      <w:r>
        <w:rPr>
          <w:rFonts w:hint="eastAsia"/>
          <w:b/>
          <w:bCs/>
        </w:rPr>
        <w:t xml:space="preserve">条件性受益映射：</w:t>
      </w:r>
      <w:r>
        <w:t xml:space="preserve"> </w:t>
      </w:r>
      <w:r>
        <w:rPr>
          <w:rFonts w:hint="eastAsia"/>
        </w:rPr>
        <w:t xml:space="preserve">数据资源开发运营、数据交易与治理、算力及存储、云与数据中心、网络和数据安全、数据库与基础软件、行业数据服务、AI基础设施。</w:t>
      </w:r>
    </w:p>
    <w:p>
      <w:pPr>
        <w:pStyle w:val="FirstParagraph"/>
      </w:pPr>
      <w:r>
        <w:rPr>
          <w:rFonts w:hint="eastAsia"/>
          <w:b/>
          <w:bCs/>
        </w:rPr>
        <w:t xml:space="preserve">原文事实：</w:t>
      </w:r>
      <w:r>
        <w:t xml:space="preserve"> </w:t>
      </w:r>
      <w:r>
        <w:rPr>
          <w:rFonts w:hint="eastAsia"/>
        </w:rPr>
        <w:t xml:space="preserve">国家数据集团有限公司成立大会10月20日在河北雄安新区举行，丁薛祥出席并揭牌。原文称，组建国家数据集团是党中央从全局和战略高度作出的重要决策，对把握人工智能发展先机、建设数字中国、构筑国家竞争新优势具有重要意义，目标是打造世界一流数据科技企业。任务包括：统筹发展和安全，深化数据要素服务，加快数据基础设施建设，加强关键核心技术攻关；完善公司治理、聚焦主责主业、建立运营管理机制；有关部门加大支持、地方做好要素保障、企业协同合作。丁薛祥还调研中国卫星网络集团有限公司、北京交通大学雄安校区、北京大学人民医院雄安院区和雄安新区中关村科技园，要求推进北京非首都功能疏解承接和雄安高质量发展。</w:t>
      </w:r>
    </w:p>
    <w:p>
      <w:pPr>
        <w:pStyle w:val="BodyText"/>
      </w:pPr>
      <w:r>
        <w:rPr>
          <w:rFonts w:hint="eastAsia"/>
          <w:b/>
          <w:bCs/>
        </w:rPr>
        <w:t xml:space="preserve">通俗解读：</w:t>
      </w:r>
      <w:r>
        <w:t xml:space="preserve"> </w:t>
      </w:r>
      <w:r>
        <w:rPr>
          <w:rFonts w:hint="eastAsia"/>
        </w:rPr>
        <w:t xml:space="preserve">国家层面新设数据科技央企性质的集团平台，把数据要素、基础设施、核心技术、安全和AI发展集中到一个战略载体上。与一般倡议相比，“公司成立、揭牌、明确主责主业”意味着政策进入组织化运营阶段。</w:t>
      </w:r>
    </w:p>
    <w:p>
      <w:pPr>
        <w:pStyle w:val="BodyText"/>
      </w:pPr>
      <w:r>
        <w:rPr>
          <w:rFonts w:hint="eastAsia"/>
          <w:b/>
          <w:bCs/>
        </w:rPr>
        <w:t xml:space="preserve">产业解读：</w:t>
      </w:r>
      <w:r>
        <w:t xml:space="preserve"> </w:t>
      </w:r>
      <w:r>
        <w:rPr>
          <w:rFonts w:hint="eastAsia"/>
        </w:rPr>
        <w:t xml:space="preserve">这是当日最强A股映射，但需防止把“成立”直接等同于立刻大规模采购或资产注入。直接线索是数据服务、基础设施和关键技术；二阶线索是参与产业协同的软硬件及安全供应商。关键验证点包括集团注册资本、股权与资产来源、业务边界、数据授权运营机制、项目清单、招标采购、收入模式和盈利目标。雄安调研同时涉及卫星互联网、高校、医院和科技园，但原文没有说明这些单位将直接纳入集团或形成采购关系，不应作此推断。</w:t>
      </w:r>
    </w:p>
    <w:bookmarkEnd w:id="17"/>
    <w:bookmarkStart w:id="18" w:name="首次编制文化遗产保护传承五年规划普查监管保护工程与立法协同推进"/>
    <w:p>
      <w:pPr>
        <w:pStyle w:val="Heading3"/>
      </w:pPr>
      <w:r>
        <w:t xml:space="preserve">8. </w:t>
      </w:r>
      <w:r>
        <w:rPr>
          <w:rFonts w:hint="eastAsia"/>
        </w:rPr>
        <w:t xml:space="preserve">首次编制文化遗产保护传承五年规划：普查、监管、保护工程与立法协同推进</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A股影响：文物保护、文博数字化、历史街区改造和非遗服务中期偏利好</w:t>
      </w:r>
    </w:p>
    <w:p>
      <w:pPr>
        <w:pStyle w:val="Compact"/>
        <w:numPr>
          <w:ilvl w:val="0"/>
          <w:numId w:val="1010"/>
        </w:numPr>
      </w:pPr>
      <w:r>
        <w:rPr>
          <w:rFonts w:hint="eastAsia"/>
          <w:b/>
          <w:bCs/>
        </w:rPr>
        <w:t xml:space="preserve">影响时效：“十五五”至2030年</w:t>
      </w:r>
    </w:p>
    <w:p>
      <w:pPr>
        <w:pStyle w:val="Compact"/>
        <w:numPr>
          <w:ilvl w:val="0"/>
          <w:numId w:val="1010"/>
        </w:numPr>
      </w:pPr>
      <w:r>
        <w:rPr>
          <w:rFonts w:hint="eastAsia"/>
          <w:b/>
          <w:bCs/>
        </w:rPr>
        <w:t xml:space="preserve">条件性受益映射：</w:t>
      </w:r>
      <w:r>
        <w:t xml:space="preserve"> </w:t>
      </w:r>
      <w:r>
        <w:rPr>
          <w:rFonts w:hint="eastAsia"/>
        </w:rPr>
        <w:t xml:space="preserve">文物普查与测绘、文博数字化、古建保护修缮、检测监测、博物馆管理系统、历史名城街区保护、非遗记录与展示。</w:t>
      </w:r>
    </w:p>
    <w:p>
      <w:pPr>
        <w:pStyle w:val="FirstParagraph"/>
      </w:pPr>
      <w:r>
        <w:rPr>
          <w:rFonts w:hint="eastAsia"/>
          <w:b/>
          <w:bCs/>
        </w:rPr>
        <w:t xml:space="preserve">原文事实：</w:t>
      </w:r>
      <w:r>
        <w:t xml:space="preserve"> </w:t>
      </w:r>
      <w:r>
        <w:rPr>
          <w:rFonts w:hint="eastAsia"/>
        </w:rPr>
        <w:t xml:space="preserve">国新办介绍《文化遗产保护传承“十五五”规划》。这是我国首次编制该领域五年规划，坚持保护第一、合理利用、最小干预，推动系统性保护和统一监管。到2030年的目标包括全面摸清资源、基本理顺监管体制、健全法规制度、壮大人才队伍、强化保护督察并基本形成大保护格局。国家文物局将使用第四次全国文物普查成果，提升不可移动文物保护、推进考古和文明历史研究，开展第二次全国可移动文物普查并加强博物馆管理。住房城乡建设部将实施历史文化名城、街区、村镇保护提升工程，强调整体保护、活态传承和居民主体机制。文化和旅游部将开展第二次全国非物质文化遗产普查、加强分类保护和文化生态整体保护。有关部门还将推进文化遗产保护法立法和保护督察。</w:t>
      </w:r>
    </w:p>
    <w:p>
      <w:pPr>
        <w:pStyle w:val="BodyText"/>
      </w:pPr>
      <w:r>
        <w:rPr>
          <w:rFonts w:hint="eastAsia"/>
          <w:b/>
          <w:bCs/>
        </w:rPr>
        <w:t xml:space="preserve">产业解读：</w:t>
      </w:r>
      <w:r>
        <w:t xml:space="preserve"> </w:t>
      </w:r>
      <w:r>
        <w:rPr>
          <w:rFonts w:hint="eastAsia"/>
        </w:rPr>
        <w:t xml:space="preserve">“首次五年规划+两类普查+保护提升工程+立法督察”提供了较完整的中期政策链条。测绘建档、数字化、修缮、监测和博物馆管理可能获得项目需求，但“保护第一、最小干预”意味着不能简单按文旅开发逻辑扩张；商业化强度受保护红线、财政预算和项目审批约束。后续应看规划任务分解、中央与地方预算、普查采购、工程招标和验收。</w:t>
      </w:r>
    </w:p>
    <w:bookmarkEnd w:id="18"/>
    <w:bookmarkStart w:id="19" w:name="前三季度规上工业增加值增长5.3高技术制造与通信明显快于工业总盘"/>
    <w:p>
      <w:pPr>
        <w:pStyle w:val="Heading3"/>
      </w:pPr>
      <w:r>
        <w:t xml:space="preserve">9. </w:t>
      </w:r>
      <w:r>
        <w:rPr>
          <w:rFonts w:hint="eastAsia"/>
        </w:rPr>
        <w:t xml:space="preserve">前三季度规上工业增加值增长5.3%：高技术制造与通信明显快于工业总盘</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A股影响：先进制造、工业自动化、通信与6G中期偏利好</w:t>
      </w:r>
    </w:p>
    <w:p>
      <w:pPr>
        <w:pStyle w:val="Compact"/>
        <w:numPr>
          <w:ilvl w:val="0"/>
          <w:numId w:val="1011"/>
        </w:numPr>
      </w:pPr>
      <w:r>
        <w:rPr>
          <w:rFonts w:hint="eastAsia"/>
          <w:b/>
          <w:bCs/>
        </w:rPr>
        <w:t xml:space="preserve">影响时效：短期影响景气预期；中期看订单和利润延续</w:t>
      </w:r>
    </w:p>
    <w:p>
      <w:pPr>
        <w:pStyle w:val="Compact"/>
        <w:numPr>
          <w:ilvl w:val="0"/>
          <w:numId w:val="1011"/>
        </w:numPr>
      </w:pPr>
      <w:r>
        <w:rPr>
          <w:rFonts w:hint="eastAsia"/>
          <w:b/>
          <w:bCs/>
        </w:rPr>
        <w:t xml:space="preserve">条件性受益映射：</w:t>
      </w:r>
      <w:r>
        <w:t xml:space="preserve"> </w:t>
      </w:r>
      <w:r>
        <w:rPr>
          <w:rFonts w:hint="eastAsia"/>
        </w:rPr>
        <w:t xml:space="preserve">高端装备、智能制造、工业软件与自动化、设备更新、通信设备、算力网络和6G研发工具链。</w:t>
      </w:r>
    </w:p>
    <w:p>
      <w:pPr>
        <w:pStyle w:val="FirstParagraph"/>
      </w:pPr>
      <w:r>
        <w:rPr>
          <w:rFonts w:hint="eastAsia"/>
          <w:b/>
          <w:bCs/>
        </w:rPr>
        <w:t xml:space="preserve">原文事实：</w:t>
      </w:r>
      <w:r>
        <w:t xml:space="preserve"> </w:t>
      </w:r>
      <w:r>
        <w:rPr>
          <w:rFonts w:hint="eastAsia"/>
        </w:rPr>
        <w:t xml:space="preserve">前三季度规模以上工业增加值同比增长5.3%，工业对经济增长贡献率保持在35%左右；前8个月规上工业企业利润总额同比增长15.7%。在重大技术改造和大规模设备更新推动下，前三季度规上高技术制造业增加值同比增长14.3%。报道提出以新一代智能制造为主攻方向。前三季度电信业务总量同比增长7.3%，1—8月互联网业务收入同比增长8.9%；通信基础设施能力增强，6G等关键技术研发实现突破。</w:t>
      </w:r>
    </w:p>
    <w:p>
      <w:pPr>
        <w:pStyle w:val="BodyText"/>
      </w:pPr>
      <w:r>
        <w:rPr>
          <w:rFonts w:hint="eastAsia"/>
          <w:b/>
          <w:bCs/>
        </w:rPr>
        <w:t xml:space="preserve">产业解读：</w:t>
      </w:r>
      <w:r>
        <w:t xml:space="preserve"> </w:t>
      </w:r>
      <w:r>
        <w:rPr>
          <w:rFonts w:hint="eastAsia"/>
        </w:rPr>
        <w:t xml:space="preserve">高技术制造增速显著高于规上工业总盘，叠加企业利润、设备更新和通信数据，支持先进制造与通信产业链的结构性景气判断。但底稿没有行业分项、市场预期、环比、企业订单和利润率，不能判断“超预期”，也不能将增加值和业务总量直接等同于上市公司利润。6G“实现突破”未说明技术名称、成熟度或商业化时间，当前更适合作为研发投入和标准演进线索。</w:t>
      </w:r>
    </w:p>
    <w:bookmarkEnd w:id="19"/>
    <w:bookmarkEnd w:id="20"/>
    <w:bookmarkStart w:id="27" w:name="四国内联播快讯逐项分析"/>
    <w:p>
      <w:pPr>
        <w:pStyle w:val="Heading2"/>
      </w:pPr>
      <w:r>
        <w:rPr>
          <w:rFonts w:hint="eastAsia"/>
        </w:rPr>
        <w:t xml:space="preserve">四、国内联播快讯逐项分析</w:t>
      </w:r>
    </w:p>
    <w:bookmarkStart w:id="21" w:name="第140届广交会首期境外采购商创新高机器人智能制造和新能源新品增加"/>
    <w:p>
      <w:pPr>
        <w:pStyle w:val="Heading3"/>
      </w:pPr>
      <w:r>
        <w:t xml:space="preserve">10.1 </w:t>
      </w:r>
      <w:r>
        <w:rPr>
          <w:rFonts w:hint="eastAsia"/>
        </w:rPr>
        <w:t xml:space="preserve">第140届广交会首期：境外采购商创新高，机器人、智能制造和新能源新品增加</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A股影响：先进制造出海预期偏利好</w:t>
      </w:r>
    </w:p>
    <w:p>
      <w:pPr>
        <w:pStyle w:val="Compact"/>
        <w:numPr>
          <w:ilvl w:val="0"/>
          <w:numId w:val="1012"/>
        </w:numPr>
      </w:pPr>
      <w:r>
        <w:rPr>
          <w:rFonts w:hint="eastAsia"/>
          <w:b/>
          <w:bCs/>
        </w:rPr>
        <w:t xml:space="preserve">关联方向：</w:t>
      </w:r>
      <w:r>
        <w:t xml:space="preserve"> </w:t>
      </w:r>
      <w:r>
        <w:rPr>
          <w:rFonts w:hint="eastAsia"/>
        </w:rPr>
        <w:t xml:space="preserve">服务机器人、智能制造装备、新能源设备、跨境贸易与会展服务。</w:t>
      </w:r>
    </w:p>
    <w:p>
      <w:pPr>
        <w:pStyle w:val="FirstParagraph"/>
      </w:pPr>
      <w:r>
        <w:rPr>
          <w:rFonts w:hint="eastAsia"/>
          <w:b/>
          <w:bCs/>
        </w:rPr>
        <w:t xml:space="preserve">原文事实：</w:t>
      </w:r>
      <w:r>
        <w:t xml:space="preserve"> </w:t>
      </w:r>
      <w:r>
        <w:rPr>
          <w:rFonts w:hint="eastAsia"/>
        </w:rPr>
        <w:t xml:space="preserve">广交会首期10月19日闭展，来自214个国家和地区的18.9万名境外采购商到会，比上一届增长13.3%，人数创历史新高；期间举办335场新品首发活动，服务机器人、智能制造、新能源等首发新品数量增长约20%。</w:t>
      </w:r>
    </w:p>
    <w:p>
      <w:pPr>
        <w:pStyle w:val="BodyText"/>
      </w:pPr>
      <w:r>
        <w:rPr>
          <w:rFonts w:hint="eastAsia"/>
          <w:b/>
          <w:bCs/>
        </w:rPr>
        <w:t xml:space="preserve">产业解读：</w:t>
      </w:r>
      <w:r>
        <w:t xml:space="preserve"> </w:t>
      </w:r>
      <w:r>
        <w:rPr>
          <w:rFonts w:hint="eastAsia"/>
        </w:rPr>
        <w:t xml:space="preserve">采购商人数和新品活动显示国际关注度与供给创新，但底稿未披露成交额、订单转化、产品价格或利润率。服务机器人、智能制造和新能源只能作为出口景气观察方向，不能把展会客流和新品数量直接计为收入。</w:t>
      </w:r>
    </w:p>
    <w:bookmarkEnd w:id="21"/>
    <w:bookmarkStart w:id="22" w:name="南水北调东线启动新年度全线调水水利运营与泵站维护需求延续"/>
    <w:p>
      <w:pPr>
        <w:pStyle w:val="Heading3"/>
      </w:pPr>
      <w:r>
        <w:t xml:space="preserve">10.2 </w:t>
      </w:r>
      <w:r>
        <w:rPr>
          <w:rFonts w:hint="eastAsia"/>
        </w:rPr>
        <w:t xml:space="preserve">南水北调东线启动新年度全线调水：水利运营与泵站维护需求延续</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A股影响：水务、水利设备和运维方向温和偏利好</w:t>
      </w:r>
    </w:p>
    <w:p>
      <w:pPr>
        <w:pStyle w:val="Compact"/>
        <w:numPr>
          <w:ilvl w:val="0"/>
          <w:numId w:val="1013"/>
        </w:numPr>
      </w:pPr>
      <w:r>
        <w:rPr>
          <w:rFonts w:hint="eastAsia"/>
          <w:b/>
          <w:bCs/>
        </w:rPr>
        <w:t xml:space="preserve">关联方向：</w:t>
      </w:r>
      <w:r>
        <w:t xml:space="preserve"> </w:t>
      </w:r>
      <w:r>
        <w:rPr>
          <w:rFonts w:hint="eastAsia"/>
        </w:rPr>
        <w:t xml:space="preserve">调水工程运营、泵站与电气设备、水质监测、管网维护。</w:t>
      </w:r>
    </w:p>
    <w:p>
      <w:pPr>
        <w:pStyle w:val="FirstParagraph"/>
      </w:pPr>
      <w:r>
        <w:rPr>
          <w:rFonts w:hint="eastAsia"/>
          <w:b/>
          <w:bCs/>
        </w:rPr>
        <w:t xml:space="preserve">原文事实：</w:t>
      </w:r>
      <w:r>
        <w:t xml:space="preserve"> </w:t>
      </w:r>
      <w:r>
        <w:rPr>
          <w:rFonts w:hint="eastAsia"/>
        </w:rPr>
        <w:t xml:space="preserve">南水北调东线10月20日启动2026—2027年度全线调水。东线正式通水以来已完成13个年度调水任务，累计抽引长江水量超过530亿立方米，沿线受益人口超过8500万人。</w:t>
      </w:r>
    </w:p>
    <w:p>
      <w:pPr>
        <w:pStyle w:val="BodyText"/>
      </w:pPr>
      <w:r>
        <w:rPr>
          <w:rFonts w:hint="eastAsia"/>
          <w:b/>
          <w:bCs/>
        </w:rPr>
        <w:t xml:space="preserve">产业解读：</w:t>
      </w:r>
      <w:r>
        <w:t xml:space="preserve"> </w:t>
      </w:r>
      <w:r>
        <w:rPr>
          <w:rFonts w:hint="eastAsia"/>
        </w:rPr>
        <w:t xml:space="preserve">新年度调水首先是既有重大工程的运营安排，不是新建工程立项。对设备检修、水质监测和运营服务存在持续需求，但新增订单、调水量和年度预算未披露，短期弹性有限。</w:t>
      </w:r>
    </w:p>
    <w:bookmarkEnd w:id="22"/>
    <w:bookmarkStart w:id="23" w:name="三季度出入境1.92亿人次跨境客流延续增长"/>
    <w:p>
      <w:pPr>
        <w:pStyle w:val="Heading3"/>
      </w:pPr>
      <w:r>
        <w:t xml:space="preserve">10.3 </w:t>
      </w:r>
      <w:r>
        <w:rPr>
          <w:rFonts w:hint="eastAsia"/>
        </w:rPr>
        <w:t xml:space="preserve">三季度出入境1.92亿人次：跨境客流延续增长</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A股影响：航空机场、旅游与免税消费预期温和偏利好</w:t>
      </w:r>
    </w:p>
    <w:p>
      <w:pPr>
        <w:pStyle w:val="Compact"/>
        <w:numPr>
          <w:ilvl w:val="0"/>
          <w:numId w:val="1014"/>
        </w:numPr>
      </w:pPr>
      <w:r>
        <w:rPr>
          <w:rFonts w:hint="eastAsia"/>
          <w:b/>
          <w:bCs/>
        </w:rPr>
        <w:t xml:space="preserve">关联方向：</w:t>
      </w:r>
      <w:r>
        <w:t xml:space="preserve"> </w:t>
      </w:r>
      <w:r>
        <w:rPr>
          <w:rFonts w:hint="eastAsia"/>
        </w:rPr>
        <w:t xml:space="preserve">航空、机场、出入境旅游、酒店、支付与口岸服务。</w:t>
      </w:r>
    </w:p>
    <w:p>
      <w:pPr>
        <w:pStyle w:val="FirstParagraph"/>
      </w:pPr>
      <w:r>
        <w:rPr>
          <w:rFonts w:hint="eastAsia"/>
          <w:b/>
          <w:bCs/>
        </w:rPr>
        <w:t xml:space="preserve">原文事实：</w:t>
      </w:r>
      <w:r>
        <w:t xml:space="preserve"> </w:t>
      </w:r>
      <w:r>
        <w:rPr>
          <w:rFonts w:hint="eastAsia"/>
        </w:rPr>
        <w:t xml:space="preserve">三季度全国出入境1.92亿人次，同比增长7.9%；其中内地居民9596万人次、港澳台居民7314万人次、外国人2327.2万人次，同比分别增长7.4%、6.4%和15.6%。</w:t>
      </w:r>
    </w:p>
    <w:p>
      <w:pPr>
        <w:pStyle w:val="BodyText"/>
      </w:pPr>
      <w:r>
        <w:rPr>
          <w:rFonts w:hint="eastAsia"/>
          <w:b/>
          <w:bCs/>
        </w:rPr>
        <w:t xml:space="preserve">产业解读：</w:t>
      </w:r>
      <w:r>
        <w:t xml:space="preserve"> </w:t>
      </w:r>
      <w:r>
        <w:rPr>
          <w:rFonts w:hint="eastAsia"/>
        </w:rPr>
        <w:t xml:space="preserve">外国人入境增速较高，对入境旅游和相关服务形成需求线索。但“人次”不等于旅游收入或企业利润，仍需看旅客结构、客单价、航线运力、票价、酒店入住率和消费转化。</w:t>
      </w:r>
    </w:p>
    <w:bookmarkEnd w:id="23"/>
    <w:bookmarkStart w:id="24" w:name="前三季度邮政寄递业务量增长3.7总量增长较稳区域占比变化值得跟踪"/>
    <w:p>
      <w:pPr>
        <w:pStyle w:val="Heading3"/>
      </w:pPr>
      <w:r>
        <w:t xml:space="preserve">10.4 </w:t>
      </w:r>
      <w:r>
        <w:rPr>
          <w:rFonts w:hint="eastAsia"/>
        </w:rPr>
        <w:t xml:space="preserve">前三季度邮政寄递业务量增长3.7%：总量增长较稳，区域占比变化值得跟踪</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A股影响：快递物流总体偏正面，但增速与盈利需分开判断</w:t>
      </w:r>
    </w:p>
    <w:p>
      <w:pPr>
        <w:pStyle w:val="Compact"/>
        <w:numPr>
          <w:ilvl w:val="0"/>
          <w:numId w:val="1015"/>
        </w:numPr>
      </w:pPr>
      <w:r>
        <w:rPr>
          <w:rFonts w:hint="eastAsia"/>
          <w:b/>
          <w:bCs/>
        </w:rPr>
        <w:t xml:space="preserve">关联方向：</w:t>
      </w:r>
      <w:r>
        <w:t xml:space="preserve"> </w:t>
      </w:r>
      <w:r>
        <w:rPr>
          <w:rFonts w:hint="eastAsia"/>
        </w:rPr>
        <w:t xml:space="preserve">快递物流、自动分拣、仓储设备、包装与干线运输。</w:t>
      </w:r>
    </w:p>
    <w:p>
      <w:pPr>
        <w:pStyle w:val="FirstParagraph"/>
      </w:pPr>
      <w:r>
        <w:rPr>
          <w:rFonts w:hint="eastAsia"/>
          <w:b/>
          <w:bCs/>
        </w:rPr>
        <w:t xml:space="preserve">原文事实：</w:t>
      </w:r>
      <w:r>
        <w:t xml:space="preserve"> </w:t>
      </w:r>
      <w:r>
        <w:rPr>
          <w:rFonts w:hint="eastAsia"/>
        </w:rPr>
        <w:t xml:space="preserve">1—9月全国邮政行业寄递业务量累计1641.3亿件，同比增长3.7%，中部和西部地区快递业务量占比稳步提升。</w:t>
      </w:r>
    </w:p>
    <w:p>
      <w:pPr>
        <w:pStyle w:val="BodyText"/>
      </w:pPr>
      <w:r>
        <w:rPr>
          <w:rFonts w:hint="eastAsia"/>
          <w:b/>
          <w:bCs/>
        </w:rPr>
        <w:t xml:space="preserve">产业解读：</w:t>
      </w:r>
      <w:r>
        <w:t xml:space="preserve"> </w:t>
      </w:r>
      <w:r>
        <w:rPr>
          <w:rFonts w:hint="eastAsia"/>
        </w:rPr>
        <w:t xml:space="preserve">业务量正增长支持物流需求韧性，区域占比提升可能带来中西部枢纽、分拨和运力配置需求。但低个位数业务量增长不必然带来利润增长，价格竞争、人工运输成本、资本开支和单票收入仍是关键。</w:t>
      </w:r>
    </w:p>
    <w:bookmarkEnd w:id="24"/>
    <w:bookmarkStart w:id="25" w:name="秋招第二批155场就业服务活动稳就业与招聘服务继续推进"/>
    <w:p>
      <w:pPr>
        <w:pStyle w:val="Heading3"/>
      </w:pPr>
      <w:r>
        <w:t xml:space="preserve">10.5 </w:t>
      </w:r>
      <w:r>
        <w:rPr>
          <w:rFonts w:hint="eastAsia"/>
        </w:rPr>
        <w:t xml:space="preserve">秋招第二批155场就业服务活动：稳就业与招聘服务继续推进</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A股影响：总体中性，招聘与人力资源服务存在弱映射</w:t>
      </w:r>
    </w:p>
    <w:p>
      <w:pPr>
        <w:pStyle w:val="Compact"/>
        <w:numPr>
          <w:ilvl w:val="0"/>
          <w:numId w:val="1016"/>
        </w:numPr>
      </w:pPr>
      <w:r>
        <w:rPr>
          <w:rFonts w:hint="eastAsia"/>
          <w:b/>
          <w:bCs/>
        </w:rPr>
        <w:t xml:space="preserve">关联方向：</w:t>
      </w:r>
      <w:r>
        <w:t xml:space="preserve"> </w:t>
      </w:r>
      <w:r>
        <w:rPr>
          <w:rFonts w:hint="eastAsia"/>
        </w:rPr>
        <w:t xml:space="preserve">在线招聘、人力资源服务、职业指导和直播带岗平台。</w:t>
      </w:r>
    </w:p>
    <w:p>
      <w:pPr>
        <w:pStyle w:val="FirstParagraph"/>
      </w:pPr>
      <w:r>
        <w:rPr>
          <w:rFonts w:hint="eastAsia"/>
          <w:b/>
          <w:bCs/>
        </w:rPr>
        <w:t xml:space="preserve">原文事实：</w:t>
      </w:r>
      <w:r>
        <w:t xml:space="preserve"> </w:t>
      </w:r>
      <w:r>
        <w:rPr>
          <w:rFonts w:hint="eastAsia"/>
        </w:rPr>
        <w:t xml:space="preserve">2026年全国城市联合招聘高校毕业生秋季专场推出第二批155场就业服务活动，包括线上线下专场或校园招聘会、跨区域巡回招聘会、直播带岗、政策宣讲和就业指导。</w:t>
      </w:r>
    </w:p>
    <w:p>
      <w:pPr>
        <w:pStyle w:val="BodyText"/>
      </w:pPr>
      <w:r>
        <w:rPr>
          <w:rFonts w:hint="eastAsia"/>
          <w:b/>
          <w:bCs/>
        </w:rPr>
        <w:t xml:space="preserve">产业解读：</w:t>
      </w:r>
      <w:r>
        <w:t xml:space="preserve"> </w:t>
      </w:r>
      <w:r>
        <w:rPr>
          <w:rFonts w:hint="eastAsia"/>
        </w:rPr>
        <w:t xml:space="preserve">政策目标是促进高校毕业生就业，社会效益高于资本市场短线影响。底稿没有服务采购金额、岗位数量或企业名单，不能据此推导招聘平台收入明显增长。</w:t>
      </w:r>
    </w:p>
    <w:bookmarkEnd w:id="25"/>
    <w:bookmarkStart w:id="26" w:name="何以中国当惊世界殊活动水利工程长江文明与生态叙事融合"/>
    <w:p>
      <w:pPr>
        <w:pStyle w:val="Heading3"/>
      </w:pPr>
      <w:r>
        <w:t xml:space="preserve">10.6 </w:t>
      </w:r>
      <w:r>
        <w:rPr>
          <w:rFonts w:hint="eastAsia"/>
        </w:rPr>
        <w:t xml:space="preserve">“何以中国·当惊世界殊”活动：水利工程、长江文明与生态叙事融合</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A股影响：总体中性，水利文旅和文化传播弱关联</w:t>
      </w:r>
    </w:p>
    <w:p>
      <w:pPr>
        <w:pStyle w:val="Compact"/>
        <w:numPr>
          <w:ilvl w:val="0"/>
          <w:numId w:val="1017"/>
        </w:numPr>
      </w:pPr>
      <w:r>
        <w:rPr>
          <w:rFonts w:hint="eastAsia"/>
          <w:b/>
          <w:bCs/>
        </w:rPr>
        <w:t xml:space="preserve">关联方向：</w:t>
      </w:r>
      <w:r>
        <w:t xml:space="preserve"> </w:t>
      </w:r>
      <w:r>
        <w:rPr>
          <w:rFonts w:hint="eastAsia"/>
        </w:rPr>
        <w:t xml:space="preserve">水利工程展示、长江文化内容、区域文旅与生态传播。</w:t>
      </w:r>
    </w:p>
    <w:p>
      <w:pPr>
        <w:pStyle w:val="FirstParagraph"/>
      </w:pPr>
      <w:r>
        <w:rPr>
          <w:rFonts w:hint="eastAsia"/>
          <w:b/>
          <w:bCs/>
        </w:rPr>
        <w:t xml:space="preserve">原文事实：</w:t>
      </w:r>
      <w:r>
        <w:t xml:space="preserve"> </w:t>
      </w:r>
      <w:r>
        <w:rPr>
          <w:rFonts w:hint="eastAsia"/>
        </w:rPr>
        <w:t xml:space="preserve">10月19日，中央网信办、水利部等部门在湖北宜昌联合主办网络主题宣传活动，以“大国重器”“长江文明”为主线，展示高峡平湖、生态画卷和长江文脉。</w:t>
      </w:r>
    </w:p>
    <w:p>
      <w:pPr>
        <w:pStyle w:val="BodyText"/>
      </w:pPr>
      <w:r>
        <w:rPr>
          <w:rFonts w:hint="eastAsia"/>
          <w:b/>
          <w:bCs/>
        </w:rPr>
        <w:t xml:space="preserve">产业解读：</w:t>
      </w:r>
      <w:r>
        <w:t xml:space="preserve"> </w:t>
      </w:r>
      <w:r>
        <w:rPr>
          <w:rFonts w:hint="eastAsia"/>
        </w:rPr>
        <w:t xml:space="preserve">这是主题宣传活动，没有新增水利工程、文旅投资或生态治理预算。不能因出现“大国重器”就推导新基建订单；其市场影响主要是提升相关文化和区域形象关注度。</w:t>
      </w:r>
    </w:p>
    <w:bookmarkEnd w:id="26"/>
    <w:bookmarkEnd w:id="27"/>
    <w:bookmarkStart w:id="33" w:name="五国际联播快讯逐项分析"/>
    <w:p>
      <w:pPr>
        <w:pStyle w:val="Heading2"/>
      </w:pPr>
      <w:r>
        <w:rPr>
          <w:rFonts w:hint="eastAsia"/>
        </w:rPr>
        <w:t xml:space="preserve">五、国际联播快讯逐项分析</w:t>
      </w:r>
    </w:p>
    <w:bookmarkStart w:id="28" w:name="俄外长访伊外交降温诉求与经济投资协议履行并存"/>
    <w:p>
      <w:pPr>
        <w:pStyle w:val="Heading3"/>
      </w:pPr>
      <w:r>
        <w:t xml:space="preserve">11.1 </w:t>
      </w:r>
      <w:r>
        <w:rPr>
          <w:rFonts w:hint="eastAsia"/>
        </w:rPr>
        <w:t xml:space="preserve">俄外长访伊：外交降温诉求与经济投资协议履行并存</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A股影响：地区缓和预期偏正面，但能源与贸易仍受地缘风险制约</w:t>
      </w:r>
    </w:p>
    <w:p>
      <w:pPr>
        <w:pStyle w:val="Compact"/>
        <w:numPr>
          <w:ilvl w:val="0"/>
          <w:numId w:val="1018"/>
        </w:numPr>
      </w:pPr>
      <w:r>
        <w:rPr>
          <w:rFonts w:hint="eastAsia"/>
          <w:b/>
          <w:bCs/>
        </w:rPr>
        <w:t xml:space="preserve">关联方向：</w:t>
      </w:r>
      <w:r>
        <w:t xml:space="preserve"> </w:t>
      </w:r>
      <w:r>
        <w:rPr>
          <w:rFonts w:hint="eastAsia"/>
        </w:rPr>
        <w:t xml:space="preserve">能源、跨境贸易、国际工程和航运风险管理。</w:t>
      </w:r>
    </w:p>
    <w:p>
      <w:pPr>
        <w:pStyle w:val="FirstParagraph"/>
      </w:pPr>
      <w:r>
        <w:rPr>
          <w:rFonts w:hint="eastAsia"/>
          <w:b/>
          <w:bCs/>
        </w:rPr>
        <w:t xml:space="preserve">原文事实：</w:t>
      </w:r>
      <w:r>
        <w:t xml:space="preserve"> </w:t>
      </w:r>
      <w:r>
        <w:rPr>
          <w:rFonts w:hint="eastAsia"/>
        </w:rPr>
        <w:t xml:space="preserve">俄罗斯外长拉夫罗夫10月19日访问伊朗，会见伊朗外长和总统。伊方称地区问题没有军事解决方案，应通过外交和政治方案处理，并反对以武力和施压强加意志。俄方表示愿协助寻求各方可接受的方案，同时无意放弃履行与伊朗在经济和投资领域达成的协议。</w:t>
      </w:r>
    </w:p>
    <w:p>
      <w:pPr>
        <w:pStyle w:val="BodyText"/>
      </w:pPr>
      <w:r>
        <w:rPr>
          <w:rFonts w:hint="eastAsia"/>
          <w:b/>
          <w:bCs/>
        </w:rPr>
        <w:t xml:space="preserve">产业解读：</w:t>
      </w:r>
      <w:r>
        <w:t xml:space="preserve"> </w:t>
      </w:r>
      <w:r>
        <w:rPr>
          <w:rFonts w:hint="eastAsia"/>
        </w:rPr>
        <w:t xml:space="preserve">外交解决表态有助于缓和风险预期，但经济投资协议没有披露内容、金额和进度。对能源、航运和跨境项目的影响需由后续局势、制裁、结算与实际履约验证。</w:t>
      </w:r>
    </w:p>
    <w:bookmarkEnd w:id="28"/>
    <w:bookmarkStart w:id="29" w:name="胡塞武装称打击沙特石油航空及军事目标中东供应与航线风险上升"/>
    <w:p>
      <w:pPr>
        <w:pStyle w:val="Heading3"/>
      </w:pPr>
      <w:r>
        <w:t xml:space="preserve">11.2 </w:t>
      </w:r>
      <w:r>
        <w:rPr>
          <w:rFonts w:hint="eastAsia"/>
        </w:rPr>
        <w:t xml:space="preserve">胡塞武装称打击沙特石油、航空及军事目标：中东供应与航线风险上升</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A股影响：能源与避险风险溢价可能上升，航空和国际物流承压</w:t>
      </w:r>
    </w:p>
    <w:p>
      <w:pPr>
        <w:pStyle w:val="Compact"/>
        <w:numPr>
          <w:ilvl w:val="0"/>
          <w:numId w:val="1019"/>
        </w:numPr>
      </w:pPr>
      <w:r>
        <w:rPr>
          <w:rFonts w:hint="eastAsia"/>
          <w:b/>
          <w:bCs/>
        </w:rPr>
        <w:t xml:space="preserve">影响时效：短期事件驱动；若设施受损或冲突持续则中期化</w:t>
      </w:r>
    </w:p>
    <w:p>
      <w:pPr>
        <w:pStyle w:val="Compact"/>
        <w:numPr>
          <w:ilvl w:val="0"/>
          <w:numId w:val="1019"/>
        </w:numPr>
      </w:pPr>
      <w:r>
        <w:rPr>
          <w:rFonts w:hint="eastAsia"/>
          <w:b/>
          <w:bCs/>
        </w:rPr>
        <w:t xml:space="preserve">条件性受益映射：</w:t>
      </w:r>
      <w:r>
        <w:t xml:space="preserve"> </w:t>
      </w:r>
      <w:r>
        <w:rPr>
          <w:rFonts w:hint="eastAsia"/>
        </w:rPr>
        <w:t xml:space="preserve">油气安全、黄金、防空反导、反无人机与安防。</w:t>
      </w:r>
    </w:p>
    <w:p>
      <w:pPr>
        <w:pStyle w:val="Compact"/>
        <w:numPr>
          <w:ilvl w:val="0"/>
          <w:numId w:val="1019"/>
        </w:numPr>
      </w:pPr>
      <w:r>
        <w:rPr>
          <w:rFonts w:hint="eastAsia"/>
          <w:b/>
          <w:bCs/>
        </w:rPr>
        <w:t xml:space="preserve">可能承压方向：</w:t>
      </w:r>
      <w:r>
        <w:t xml:space="preserve"> </w:t>
      </w:r>
      <w:r>
        <w:rPr>
          <w:rFonts w:hint="eastAsia"/>
        </w:rPr>
        <w:t xml:space="preserve">航空、航运保险、国际物流、燃料成本敏感制造业。</w:t>
      </w:r>
    </w:p>
    <w:p>
      <w:pPr>
        <w:pStyle w:val="FirstParagraph"/>
      </w:pPr>
      <w:r>
        <w:rPr>
          <w:rFonts w:hint="eastAsia"/>
          <w:b/>
          <w:bCs/>
        </w:rPr>
        <w:t xml:space="preserve">原文事实：</w:t>
      </w:r>
      <w:r>
        <w:t xml:space="preserve"> </w:t>
      </w:r>
      <w:r>
        <w:rPr>
          <w:rFonts w:hint="eastAsia"/>
        </w:rPr>
        <w:t xml:space="preserve">胡塞武装称，为回应沙特对其控制区的袭击，过去48小时使用导弹和无人机，对沙特境内石油和航空设施及军事目标发动6次打击，并袭击也门南部舍卜沃省一处军事基地内沙特支持的部队集结地。舍卜沃省地方当局称，该基地袭击造成53人死亡、200多人受伤。</w:t>
      </w:r>
    </w:p>
    <w:p>
      <w:pPr>
        <w:pStyle w:val="BodyText"/>
      </w:pPr>
      <w:r>
        <w:rPr>
          <w:rFonts w:hint="eastAsia"/>
          <w:b/>
          <w:bCs/>
        </w:rPr>
        <w:t xml:space="preserve">产业解读：</w:t>
      </w:r>
      <w:r>
        <w:t xml:space="preserve"> </w:t>
      </w:r>
      <w:r>
        <w:rPr>
          <w:rFonts w:hint="eastAsia"/>
        </w:rPr>
        <w:t xml:space="preserve">伤亡和袭击信息来自胡塞武装及当地当局口径，本文不作独立事实背书。由于目标涉及石油和航空设施，市场会关注原油供应、机场运营和航线安全，但底稿未说明设施实际受损程度、产量或航班变化。只有油价、运价、保险费率和供应中断同步验证，主题才具有持续性。</w:t>
      </w:r>
    </w:p>
    <w:bookmarkEnd w:id="29"/>
    <w:bookmarkStart w:id="30" w:name="美国尚未批准向乌转让爱国者拦截弹援助不确定性与美乌分歧上升"/>
    <w:p>
      <w:pPr>
        <w:pStyle w:val="Heading3"/>
      </w:pPr>
      <w:r>
        <w:t xml:space="preserve">11.3 </w:t>
      </w:r>
      <w:r>
        <w:rPr>
          <w:rFonts w:hint="eastAsia"/>
        </w:rPr>
        <w:t xml:space="preserve">美国尚未批准向乌转让“爱国者”拦截弹：援助不确定性与美乌分歧上升</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A股影响：全球风险偏好偏空，防空反导与卫星通信安全获事件性关注</w:t>
      </w:r>
    </w:p>
    <w:p>
      <w:pPr>
        <w:pStyle w:val="Compact"/>
        <w:numPr>
          <w:ilvl w:val="0"/>
          <w:numId w:val="1020"/>
        </w:numPr>
      </w:pPr>
      <w:r>
        <w:rPr>
          <w:rFonts w:hint="eastAsia"/>
          <w:b/>
          <w:bCs/>
        </w:rPr>
        <w:t xml:space="preserve">关联方向：</w:t>
      </w:r>
      <w:r>
        <w:t xml:space="preserve"> </w:t>
      </w:r>
      <w:r>
        <w:rPr>
          <w:rFonts w:hint="eastAsia"/>
        </w:rPr>
        <w:t xml:space="preserve">防空反导、军工电子、卫星通信、欧洲能源与供应链风险。</w:t>
      </w:r>
    </w:p>
    <w:p>
      <w:pPr>
        <w:pStyle w:val="FirstParagraph"/>
      </w:pPr>
      <w:r>
        <w:rPr>
          <w:rFonts w:hint="eastAsia"/>
          <w:b/>
          <w:bCs/>
        </w:rPr>
        <w:t xml:space="preserve">原文事实：</w:t>
      </w:r>
      <w:r>
        <w:t xml:space="preserve"> </w:t>
      </w:r>
      <w:r>
        <w:rPr>
          <w:rFonts w:hint="eastAsia"/>
        </w:rPr>
        <w:t xml:space="preserve">美国媒体称，美国政府尚未批准向乌克兰转让“爱国者”导弹防御系统拦截弹，延误发生在美乌总统关系日益紧张之际。特朗普称美国继续与乌克兰分享情报，同时指责泽连斯基“不想结束战争”，并称美国援助未获回报。乌克兰媒体称，泽连斯基认为美国正通过限制星链网速和延迟转让拦截弹，迫使乌克兰向俄罗斯投降。</w:t>
      </w:r>
    </w:p>
    <w:p>
      <w:pPr>
        <w:pStyle w:val="BodyText"/>
      </w:pPr>
      <w:r>
        <w:rPr>
          <w:rFonts w:hint="eastAsia"/>
          <w:b/>
          <w:bCs/>
        </w:rPr>
        <w:t xml:space="preserve">产业解读：</w:t>
      </w:r>
      <w:r>
        <w:t xml:space="preserve"> </w:t>
      </w:r>
      <w:r>
        <w:rPr>
          <w:rFonts w:hint="eastAsia"/>
        </w:rPr>
        <w:t xml:space="preserve">这是一组美国媒体、美国总统和乌克兰媒体口径，关键在援助不确定性、情报与卫星通信依赖。它不构成中国相关企业直接获得订单的证据。市场传导主要通过俄乌冲突进程、欧洲风险溢价、军费和能源价格体现。</w:t>
      </w:r>
    </w:p>
    <w:bookmarkEnd w:id="30"/>
    <w:bookmarkStart w:id="31" w:name="法国多地宵禁社会稳定与欧洲消费旅游预期承压"/>
    <w:p>
      <w:pPr>
        <w:pStyle w:val="Heading3"/>
      </w:pPr>
      <w:r>
        <w:t xml:space="preserve">11.4 </w:t>
      </w:r>
      <w:r>
        <w:rPr>
          <w:rFonts w:hint="eastAsia"/>
        </w:rPr>
        <w:t xml:space="preserve">法国多地宵禁：社会稳定与欧洲消费、旅游预期承压</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A股影响：总体中性偏空，对欧业务和跨境旅游面临扰动</w:t>
      </w:r>
    </w:p>
    <w:p>
      <w:pPr>
        <w:pStyle w:val="Compact"/>
        <w:numPr>
          <w:ilvl w:val="0"/>
          <w:numId w:val="1021"/>
        </w:numPr>
      </w:pPr>
      <w:r>
        <w:rPr>
          <w:rFonts w:hint="eastAsia"/>
          <w:b/>
          <w:bCs/>
        </w:rPr>
        <w:t xml:space="preserve">关联方向：</w:t>
      </w:r>
      <w:r>
        <w:t xml:space="preserve"> </w:t>
      </w:r>
      <w:r>
        <w:rPr>
          <w:rFonts w:hint="eastAsia"/>
        </w:rPr>
        <w:t xml:space="preserve">对欧出口、海外零售、航空旅游、公共安全与海外运营风险管理。</w:t>
      </w:r>
    </w:p>
    <w:p>
      <w:pPr>
        <w:pStyle w:val="FirstParagraph"/>
      </w:pPr>
      <w:r>
        <w:rPr>
          <w:rFonts w:hint="eastAsia"/>
          <w:b/>
          <w:bCs/>
        </w:rPr>
        <w:t xml:space="preserve">原文事实：</w:t>
      </w:r>
      <w:r>
        <w:t xml:space="preserve"> </w:t>
      </w:r>
      <w:r>
        <w:rPr>
          <w:rFonts w:hint="eastAsia"/>
        </w:rPr>
        <w:t xml:space="preserve">法国多地抗议活动出现暴力行为，政府10月19日宣布巴黎、里昂、里尔、尼斯等城市部分地区在19日夜间至20日凌晨实施宵禁，巴黎部分地区禁止集会。法国司法部称，自上周末抗议暴力事件以来，警方已逮捕超过2500人；法国总理表示将启动大规模司法行动追责。</w:t>
      </w:r>
    </w:p>
    <w:p>
      <w:pPr>
        <w:pStyle w:val="BodyText"/>
      </w:pPr>
      <w:r>
        <w:rPr>
          <w:rFonts w:hint="eastAsia"/>
          <w:b/>
          <w:bCs/>
        </w:rPr>
        <w:t xml:space="preserve">产业解读：</w:t>
      </w:r>
      <w:r>
        <w:t xml:space="preserve"> </w:t>
      </w:r>
      <w:r>
        <w:rPr>
          <w:rFonts w:hint="eastAsia"/>
        </w:rPr>
        <w:t xml:space="preserve">短期可能影响当地消费、门店、旅游和交通，但底稿没有经济损失、供应链中断或企业受损数据。只有事件长期化并影响中国企业在欧运营或贸易物流，才会形成可量化传导。</w:t>
      </w:r>
    </w:p>
    <w:bookmarkEnd w:id="31"/>
    <w:bookmarkStart w:id="32" w:name="西班牙多地洪灾防灾减灾需求上升航空旅游及农业物流存在扰动"/>
    <w:p>
      <w:pPr>
        <w:pStyle w:val="Heading3"/>
      </w:pPr>
      <w:r>
        <w:t xml:space="preserve">11.5 </w:t>
      </w:r>
      <w:r>
        <w:rPr>
          <w:rFonts w:hint="eastAsia"/>
        </w:rPr>
        <w:t xml:space="preserve">西班牙多地洪灾：防灾减灾需求上升，航空旅游及农业物流存在扰动</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A股影响：事件性中性偏空，防灾设备仅有条件性需求映射</w:t>
      </w:r>
    </w:p>
    <w:p>
      <w:pPr>
        <w:pStyle w:val="Compact"/>
        <w:numPr>
          <w:ilvl w:val="0"/>
          <w:numId w:val="1022"/>
        </w:numPr>
      </w:pPr>
      <w:r>
        <w:rPr>
          <w:rFonts w:hint="eastAsia"/>
          <w:b/>
          <w:bCs/>
        </w:rPr>
        <w:t xml:space="preserve">关联方向：</w:t>
      </w:r>
      <w:r>
        <w:t xml:space="preserve"> </w:t>
      </w:r>
      <w:r>
        <w:rPr>
          <w:rFonts w:hint="eastAsia"/>
        </w:rPr>
        <w:t xml:space="preserve">气象监测、排水防洪、应急通信、保险；欧洲旅游、航空、农业和物流风险。</w:t>
      </w:r>
    </w:p>
    <w:p>
      <w:pPr>
        <w:pStyle w:val="FirstParagraph"/>
      </w:pPr>
      <w:r>
        <w:rPr>
          <w:rFonts w:hint="eastAsia"/>
          <w:b/>
          <w:bCs/>
        </w:rPr>
        <w:t xml:space="preserve">原文事实：</w:t>
      </w:r>
      <w:r>
        <w:t xml:space="preserve"> </w:t>
      </w:r>
      <w:r>
        <w:rPr>
          <w:rFonts w:hint="eastAsia"/>
        </w:rPr>
        <w:t xml:space="preserve">风暴导致西班牙多地强降雨和洪水；截至10月19日，媒体统计恶劣天气造成4人死亡。巴伦西亚和阿利坎特约145个市镇实施居家避险，涉及约90万人。</w:t>
      </w:r>
    </w:p>
    <w:p>
      <w:pPr>
        <w:pStyle w:val="BodyText"/>
      </w:pPr>
      <w:r>
        <w:rPr>
          <w:rFonts w:hint="eastAsia"/>
          <w:b/>
          <w:bCs/>
        </w:rPr>
        <w:t xml:space="preserve">产业解读：</w:t>
      </w:r>
      <w:r>
        <w:t xml:space="preserve"> </w:t>
      </w:r>
      <w:r>
        <w:rPr>
          <w:rFonts w:hint="eastAsia"/>
        </w:rPr>
        <w:t xml:space="preserve">洪灾首先是人员伤亡和公共安全事件，不应简单包装为利好。对A股直接影响有限；若灾情持续，需关注欧洲当地交通、农业、旅游和供应链扰动。防洪、监测和应急设备方向只有在真实采购出现后才具备业绩意义。</w:t>
      </w:r>
    </w:p>
    <w:bookmarkEnd w:id="32"/>
    <w:bookmarkEnd w:id="33"/>
    <w:bookmarkStart w:id="34" w:name="六板块影响汇总"/>
    <w:p>
      <w:pPr>
        <w:pStyle w:val="Heading2"/>
      </w:pPr>
      <w:r>
        <w:rPr>
          <w:rFonts w:hint="eastAsia"/>
        </w:rPr>
        <w:t xml:space="preserve">六、板块影响汇总</w:t>
      </w:r>
    </w:p>
    <w:tbl>
      <w:tblPr>
        <w:tblStyle w:val="Table"/>
        <w:tblW w:type="pct" w:w="5000"/>
        <w:tblLayout w:type="fixed"/>
        <w:tblLook w:firstRow="1" w:lastRow="0" w:firstColumn="0" w:lastColumn="0" w:noHBand="0" w:noVBand="0" w:val="0020"/>
      </w:tblPr>
      <w:tblGrid>
        <w:gridCol w:w="1485"/>
        <w:gridCol w:w="1485"/>
        <w:gridCol w:w="1485"/>
        <w:gridCol w:w="1980"/>
        <w:gridCol w:w="1485"/>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关键兑现条件</w:t>
            </w:r>
          </w:p>
        </w:tc>
      </w:tr>
      <w:tr>
        <w:tc>
          <w:tcPr/>
          <w:p>
            <w:pPr>
              <w:pStyle w:val="Compact"/>
            </w:pPr>
            <w:r>
              <w:rPr>
                <w:rFonts w:hint="eastAsia"/>
              </w:rPr>
              <w:t xml:space="preserve">数据要素/数据运营</w:t>
            </w:r>
          </w:p>
        </w:tc>
        <w:tc>
          <w:tcPr/>
          <w:p>
            <w:pPr>
              <w:pStyle w:val="Compact"/>
            </w:pPr>
            <w:r>
              <w:rPr>
                <w:rFonts w:hint="eastAsia"/>
              </w:rPr>
              <w:t xml:space="preserve">结构性强利好</w:t>
            </w:r>
          </w:p>
        </w:tc>
        <w:tc>
          <w:tcPr/>
          <w:p>
            <w:pPr>
              <w:pStyle w:val="Compact"/>
            </w:pPr>
            <w:r>
              <w:rPr>
                <w:rFonts w:hint="eastAsia"/>
              </w:rPr>
              <w:t xml:space="preserve">国家数据集团成立、深化数据要素服务</w:t>
            </w:r>
          </w:p>
        </w:tc>
        <w:tc>
          <w:tcPr/>
          <w:p>
            <w:pPr>
              <w:pStyle w:val="Compact"/>
              <w:jc w:val="right"/>
            </w:pPr>
            <w:r>
              <w:t xml:space="preserve">★★★★★</w:t>
            </w:r>
          </w:p>
        </w:tc>
        <w:tc>
          <w:tcPr/>
          <w:p>
            <w:pPr>
              <w:pStyle w:val="Compact"/>
            </w:pPr>
            <w:r>
              <w:rPr>
                <w:rFonts w:hint="eastAsia"/>
              </w:rPr>
              <w:t xml:space="preserve">数据授权、业务边界、收费机制、项目与收入</w:t>
            </w:r>
          </w:p>
        </w:tc>
      </w:tr>
      <w:tr>
        <w:tc>
          <w:tcPr/>
          <w:p>
            <w:pPr>
              <w:pStyle w:val="Compact"/>
            </w:pPr>
            <w:r>
              <w:rPr>
                <w:rFonts w:hint="eastAsia"/>
              </w:rPr>
              <w:t xml:space="preserve">数据基础设施/算力存储</w:t>
            </w:r>
          </w:p>
        </w:tc>
        <w:tc>
          <w:tcPr/>
          <w:p>
            <w:pPr>
              <w:pStyle w:val="Compact"/>
            </w:pPr>
            <w:r>
              <w:rPr>
                <w:rFonts w:hint="eastAsia"/>
              </w:rPr>
              <w:t xml:space="preserve">中长期偏利好</w:t>
            </w:r>
          </w:p>
        </w:tc>
        <w:tc>
          <w:tcPr/>
          <w:p>
            <w:pPr>
              <w:pStyle w:val="Compact"/>
            </w:pPr>
            <w:r>
              <w:rPr>
                <w:rFonts w:hint="eastAsia"/>
              </w:rPr>
              <w:t xml:space="preserve">国家数据集团加快数据基础设施建设</w:t>
            </w:r>
          </w:p>
        </w:tc>
        <w:tc>
          <w:tcPr/>
          <w:p>
            <w:pPr>
              <w:pStyle w:val="Compact"/>
              <w:jc w:val="right"/>
            </w:pPr>
            <w:r>
              <w:t xml:space="preserve">★★★★★</w:t>
            </w:r>
          </w:p>
        </w:tc>
        <w:tc>
          <w:tcPr/>
          <w:p>
            <w:pPr>
              <w:pStyle w:val="Compact"/>
            </w:pPr>
            <w:r>
              <w:rPr>
                <w:rFonts w:hint="eastAsia"/>
              </w:rPr>
              <w:t xml:space="preserve">资本开支、招标、上架率、利用率与回款</w:t>
            </w:r>
          </w:p>
        </w:tc>
      </w:tr>
      <w:tr>
        <w:tc>
          <w:tcPr/>
          <w:p>
            <w:pPr>
              <w:pStyle w:val="Compact"/>
            </w:pPr>
            <w:r>
              <w:rPr>
                <w:rFonts w:hint="eastAsia"/>
              </w:rPr>
              <w:t xml:space="preserve">数据安全/基础软件</w:t>
            </w:r>
          </w:p>
        </w:tc>
        <w:tc>
          <w:tcPr/>
          <w:p>
            <w:pPr>
              <w:pStyle w:val="Compact"/>
            </w:pPr>
            <w:r>
              <w:rPr>
                <w:rFonts w:hint="eastAsia"/>
              </w:rPr>
              <w:t xml:space="preserve">战略性利好</w:t>
            </w:r>
          </w:p>
        </w:tc>
        <w:tc>
          <w:tcPr/>
          <w:p>
            <w:pPr>
              <w:pStyle w:val="Compact"/>
            </w:pPr>
            <w:r>
              <w:rPr>
                <w:rFonts w:hint="eastAsia"/>
              </w:rPr>
              <w:t xml:space="preserve">统筹发展安全、核心技术攻关</w:t>
            </w:r>
          </w:p>
        </w:tc>
        <w:tc>
          <w:tcPr/>
          <w:p>
            <w:pPr>
              <w:pStyle w:val="Compact"/>
              <w:jc w:val="right"/>
            </w:pPr>
            <w:r>
              <w:t xml:space="preserve">★★★★☆</w:t>
            </w:r>
          </w:p>
        </w:tc>
        <w:tc>
          <w:tcPr/>
          <w:p>
            <w:pPr>
              <w:pStyle w:val="Compact"/>
            </w:pPr>
            <w:r>
              <w:rPr>
                <w:rFonts w:hint="eastAsia"/>
              </w:rPr>
              <w:t xml:space="preserve">国产化范围、采购清单、技术验证与毛利</w:t>
            </w:r>
          </w:p>
        </w:tc>
      </w:tr>
      <w:tr>
        <w:tc>
          <w:tcPr/>
          <w:p>
            <w:pPr>
              <w:pStyle w:val="Compact"/>
            </w:pPr>
            <w:r>
              <w:rPr>
                <w:rFonts w:hint="eastAsia"/>
              </w:rPr>
              <w:t xml:space="preserve">人工智能基础设施</w:t>
            </w:r>
          </w:p>
        </w:tc>
        <w:tc>
          <w:tcPr/>
          <w:p>
            <w:pPr>
              <w:pStyle w:val="Compact"/>
            </w:pPr>
            <w:r>
              <w:rPr>
                <w:rFonts w:hint="eastAsia"/>
              </w:rPr>
              <w:t xml:space="preserve">政策催化偏利好</w:t>
            </w:r>
          </w:p>
        </w:tc>
        <w:tc>
          <w:tcPr/>
          <w:p>
            <w:pPr>
              <w:pStyle w:val="Compact"/>
            </w:pPr>
            <w:r>
              <w:rPr>
                <w:rFonts w:hint="eastAsia"/>
              </w:rPr>
              <w:t xml:space="preserve">把握AI发展先机、数字中国</w:t>
            </w:r>
          </w:p>
        </w:tc>
        <w:tc>
          <w:tcPr/>
          <w:p>
            <w:pPr>
              <w:pStyle w:val="Compact"/>
              <w:jc w:val="right"/>
            </w:pPr>
            <w:r>
              <w:t xml:space="preserve">★★★★☆</w:t>
            </w:r>
          </w:p>
        </w:tc>
        <w:tc>
          <w:tcPr/>
          <w:p>
            <w:pPr>
              <w:pStyle w:val="Compact"/>
            </w:pPr>
            <w:r>
              <w:rPr>
                <w:rFonts w:hint="eastAsia"/>
              </w:rPr>
              <w:t xml:space="preserve">训练与推理需求、算力利用率、商业付费</w:t>
            </w:r>
          </w:p>
        </w:tc>
      </w:tr>
      <w:tr>
        <w:tc>
          <w:tcPr/>
          <w:p>
            <w:pPr>
              <w:pStyle w:val="Compact"/>
            </w:pPr>
            <w:r>
              <w:rPr>
                <w:rFonts w:hint="eastAsia"/>
              </w:rPr>
              <w:t xml:space="preserve">高技术制造/高端装备</w:t>
            </w:r>
          </w:p>
        </w:tc>
        <w:tc>
          <w:tcPr/>
          <w:p>
            <w:pPr>
              <w:pStyle w:val="Compact"/>
            </w:pPr>
            <w:r>
              <w:rPr>
                <w:rFonts w:hint="eastAsia"/>
              </w:rPr>
              <w:t xml:space="preserve">景气数据偏利好</w:t>
            </w:r>
          </w:p>
        </w:tc>
        <w:tc>
          <w:tcPr/>
          <w:p>
            <w:pPr>
              <w:pStyle w:val="Compact"/>
            </w:pPr>
            <w:r>
              <w:rPr>
                <w:rFonts w:hint="eastAsia"/>
              </w:rPr>
              <w:t xml:space="preserve">增加值增长14.3%、设备更新</w:t>
            </w:r>
          </w:p>
        </w:tc>
        <w:tc>
          <w:tcPr/>
          <w:p>
            <w:pPr>
              <w:pStyle w:val="Compact"/>
              <w:jc w:val="right"/>
            </w:pPr>
            <w:r>
              <w:t xml:space="preserve">★★★★☆</w:t>
            </w:r>
          </w:p>
        </w:tc>
        <w:tc>
          <w:tcPr/>
          <w:p>
            <w:pPr>
              <w:pStyle w:val="Compact"/>
            </w:pPr>
            <w:r>
              <w:rPr>
                <w:rFonts w:hint="eastAsia"/>
              </w:rPr>
              <w:t xml:space="preserve">企业订单、资本开支、交付和利润率</w:t>
            </w:r>
          </w:p>
        </w:tc>
      </w:tr>
      <w:tr>
        <w:tc>
          <w:tcPr/>
          <w:p>
            <w:pPr>
              <w:pStyle w:val="Compact"/>
            </w:pPr>
            <w:r>
              <w:rPr>
                <w:rFonts w:hint="eastAsia"/>
              </w:rPr>
              <w:t xml:space="preserve">智能制造/工业自动化</w:t>
            </w:r>
          </w:p>
        </w:tc>
        <w:tc>
          <w:tcPr/>
          <w:p>
            <w:pPr>
              <w:pStyle w:val="Compact"/>
            </w:pPr>
            <w:r>
              <w:rPr>
                <w:rFonts w:hint="eastAsia"/>
              </w:rPr>
              <w:t xml:space="preserve">中期偏利好</w:t>
            </w:r>
          </w:p>
        </w:tc>
        <w:tc>
          <w:tcPr/>
          <w:p>
            <w:pPr>
              <w:pStyle w:val="Compact"/>
            </w:pPr>
            <w:r>
              <w:rPr>
                <w:rFonts w:hint="eastAsia"/>
              </w:rPr>
              <w:t xml:space="preserve">新一代智能制造主攻方向</w:t>
            </w:r>
          </w:p>
        </w:tc>
        <w:tc>
          <w:tcPr/>
          <w:p>
            <w:pPr>
              <w:pStyle w:val="Compact"/>
              <w:jc w:val="right"/>
            </w:pPr>
            <w:r>
              <w:t xml:space="preserve">★★★★</w:t>
            </w:r>
          </w:p>
        </w:tc>
        <w:tc>
          <w:tcPr/>
          <w:p>
            <w:pPr>
              <w:pStyle w:val="Compact"/>
            </w:pPr>
            <w:r>
              <w:rPr>
                <w:rFonts w:hint="eastAsia"/>
              </w:rPr>
              <w:t xml:space="preserve">技改投资、设备订单、软件付费和验收</w:t>
            </w:r>
          </w:p>
        </w:tc>
      </w:tr>
      <w:tr>
        <w:tc>
          <w:tcPr/>
          <w:p>
            <w:pPr>
              <w:pStyle w:val="Compact"/>
            </w:pPr>
            <w:r>
              <w:rPr>
                <w:rFonts w:hint="eastAsia"/>
              </w:rPr>
              <w:t xml:space="preserve">通信设备/6G</w:t>
            </w:r>
          </w:p>
        </w:tc>
        <w:tc>
          <w:tcPr/>
          <w:p>
            <w:pPr>
              <w:pStyle w:val="Compact"/>
            </w:pPr>
            <w:r>
              <w:rPr>
                <w:rFonts w:hint="eastAsia"/>
              </w:rPr>
              <w:t xml:space="preserve">长期战略关注</w:t>
            </w:r>
          </w:p>
        </w:tc>
        <w:tc>
          <w:tcPr/>
          <w:p>
            <w:pPr>
              <w:pStyle w:val="Compact"/>
            </w:pPr>
            <w:r>
              <w:rPr>
                <w:rFonts w:hint="eastAsia"/>
              </w:rPr>
              <w:t xml:space="preserve">电信业务增长、6G研发突破</w:t>
            </w:r>
          </w:p>
        </w:tc>
        <w:tc>
          <w:tcPr/>
          <w:p>
            <w:pPr>
              <w:pStyle w:val="Compact"/>
              <w:jc w:val="right"/>
            </w:pPr>
            <w:r>
              <w:t xml:space="preserve">★★★★</w:t>
            </w:r>
          </w:p>
        </w:tc>
        <w:tc>
          <w:tcPr/>
          <w:p>
            <w:pPr>
              <w:pStyle w:val="Compact"/>
            </w:pPr>
            <w:r>
              <w:rPr>
                <w:rFonts w:hint="eastAsia"/>
              </w:rPr>
              <w:t xml:space="preserve">标准冻结、试验网、频谱、资本开支与商用周期</w:t>
            </w:r>
          </w:p>
        </w:tc>
      </w:tr>
      <w:tr>
        <w:tc>
          <w:tcPr/>
          <w:p>
            <w:pPr>
              <w:pStyle w:val="Compact"/>
            </w:pPr>
            <w:r>
              <w:rPr>
                <w:rFonts w:hint="eastAsia"/>
              </w:rPr>
              <w:t xml:space="preserve">文物保护/文博数字化</w:t>
            </w:r>
          </w:p>
        </w:tc>
        <w:tc>
          <w:tcPr/>
          <w:p>
            <w:pPr>
              <w:pStyle w:val="Compact"/>
            </w:pPr>
            <w:r>
              <w:rPr>
                <w:rFonts w:hint="eastAsia"/>
              </w:rPr>
              <w:t xml:space="preserve">“十五五”中期利好</w:t>
            </w:r>
          </w:p>
        </w:tc>
        <w:tc>
          <w:tcPr/>
          <w:p>
            <w:pPr>
              <w:pStyle w:val="Compact"/>
            </w:pPr>
            <w:r>
              <w:rPr>
                <w:rFonts w:hint="eastAsia"/>
              </w:rPr>
              <w:t xml:space="preserve">首个文化遗产五年规划、两类普查</w:t>
            </w:r>
          </w:p>
        </w:tc>
        <w:tc>
          <w:tcPr/>
          <w:p>
            <w:pPr>
              <w:pStyle w:val="Compact"/>
              <w:jc w:val="right"/>
            </w:pPr>
            <w:r>
              <w:t xml:space="preserve">★★★★</w:t>
            </w:r>
          </w:p>
        </w:tc>
        <w:tc>
          <w:tcPr/>
          <w:p>
            <w:pPr>
              <w:pStyle w:val="Compact"/>
            </w:pPr>
            <w:r>
              <w:rPr>
                <w:rFonts w:hint="eastAsia"/>
              </w:rPr>
              <w:t xml:space="preserve">任务分解、财政预算、采购和项目验收</w:t>
            </w:r>
          </w:p>
        </w:tc>
      </w:tr>
      <w:tr>
        <w:tc>
          <w:tcPr/>
          <w:p>
            <w:pPr>
              <w:pStyle w:val="Compact"/>
            </w:pPr>
            <w:r>
              <w:rPr>
                <w:rFonts w:hint="eastAsia"/>
              </w:rPr>
              <w:t xml:space="preserve">古建修缮/历史街区保护</w:t>
            </w:r>
          </w:p>
        </w:tc>
        <w:tc>
          <w:tcPr/>
          <w:p>
            <w:pPr>
              <w:pStyle w:val="Compact"/>
            </w:pPr>
            <w:r>
              <w:rPr>
                <w:rFonts w:hint="eastAsia"/>
              </w:rPr>
              <w:t xml:space="preserve">中期条件性受益</w:t>
            </w:r>
          </w:p>
        </w:tc>
        <w:tc>
          <w:tcPr/>
          <w:p>
            <w:pPr>
              <w:pStyle w:val="Compact"/>
            </w:pPr>
            <w:r>
              <w:rPr>
                <w:rFonts w:hint="eastAsia"/>
              </w:rPr>
              <w:t xml:space="preserve">名城街区村镇保护提升工程</w:t>
            </w:r>
          </w:p>
        </w:tc>
        <w:tc>
          <w:tcPr/>
          <w:p>
            <w:pPr>
              <w:pStyle w:val="Compact"/>
              <w:jc w:val="right"/>
            </w:pPr>
            <w:r>
              <w:t xml:space="preserve">★★★★</w:t>
            </w:r>
          </w:p>
        </w:tc>
        <w:tc>
          <w:tcPr/>
          <w:p>
            <w:pPr>
              <w:pStyle w:val="Compact"/>
            </w:pPr>
            <w:r>
              <w:rPr>
                <w:rFonts w:hint="eastAsia"/>
              </w:rPr>
              <w:t xml:space="preserve">项目清单、审批、资金与回款</w:t>
            </w:r>
          </w:p>
        </w:tc>
      </w:tr>
      <w:tr>
        <w:tc>
          <w:tcPr/>
          <w:p>
            <w:pPr>
              <w:pStyle w:val="Compact"/>
            </w:pPr>
            <w:r>
              <w:rPr>
                <w:rFonts w:hint="eastAsia"/>
              </w:rPr>
              <w:t xml:space="preserve">博物馆管理/非遗服务</w:t>
            </w:r>
          </w:p>
        </w:tc>
        <w:tc>
          <w:tcPr/>
          <w:p>
            <w:pPr>
              <w:pStyle w:val="Compact"/>
            </w:pPr>
            <w:r>
              <w:rPr>
                <w:rFonts w:hint="eastAsia"/>
              </w:rPr>
              <w:t xml:space="preserve">中长期温和利好</w:t>
            </w:r>
          </w:p>
        </w:tc>
        <w:tc>
          <w:tcPr/>
          <w:p>
            <w:pPr>
              <w:pStyle w:val="Compact"/>
            </w:pPr>
            <w:r>
              <w:rPr>
                <w:rFonts w:hint="eastAsia"/>
              </w:rPr>
              <w:t xml:space="preserve">博物馆管理、非遗普查和分类保护</w:t>
            </w:r>
          </w:p>
        </w:tc>
        <w:tc>
          <w:tcPr/>
          <w:p>
            <w:pPr>
              <w:pStyle w:val="Compact"/>
              <w:jc w:val="right"/>
            </w:pPr>
            <w:r>
              <w:t xml:space="preserve">★★★☆</w:t>
            </w:r>
          </w:p>
        </w:tc>
        <w:tc>
          <w:tcPr/>
          <w:p>
            <w:pPr>
              <w:pStyle w:val="Compact"/>
            </w:pPr>
            <w:r>
              <w:rPr>
                <w:rFonts w:hint="eastAsia"/>
              </w:rPr>
              <w:t xml:space="preserve">普查采购、数字内容、运营与付费模式</w:t>
            </w:r>
          </w:p>
        </w:tc>
      </w:tr>
      <w:tr>
        <w:tc>
          <w:tcPr/>
          <w:p>
            <w:pPr>
              <w:pStyle w:val="Compact"/>
            </w:pPr>
            <w:r>
              <w:rPr>
                <w:rFonts w:hint="eastAsia"/>
              </w:rPr>
              <w:t xml:space="preserve">国防军工/军工电子</w:t>
            </w:r>
          </w:p>
        </w:tc>
        <w:tc>
          <w:tcPr/>
          <w:p>
            <w:pPr>
              <w:pStyle w:val="Compact"/>
            </w:pPr>
            <w:r>
              <w:rPr>
                <w:rFonts w:hint="eastAsia"/>
              </w:rPr>
              <w:t xml:space="preserve">长期战略利好</w:t>
            </w:r>
          </w:p>
        </w:tc>
        <w:tc>
          <w:tcPr/>
          <w:p>
            <w:pPr>
              <w:pStyle w:val="Compact"/>
            </w:pPr>
            <w:r>
              <w:rPr>
                <w:rFonts w:hint="eastAsia"/>
              </w:rPr>
              <w:t xml:space="preserve">建军百年目标、信息化战争能力</w:t>
            </w:r>
          </w:p>
        </w:tc>
        <w:tc>
          <w:tcPr/>
          <w:p>
            <w:pPr>
              <w:pStyle w:val="Compact"/>
              <w:jc w:val="right"/>
            </w:pPr>
            <w:r>
              <w:t xml:space="preserve">★★★★</w:t>
            </w:r>
          </w:p>
        </w:tc>
        <w:tc>
          <w:tcPr/>
          <w:p>
            <w:pPr>
              <w:pStyle w:val="Compact"/>
            </w:pPr>
            <w:r>
              <w:rPr>
                <w:rFonts w:hint="eastAsia"/>
              </w:rPr>
              <w:t xml:space="preserve">采购、型号、交付、回款和盈利兑现</w:t>
            </w:r>
          </w:p>
        </w:tc>
      </w:tr>
      <w:tr>
        <w:tc>
          <w:tcPr/>
          <w:p>
            <w:pPr>
              <w:pStyle w:val="Compact"/>
            </w:pPr>
            <w:r>
              <w:rPr>
                <w:rFonts w:hint="eastAsia"/>
              </w:rPr>
              <w:t xml:space="preserve">航空航天/舰船装备</w:t>
            </w:r>
          </w:p>
        </w:tc>
        <w:tc>
          <w:tcPr/>
          <w:p>
            <w:pPr>
              <w:pStyle w:val="Compact"/>
            </w:pPr>
            <w:r>
              <w:rPr>
                <w:rFonts w:hint="eastAsia"/>
              </w:rPr>
              <w:t xml:space="preserve">长期关注</w:t>
            </w:r>
          </w:p>
        </w:tc>
        <w:tc>
          <w:tcPr/>
          <w:p>
            <w:pPr>
              <w:pStyle w:val="Compact"/>
            </w:pPr>
            <w:r>
              <w:rPr>
                <w:rFonts w:hint="eastAsia"/>
              </w:rPr>
              <w:t xml:space="preserve">运-20、南昌舰等能力案例</w:t>
            </w:r>
          </w:p>
        </w:tc>
        <w:tc>
          <w:tcPr/>
          <w:p>
            <w:pPr>
              <w:pStyle w:val="Compact"/>
              <w:jc w:val="right"/>
            </w:pPr>
            <w:r>
              <w:t xml:space="preserve">★★★☆</w:t>
            </w:r>
          </w:p>
        </w:tc>
        <w:tc>
          <w:tcPr/>
          <w:p>
            <w:pPr>
              <w:pStyle w:val="Compact"/>
            </w:pPr>
            <w:r>
              <w:rPr>
                <w:rFonts w:hint="eastAsia"/>
              </w:rPr>
              <w:t xml:space="preserve">新订单、交付节点与产能利用率</w:t>
            </w:r>
          </w:p>
        </w:tc>
      </w:tr>
      <w:tr>
        <w:tc>
          <w:tcPr/>
          <w:p>
            <w:pPr>
              <w:pStyle w:val="Compact"/>
            </w:pPr>
            <w:r>
              <w:rPr>
                <w:rFonts w:hint="eastAsia"/>
              </w:rPr>
              <w:t xml:space="preserve">跨境基建/物流</w:t>
            </w:r>
          </w:p>
        </w:tc>
        <w:tc>
          <w:tcPr/>
          <w:p>
            <w:pPr>
              <w:pStyle w:val="Compact"/>
            </w:pPr>
            <w:r>
              <w:rPr>
                <w:rFonts w:hint="eastAsia"/>
              </w:rPr>
              <w:t xml:space="preserve">中长期偏利好</w:t>
            </w:r>
          </w:p>
        </w:tc>
        <w:tc>
          <w:tcPr/>
          <w:p>
            <w:pPr>
              <w:pStyle w:val="Compact"/>
            </w:pPr>
            <w:r>
              <w:rPr>
                <w:rFonts w:hint="eastAsia"/>
              </w:rPr>
              <w:t xml:space="preserve">上合运输通道与产供链韧性</w:t>
            </w:r>
          </w:p>
        </w:tc>
        <w:tc>
          <w:tcPr/>
          <w:p>
            <w:pPr>
              <w:pStyle w:val="Compact"/>
              <w:jc w:val="right"/>
            </w:pPr>
            <w:r>
              <w:t xml:space="preserve">★★★★</w:t>
            </w:r>
          </w:p>
        </w:tc>
        <w:tc>
          <w:tcPr/>
          <w:p>
            <w:pPr>
              <w:pStyle w:val="Compact"/>
            </w:pPr>
            <w:r>
              <w:rPr>
                <w:rFonts w:hint="eastAsia"/>
              </w:rPr>
              <w:t xml:space="preserve">项目、融资、招标、开工和回款</w:t>
            </w:r>
          </w:p>
        </w:tc>
      </w:tr>
      <w:tr>
        <w:tc>
          <w:tcPr/>
          <w:p>
            <w:pPr>
              <w:pStyle w:val="Compact"/>
            </w:pPr>
            <w:r>
              <w:rPr>
                <w:rFonts w:hint="eastAsia"/>
              </w:rPr>
              <w:t xml:space="preserve">对白数字经济合作</w:t>
            </w:r>
          </w:p>
        </w:tc>
        <w:tc>
          <w:tcPr/>
          <w:p>
            <w:pPr>
              <w:pStyle w:val="Compact"/>
            </w:pPr>
            <w:r>
              <w:rPr>
                <w:rFonts w:hint="eastAsia"/>
              </w:rPr>
              <w:t xml:space="preserve">合作预期</w:t>
            </w:r>
          </w:p>
        </w:tc>
        <w:tc>
          <w:tcPr/>
          <w:p>
            <w:pPr>
              <w:pStyle w:val="Compact"/>
            </w:pPr>
            <w:r>
              <w:rPr>
                <w:rFonts w:hint="eastAsia"/>
              </w:rPr>
              <w:t xml:space="preserve">中白贸易投资与数字经济</w:t>
            </w:r>
          </w:p>
        </w:tc>
        <w:tc>
          <w:tcPr/>
          <w:p>
            <w:pPr>
              <w:pStyle w:val="Compact"/>
              <w:jc w:val="right"/>
            </w:pPr>
            <w:r>
              <w:t xml:space="preserve">★★★☆</w:t>
            </w:r>
          </w:p>
        </w:tc>
        <w:tc>
          <w:tcPr/>
          <w:p>
            <w:pPr>
              <w:pStyle w:val="Compact"/>
            </w:pPr>
            <w:r>
              <w:rPr>
                <w:rFonts w:hint="eastAsia"/>
              </w:rPr>
              <w:t xml:space="preserve">双边文件、项目主体、金额和结算</w:t>
            </w:r>
          </w:p>
        </w:tc>
      </w:tr>
      <w:tr>
        <w:tc>
          <w:tcPr/>
          <w:p>
            <w:pPr>
              <w:pStyle w:val="Compact"/>
            </w:pPr>
            <w:r>
              <w:rPr>
                <w:rFonts w:hint="eastAsia"/>
              </w:rPr>
              <w:t xml:space="preserve">服务机器人/智能制造出海</w:t>
            </w:r>
          </w:p>
        </w:tc>
        <w:tc>
          <w:tcPr/>
          <w:p>
            <w:pPr>
              <w:pStyle w:val="Compact"/>
            </w:pPr>
            <w:r>
              <w:rPr>
                <w:rFonts w:hint="eastAsia"/>
              </w:rPr>
              <w:t xml:space="preserve">展会催化偏利好</w:t>
            </w:r>
          </w:p>
        </w:tc>
        <w:tc>
          <w:tcPr/>
          <w:p>
            <w:pPr>
              <w:pStyle w:val="Compact"/>
            </w:pPr>
            <w:r>
              <w:rPr>
                <w:rFonts w:hint="eastAsia"/>
              </w:rPr>
              <w:t xml:space="preserve">广交会采购商和新品数据</w:t>
            </w:r>
          </w:p>
        </w:tc>
        <w:tc>
          <w:tcPr/>
          <w:p>
            <w:pPr>
              <w:pStyle w:val="Compact"/>
              <w:jc w:val="right"/>
            </w:pPr>
            <w:r>
              <w:t xml:space="preserve">★★★☆</w:t>
            </w:r>
          </w:p>
        </w:tc>
        <w:tc>
          <w:tcPr/>
          <w:p>
            <w:pPr>
              <w:pStyle w:val="Compact"/>
            </w:pPr>
            <w:r>
              <w:rPr>
                <w:rFonts w:hint="eastAsia"/>
              </w:rPr>
              <w:t xml:space="preserve">成交额、订单转化、海外收入与利润率</w:t>
            </w:r>
          </w:p>
        </w:tc>
      </w:tr>
      <w:tr>
        <w:tc>
          <w:tcPr/>
          <w:p>
            <w:pPr>
              <w:pStyle w:val="Compact"/>
            </w:pPr>
            <w:r>
              <w:rPr>
                <w:rFonts w:hint="eastAsia"/>
              </w:rPr>
              <w:t xml:space="preserve">新能源设备出海</w:t>
            </w:r>
          </w:p>
        </w:tc>
        <w:tc>
          <w:tcPr/>
          <w:p>
            <w:pPr>
              <w:pStyle w:val="Compact"/>
            </w:pPr>
            <w:r>
              <w:rPr>
                <w:rFonts w:hint="eastAsia"/>
              </w:rPr>
              <w:t xml:space="preserve">预期偏利好</w:t>
            </w:r>
          </w:p>
        </w:tc>
        <w:tc>
          <w:tcPr/>
          <w:p>
            <w:pPr>
              <w:pStyle w:val="Compact"/>
            </w:pPr>
            <w:r>
              <w:rPr>
                <w:rFonts w:hint="eastAsia"/>
              </w:rPr>
              <w:t xml:space="preserve">广交会新能源新品增加</w:t>
            </w:r>
          </w:p>
        </w:tc>
        <w:tc>
          <w:tcPr/>
          <w:p>
            <w:pPr>
              <w:pStyle w:val="Compact"/>
              <w:jc w:val="right"/>
            </w:pPr>
            <w:r>
              <w:t xml:space="preserve">★★★☆</w:t>
            </w:r>
          </w:p>
        </w:tc>
        <w:tc>
          <w:tcPr/>
          <w:p>
            <w:pPr>
              <w:pStyle w:val="Compact"/>
            </w:pPr>
            <w:r>
              <w:rPr>
                <w:rFonts w:hint="eastAsia"/>
              </w:rPr>
              <w:t xml:space="preserve">海外订单、贸易壁垒、认证与回款</w:t>
            </w:r>
          </w:p>
        </w:tc>
      </w:tr>
      <w:tr>
        <w:tc>
          <w:tcPr/>
          <w:p>
            <w:pPr>
              <w:pStyle w:val="Compact"/>
            </w:pPr>
            <w:r>
              <w:rPr>
                <w:rFonts w:hint="eastAsia"/>
              </w:rPr>
              <w:t xml:space="preserve">水务/水利设备运维</w:t>
            </w:r>
          </w:p>
        </w:tc>
        <w:tc>
          <w:tcPr/>
          <w:p>
            <w:pPr>
              <w:pStyle w:val="Compact"/>
            </w:pPr>
            <w:r>
              <w:rPr>
                <w:rFonts w:hint="eastAsia"/>
              </w:rPr>
              <w:t xml:space="preserve">温和利好</w:t>
            </w:r>
          </w:p>
        </w:tc>
        <w:tc>
          <w:tcPr/>
          <w:p>
            <w:pPr>
              <w:pStyle w:val="Compact"/>
            </w:pPr>
            <w:r>
              <w:rPr>
                <w:rFonts w:hint="eastAsia"/>
              </w:rPr>
              <w:t xml:space="preserve">南水北调东线年度调水</w:t>
            </w:r>
          </w:p>
        </w:tc>
        <w:tc>
          <w:tcPr/>
          <w:p>
            <w:pPr>
              <w:pStyle w:val="Compact"/>
              <w:jc w:val="right"/>
            </w:pPr>
            <w:r>
              <w:t xml:space="preserve">★★★</w:t>
            </w:r>
          </w:p>
        </w:tc>
        <w:tc>
          <w:tcPr/>
          <w:p>
            <w:pPr>
              <w:pStyle w:val="Compact"/>
            </w:pPr>
            <w:r>
              <w:rPr>
                <w:rFonts w:hint="eastAsia"/>
              </w:rPr>
              <w:t xml:space="preserve">年度调水量、检修预算和采购</w:t>
            </w:r>
          </w:p>
        </w:tc>
      </w:tr>
      <w:tr>
        <w:tc>
          <w:tcPr/>
          <w:p>
            <w:pPr>
              <w:pStyle w:val="Compact"/>
            </w:pPr>
            <w:r>
              <w:rPr>
                <w:rFonts w:hint="eastAsia"/>
              </w:rPr>
              <w:t xml:space="preserve">航空机场/入境旅游</w:t>
            </w:r>
          </w:p>
        </w:tc>
        <w:tc>
          <w:tcPr/>
          <w:p>
            <w:pPr>
              <w:pStyle w:val="Compact"/>
            </w:pPr>
            <w:r>
              <w:rPr>
                <w:rFonts w:hint="eastAsia"/>
              </w:rPr>
              <w:t xml:space="preserve">需求数据偏利好</w:t>
            </w:r>
          </w:p>
        </w:tc>
        <w:tc>
          <w:tcPr/>
          <w:p>
            <w:pPr>
              <w:pStyle w:val="Compact"/>
            </w:pPr>
            <w:r>
              <w:rPr>
                <w:rFonts w:hint="eastAsia"/>
              </w:rPr>
              <w:t xml:space="preserve">出入境1.92亿人次、外国人增长15.6%</w:t>
            </w:r>
          </w:p>
        </w:tc>
        <w:tc>
          <w:tcPr/>
          <w:p>
            <w:pPr>
              <w:pStyle w:val="Compact"/>
              <w:jc w:val="right"/>
            </w:pPr>
            <w:r>
              <w:t xml:space="preserve">★★★</w:t>
            </w:r>
          </w:p>
        </w:tc>
        <w:tc>
          <w:tcPr/>
          <w:p>
            <w:pPr>
              <w:pStyle w:val="Compact"/>
            </w:pPr>
            <w:r>
              <w:rPr>
                <w:rFonts w:hint="eastAsia"/>
              </w:rPr>
              <w:t xml:space="preserve">运力、票价、客单价、入住率和消费</w:t>
            </w:r>
          </w:p>
        </w:tc>
      </w:tr>
      <w:tr>
        <w:tc>
          <w:tcPr/>
          <w:p>
            <w:pPr>
              <w:pStyle w:val="Compact"/>
            </w:pPr>
            <w:r>
              <w:rPr>
                <w:rFonts w:hint="eastAsia"/>
              </w:rPr>
              <w:t xml:space="preserve">快递物流/自动分拣</w:t>
            </w:r>
          </w:p>
        </w:tc>
        <w:tc>
          <w:tcPr/>
          <w:p>
            <w:pPr>
              <w:pStyle w:val="Compact"/>
            </w:pPr>
            <w:r>
              <w:rPr>
                <w:rFonts w:hint="eastAsia"/>
              </w:rPr>
              <w:t xml:space="preserve">稳健增长</w:t>
            </w:r>
          </w:p>
        </w:tc>
        <w:tc>
          <w:tcPr/>
          <w:p>
            <w:pPr>
              <w:pStyle w:val="Compact"/>
            </w:pPr>
            <w:r>
              <w:rPr>
                <w:rFonts w:hint="eastAsia"/>
              </w:rPr>
              <w:t xml:space="preserve">寄递业务量增长3.7%</w:t>
            </w:r>
          </w:p>
        </w:tc>
        <w:tc>
          <w:tcPr/>
          <w:p>
            <w:pPr>
              <w:pStyle w:val="Compact"/>
              <w:jc w:val="right"/>
            </w:pPr>
            <w:r>
              <w:t xml:space="preserve">★★★</w:t>
            </w:r>
          </w:p>
        </w:tc>
        <w:tc>
          <w:tcPr/>
          <w:p>
            <w:pPr>
              <w:pStyle w:val="Compact"/>
            </w:pPr>
            <w:r>
              <w:rPr>
                <w:rFonts w:hint="eastAsia"/>
              </w:rPr>
              <w:t xml:space="preserve">单票收入、价格竞争、成本和区域扩张</w:t>
            </w:r>
          </w:p>
        </w:tc>
      </w:tr>
      <w:tr>
        <w:tc>
          <w:tcPr/>
          <w:p>
            <w:pPr>
              <w:pStyle w:val="Compact"/>
            </w:pPr>
            <w:r>
              <w:rPr>
                <w:rFonts w:hint="eastAsia"/>
              </w:rPr>
              <w:t xml:space="preserve">能源安全/黄金</w:t>
            </w:r>
          </w:p>
        </w:tc>
        <w:tc>
          <w:tcPr/>
          <w:p>
            <w:pPr>
              <w:pStyle w:val="Compact"/>
            </w:pPr>
            <w:r>
              <w:rPr>
                <w:rFonts w:hint="eastAsia"/>
              </w:rPr>
              <w:t xml:space="preserve">风险溢价可能上升</w:t>
            </w:r>
          </w:p>
        </w:tc>
        <w:tc>
          <w:tcPr/>
          <w:p>
            <w:pPr>
              <w:pStyle w:val="Compact"/>
            </w:pPr>
            <w:r>
              <w:rPr>
                <w:rFonts w:hint="eastAsia"/>
              </w:rPr>
              <w:t xml:space="preserve">中东设施遇袭与地区紧张</w:t>
            </w:r>
          </w:p>
        </w:tc>
        <w:tc>
          <w:tcPr/>
          <w:p>
            <w:pPr>
              <w:pStyle w:val="Compact"/>
              <w:jc w:val="right"/>
            </w:pPr>
            <w:r>
              <w:t xml:space="preserve">★★★★</w:t>
            </w:r>
          </w:p>
        </w:tc>
        <w:tc>
          <w:tcPr/>
          <w:p>
            <w:pPr>
              <w:pStyle w:val="Compact"/>
            </w:pPr>
            <w:r>
              <w:rPr>
                <w:rFonts w:hint="eastAsia"/>
              </w:rPr>
              <w:t xml:space="preserve">油价、供应中断、避险资金和冲突持续性</w:t>
            </w:r>
          </w:p>
        </w:tc>
      </w:tr>
      <w:tr>
        <w:tc>
          <w:tcPr/>
          <w:p>
            <w:pPr>
              <w:pStyle w:val="Compact"/>
            </w:pPr>
            <w:r>
              <w:rPr>
                <w:rFonts w:hint="eastAsia"/>
              </w:rPr>
              <w:t xml:space="preserve">防空反导/反无人机</w:t>
            </w:r>
          </w:p>
        </w:tc>
        <w:tc>
          <w:tcPr/>
          <w:p>
            <w:pPr>
              <w:pStyle w:val="Compact"/>
            </w:pPr>
            <w:r>
              <w:rPr>
                <w:rFonts w:hint="eastAsia"/>
              </w:rPr>
              <w:t xml:space="preserve">事件性关注</w:t>
            </w:r>
          </w:p>
        </w:tc>
        <w:tc>
          <w:tcPr/>
          <w:p>
            <w:pPr>
              <w:pStyle w:val="Compact"/>
            </w:pPr>
            <w:r>
              <w:rPr>
                <w:rFonts w:hint="eastAsia"/>
              </w:rPr>
              <w:t xml:space="preserve">胡塞打击、美乌防空援助分歧</w:t>
            </w:r>
          </w:p>
        </w:tc>
        <w:tc>
          <w:tcPr/>
          <w:p>
            <w:pPr>
              <w:pStyle w:val="Compact"/>
              <w:jc w:val="right"/>
            </w:pPr>
            <w:r>
              <w:t xml:space="preserve">★★★★</w:t>
            </w:r>
          </w:p>
        </w:tc>
        <w:tc>
          <w:tcPr/>
          <w:p>
            <w:pPr>
              <w:pStyle w:val="Compact"/>
            </w:pPr>
            <w:r>
              <w:rPr>
                <w:rFonts w:hint="eastAsia"/>
              </w:rPr>
              <w:t xml:space="preserve">冲突演变与真实采购订单</w:t>
            </w:r>
          </w:p>
        </w:tc>
      </w:tr>
      <w:tr>
        <w:tc>
          <w:tcPr/>
          <w:p>
            <w:pPr>
              <w:pStyle w:val="Compact"/>
            </w:pPr>
            <w:r>
              <w:rPr>
                <w:rFonts w:hint="eastAsia"/>
              </w:rPr>
              <w:t xml:space="preserve">航空/国际物流</w:t>
            </w:r>
          </w:p>
        </w:tc>
        <w:tc>
          <w:tcPr/>
          <w:p>
            <w:pPr>
              <w:pStyle w:val="Compact"/>
            </w:pPr>
            <w:r>
              <w:rPr>
                <w:rFonts w:hint="eastAsia"/>
              </w:rPr>
              <w:t xml:space="preserve">潜在承压</w:t>
            </w:r>
          </w:p>
        </w:tc>
        <w:tc>
          <w:tcPr/>
          <w:p>
            <w:pPr>
              <w:pStyle w:val="Compact"/>
            </w:pPr>
            <w:r>
              <w:rPr>
                <w:rFonts w:hint="eastAsia"/>
              </w:rPr>
              <w:t xml:space="preserve">中东航空设施风险、欧洲扰动</w:t>
            </w:r>
          </w:p>
        </w:tc>
        <w:tc>
          <w:tcPr/>
          <w:p>
            <w:pPr>
              <w:pStyle w:val="Compact"/>
              <w:jc w:val="right"/>
            </w:pPr>
            <w:r>
              <w:t xml:space="preserve">★★★★</w:t>
            </w:r>
          </w:p>
        </w:tc>
        <w:tc>
          <w:tcPr/>
          <w:p>
            <w:pPr>
              <w:pStyle w:val="Compact"/>
            </w:pPr>
            <w:r>
              <w:rPr>
                <w:rFonts w:hint="eastAsia"/>
              </w:rPr>
              <w:t xml:space="preserve">航线、油价、保险、运价和停航情况</w:t>
            </w:r>
          </w:p>
        </w:tc>
      </w:tr>
      <w:tr>
        <w:tc>
          <w:tcPr/>
          <w:p>
            <w:pPr>
              <w:pStyle w:val="Compact"/>
            </w:pPr>
            <w:r>
              <w:rPr>
                <w:rFonts w:hint="eastAsia"/>
              </w:rPr>
              <w:t xml:space="preserve">对欧出口/海外零售</w:t>
            </w:r>
          </w:p>
        </w:tc>
        <w:tc>
          <w:tcPr/>
          <w:p>
            <w:pPr>
              <w:pStyle w:val="Compact"/>
            </w:pPr>
            <w:r>
              <w:rPr>
                <w:rFonts w:hint="eastAsia"/>
              </w:rPr>
              <w:t xml:space="preserve">短期扰动</w:t>
            </w:r>
          </w:p>
        </w:tc>
        <w:tc>
          <w:tcPr/>
          <w:p>
            <w:pPr>
              <w:pStyle w:val="Compact"/>
            </w:pPr>
            <w:r>
              <w:rPr>
                <w:rFonts w:hint="eastAsia"/>
              </w:rPr>
              <w:t xml:space="preserve">法国宵禁、西班牙洪灾</w:t>
            </w:r>
          </w:p>
        </w:tc>
        <w:tc>
          <w:tcPr/>
          <w:p>
            <w:pPr>
              <w:pStyle w:val="Compact"/>
              <w:jc w:val="right"/>
            </w:pPr>
            <w:r>
              <w:t xml:space="preserve">★★★</w:t>
            </w:r>
          </w:p>
        </w:tc>
        <w:tc>
          <w:tcPr/>
          <w:p>
            <w:pPr>
              <w:pStyle w:val="Compact"/>
            </w:pPr>
            <w:r>
              <w:rPr>
                <w:rFonts w:hint="eastAsia"/>
              </w:rPr>
              <w:t xml:space="preserve">事件持续时间、门店和物流实际影响</w:t>
            </w:r>
          </w:p>
        </w:tc>
      </w:tr>
      <w:tr>
        <w:tc>
          <w:tcPr/>
          <w:p>
            <w:pPr>
              <w:pStyle w:val="Compact"/>
            </w:pPr>
            <w:r>
              <w:rPr>
                <w:rFonts w:hint="eastAsia"/>
              </w:rPr>
              <w:t xml:space="preserve">气象监测/防洪应急</w:t>
            </w:r>
          </w:p>
        </w:tc>
        <w:tc>
          <w:tcPr/>
          <w:p>
            <w:pPr>
              <w:pStyle w:val="Compact"/>
            </w:pPr>
            <w:r>
              <w:rPr>
                <w:rFonts w:hint="eastAsia"/>
              </w:rPr>
              <w:t xml:space="preserve">条件性需求</w:t>
            </w:r>
          </w:p>
        </w:tc>
        <w:tc>
          <w:tcPr/>
          <w:p>
            <w:pPr>
              <w:pStyle w:val="Compact"/>
            </w:pPr>
            <w:r>
              <w:rPr>
                <w:rFonts w:hint="eastAsia"/>
              </w:rPr>
              <w:t xml:space="preserve">西班牙洪灾</w:t>
            </w:r>
          </w:p>
        </w:tc>
        <w:tc>
          <w:tcPr/>
          <w:p>
            <w:pPr>
              <w:pStyle w:val="Compact"/>
              <w:jc w:val="right"/>
            </w:pPr>
            <w:r>
              <w:t xml:space="preserve">★★★</w:t>
            </w:r>
          </w:p>
        </w:tc>
        <w:tc>
          <w:tcPr/>
          <w:p>
            <w:pPr>
              <w:pStyle w:val="Compact"/>
            </w:pPr>
            <w:r>
              <w:rPr>
                <w:rFonts w:hint="eastAsia"/>
              </w:rPr>
              <w:t xml:space="preserve">当地财政与真实采购，非灾情本身</w:t>
            </w:r>
          </w:p>
        </w:tc>
      </w:tr>
    </w:tbl>
    <w:bookmarkEnd w:id="34"/>
    <w:bookmarkStart w:id="38" w:name="七操作框架"/>
    <w:p>
      <w:pPr>
        <w:pStyle w:val="Heading2"/>
      </w:pPr>
      <w:r>
        <w:rPr>
          <w:rFonts w:hint="eastAsia"/>
        </w:rPr>
        <w:t xml:space="preserve">七、操作框架</w:t>
      </w:r>
    </w:p>
    <w:bookmarkStart w:id="35" w:name="短线优先级"/>
    <w:p>
      <w:pPr>
        <w:pStyle w:val="Heading3"/>
      </w:pPr>
      <w:r>
        <w:t xml:space="preserve">1. </w:t>
      </w:r>
      <w:r>
        <w:rPr>
          <w:rFonts w:hint="eastAsia"/>
        </w:rPr>
        <w:t xml:space="preserve">短线优先级</w:t>
      </w:r>
    </w:p>
    <w:p>
      <w:pPr>
        <w:pStyle w:val="Compact"/>
        <w:numPr>
          <w:ilvl w:val="0"/>
          <w:numId w:val="1023"/>
        </w:numPr>
      </w:pPr>
      <w:r>
        <w:rPr>
          <w:rFonts w:hint="eastAsia"/>
          <w:b/>
          <w:bCs/>
        </w:rPr>
        <w:t xml:space="preserve">第一优先观察国家数据集团主线。</w:t>
      </w:r>
      <w:r>
        <w:t xml:space="preserve"> </w:t>
      </w:r>
      <w:r>
        <w:rPr>
          <w:rFonts w:hint="eastAsia"/>
        </w:rPr>
        <w:t xml:space="preserve">组织载体已经成立，政策级别高于一般倡议；但交易上必须区分数据运营、基础设施、核心技术和安全四个环节，等待业务边界、资产方案和采购项目，不追逐仅凭名称关联的概念股。</w:t>
      </w:r>
    </w:p>
    <w:p>
      <w:pPr>
        <w:pStyle w:val="Compact"/>
        <w:numPr>
          <w:ilvl w:val="0"/>
          <w:numId w:val="1023"/>
        </w:numPr>
      </w:pPr>
      <w:r>
        <w:rPr>
          <w:rFonts w:hint="eastAsia"/>
          <w:b/>
          <w:bCs/>
        </w:rPr>
        <w:t xml:space="preserve">第二优先跟踪高技术制造与通信数据。</w:t>
      </w:r>
      <w:r>
        <w:t xml:space="preserve"> </w:t>
      </w:r>
      <w:r>
        <w:rPr>
          <w:rFonts w:hint="eastAsia"/>
        </w:rPr>
        <w:t xml:space="preserve">规上工业5.3%、高技术制造14.3%、工业利润15.7%、电信业务总量7.3%和互联网收入8.9%提供多维度支撑。短线看板块成交承接，中线看企业订单和利润率。</w:t>
      </w:r>
    </w:p>
    <w:p>
      <w:pPr>
        <w:pStyle w:val="Compact"/>
        <w:numPr>
          <w:ilvl w:val="0"/>
          <w:numId w:val="1023"/>
        </w:numPr>
      </w:pPr>
      <w:r>
        <w:rPr>
          <w:rFonts w:hint="eastAsia"/>
          <w:b/>
          <w:bCs/>
        </w:rPr>
        <w:t xml:space="preserve">6G只能按研发和标准进度交易。</w:t>
      </w:r>
      <w:r>
        <w:t xml:space="preserve"> </w:t>
      </w:r>
      <w:r>
        <w:rPr>
          <w:rFonts w:hint="eastAsia"/>
        </w:rPr>
        <w:t xml:space="preserve">原文只说关键技术研发实现突破，没有说明技术、主体或商用时间；不得把研发突破直接解释为当期大规模设备订单。</w:t>
      </w:r>
    </w:p>
    <w:p>
      <w:pPr>
        <w:pStyle w:val="Compact"/>
        <w:numPr>
          <w:ilvl w:val="0"/>
          <w:numId w:val="1023"/>
        </w:numPr>
      </w:pPr>
      <w:r>
        <w:rPr>
          <w:rFonts w:hint="eastAsia"/>
          <w:b/>
          <w:bCs/>
        </w:rPr>
        <w:t xml:space="preserve">文化遗产规划看预算与项目化。</w:t>
      </w:r>
      <w:r>
        <w:t xml:space="preserve"> </w:t>
      </w:r>
      <w:r>
        <w:rPr>
          <w:rFonts w:hint="eastAsia"/>
        </w:rPr>
        <w:t xml:space="preserve">普查、保护提升、博物馆管理和督察均有中期空间，但首先要等任务分解和采购。保护第一、最小干预也限制过度商业开发。</w:t>
      </w:r>
    </w:p>
    <w:p>
      <w:pPr>
        <w:pStyle w:val="Compact"/>
        <w:numPr>
          <w:ilvl w:val="0"/>
          <w:numId w:val="1023"/>
        </w:numPr>
      </w:pPr>
      <w:r>
        <w:rPr>
          <w:rFonts w:hint="eastAsia"/>
          <w:b/>
          <w:bCs/>
        </w:rPr>
        <w:t xml:space="preserve">军工与地缘线控制情绪溢价。</w:t>
      </w:r>
      <w:r>
        <w:t xml:space="preserve"> </w:t>
      </w:r>
      <w:r>
        <w:rPr>
          <w:rFonts w:hint="eastAsia"/>
        </w:rPr>
        <w:t xml:space="preserve">建军百年目标是长期战略线，中东和俄乌消息是短期风险线；二者都需订单或外部价格变量验证，高开无承接时不追。</w:t>
      </w:r>
    </w:p>
    <w:bookmarkEnd w:id="35"/>
    <w:bookmarkStart w:id="36" w:name="中线跟踪框架"/>
    <w:p>
      <w:pPr>
        <w:pStyle w:val="Heading3"/>
      </w:pPr>
      <w:r>
        <w:t xml:space="preserve">2. </w:t>
      </w:r>
      <w:r>
        <w:rPr>
          <w:rFonts w:hint="eastAsia"/>
        </w:rPr>
        <w:t xml:space="preserve">中线跟踪框架</w:t>
      </w:r>
    </w:p>
    <w:p>
      <w:pPr>
        <w:pStyle w:val="Compact"/>
        <w:numPr>
          <w:ilvl w:val="0"/>
          <w:numId w:val="1024"/>
        </w:numPr>
      </w:pPr>
      <w:r>
        <w:rPr>
          <w:rFonts w:hint="eastAsia"/>
          <w:b/>
          <w:bCs/>
        </w:rPr>
        <w:t xml:space="preserve">国家数据集团：</w:t>
      </w:r>
      <w:r>
        <w:t xml:space="preserve"> </w:t>
      </w:r>
      <w:r>
        <w:rPr>
          <w:rFonts w:hint="eastAsia"/>
        </w:rPr>
        <w:t xml:space="preserve">沿“股权与资产—业务边界—数据授权—基础设施投资—招标采购—产品定价—收入利润”跟踪，重点识别央企协同是否产生真实项目。</w:t>
      </w:r>
    </w:p>
    <w:p>
      <w:pPr>
        <w:pStyle w:val="Compact"/>
        <w:numPr>
          <w:ilvl w:val="0"/>
          <w:numId w:val="1024"/>
        </w:numPr>
      </w:pPr>
      <w:r>
        <w:rPr>
          <w:rFonts w:hint="eastAsia"/>
          <w:b/>
          <w:bCs/>
        </w:rPr>
        <w:t xml:space="preserve">先进制造：</w:t>
      </w:r>
      <w:r>
        <w:t xml:space="preserve"> </w:t>
      </w:r>
      <w:r>
        <w:rPr>
          <w:rFonts w:hint="eastAsia"/>
        </w:rPr>
        <w:t xml:space="preserve">沿“设备更新—技改投资—智能制造—高技术增加值—企业订单—交付—现金流”跟踪，避免用宏观增加值替代公司盈利。</w:t>
      </w:r>
    </w:p>
    <w:p>
      <w:pPr>
        <w:pStyle w:val="Compact"/>
        <w:numPr>
          <w:ilvl w:val="0"/>
          <w:numId w:val="1024"/>
        </w:numPr>
      </w:pPr>
      <w:r>
        <w:rPr>
          <w:rFonts w:hint="eastAsia"/>
          <w:b/>
          <w:bCs/>
        </w:rPr>
        <w:t xml:space="preserve">6G与通信：</w:t>
      </w:r>
      <w:r>
        <w:t xml:space="preserve"> </w:t>
      </w:r>
      <w:r>
        <w:rPr>
          <w:rFonts w:hint="eastAsia"/>
        </w:rPr>
        <w:t xml:space="preserve">沿“关键技术—标准提案—试验验证—试验网—频谱—运营商资本开支—商用”跟踪，接受周期长和研发投入高的现实。</w:t>
      </w:r>
    </w:p>
    <w:p>
      <w:pPr>
        <w:pStyle w:val="Compact"/>
        <w:numPr>
          <w:ilvl w:val="0"/>
          <w:numId w:val="1024"/>
        </w:numPr>
      </w:pPr>
      <w:r>
        <w:rPr>
          <w:rFonts w:hint="eastAsia"/>
          <w:b/>
          <w:bCs/>
        </w:rPr>
        <w:t xml:space="preserve">文化遗产保护：</w:t>
      </w:r>
      <w:r>
        <w:t xml:space="preserve"> </w:t>
      </w:r>
      <w:r>
        <w:rPr>
          <w:rFonts w:hint="eastAsia"/>
        </w:rPr>
        <w:t xml:space="preserve">沿“规划任务—普查—立法—预算—项目招标—修缮与数字化—验收运维”跟踪，区分公益保护和商业文旅。</w:t>
      </w:r>
    </w:p>
    <w:p>
      <w:pPr>
        <w:pStyle w:val="Compact"/>
        <w:numPr>
          <w:ilvl w:val="0"/>
          <w:numId w:val="1024"/>
        </w:numPr>
      </w:pPr>
      <w:r>
        <w:rPr>
          <w:rFonts w:hint="eastAsia"/>
          <w:b/>
          <w:bCs/>
        </w:rPr>
        <w:t xml:space="preserve">上合与双边合作：</w:t>
      </w:r>
      <w:r>
        <w:t xml:space="preserve"> </w:t>
      </w:r>
      <w:r>
        <w:rPr>
          <w:rFonts w:hint="eastAsia"/>
        </w:rPr>
        <w:t xml:space="preserve">沿“联合公报—合作文件—项目清单—融资—合同—开工—跨境结算—回款”跟踪，不重复计算外交活动产生的预期。</w:t>
      </w:r>
    </w:p>
    <w:p>
      <w:pPr>
        <w:pStyle w:val="Compact"/>
        <w:numPr>
          <w:ilvl w:val="0"/>
          <w:numId w:val="1024"/>
        </w:numPr>
      </w:pPr>
      <w:r>
        <w:rPr>
          <w:rFonts w:hint="eastAsia"/>
          <w:b/>
          <w:bCs/>
        </w:rPr>
        <w:t xml:space="preserve">出境入境与物流：</w:t>
      </w:r>
      <w:r>
        <w:t xml:space="preserve"> </w:t>
      </w:r>
      <w:r>
        <w:rPr>
          <w:rFonts w:hint="eastAsia"/>
        </w:rPr>
        <w:t xml:space="preserve">客流和件量只是需求端指标，仍要核验票价、客单、单票收入、成本和利润。</w:t>
      </w:r>
    </w:p>
    <w:bookmarkEnd w:id="36"/>
    <w:bookmarkStart w:id="37" w:name="仓位与节奏原则"/>
    <w:p>
      <w:pPr>
        <w:pStyle w:val="Heading3"/>
      </w:pPr>
      <w:r>
        <w:t xml:space="preserve">3. </w:t>
      </w:r>
      <w:r>
        <w:rPr>
          <w:rFonts w:hint="eastAsia"/>
        </w:rPr>
        <w:t xml:space="preserve">仓位与节奏原则</w:t>
      </w:r>
    </w:p>
    <w:p>
      <w:pPr>
        <w:pStyle w:val="Compact"/>
        <w:numPr>
          <w:ilvl w:val="0"/>
          <w:numId w:val="1025"/>
        </w:numPr>
      </w:pPr>
      <w:r>
        <w:rPr>
          <w:rFonts w:hint="eastAsia"/>
        </w:rPr>
        <w:t xml:space="preserve">本文未引入指数、成交额、资金流、估值和技术形态，因此不对总仓位给出机械比例。</w:t>
      </w:r>
    </w:p>
    <w:p>
      <w:pPr>
        <w:pStyle w:val="Compact"/>
        <w:numPr>
          <w:ilvl w:val="0"/>
          <w:numId w:val="1025"/>
        </w:numPr>
      </w:pPr>
      <w:r>
        <w:rPr>
          <w:rFonts w:hint="eastAsia"/>
        </w:rPr>
        <w:t xml:space="preserve">将国家数据集团定义为“强政策、待商业化确认”；将工业和通信数据定义为“景气可跟踪”；将文化遗产、上合合作和双边外交定义为“中期项目储备”；将海外冲突定义为“事件风险对冲”。</w:t>
      </w:r>
    </w:p>
    <w:p>
      <w:pPr>
        <w:pStyle w:val="Compact"/>
        <w:numPr>
          <w:ilvl w:val="0"/>
          <w:numId w:val="1025"/>
        </w:numPr>
      </w:pPr>
      <w:r>
        <w:rPr>
          <w:rFonts w:hint="eastAsia"/>
        </w:rPr>
        <w:t xml:space="preserve">同一新闻中的“AI、数字中国、数据基础设施”是一个政策组合，不能拆成多次独立利好累加；中伊合作与俄伊外交也不能据此推导相互独立的确定性订单。</w:t>
      </w:r>
    </w:p>
    <w:p>
      <w:pPr>
        <w:pStyle w:val="Compact"/>
        <w:numPr>
          <w:ilvl w:val="0"/>
          <w:numId w:val="1025"/>
        </w:numPr>
      </w:pPr>
      <w:r>
        <w:rPr>
          <w:rFonts w:hint="eastAsia"/>
        </w:rPr>
        <w:t xml:space="preserve">短线只在政策强度、板块量价和后续细则形成共振时参与；中线以订单、利润和现金流兑现替代单日新闻热度。</w:t>
      </w:r>
    </w:p>
    <w:bookmarkEnd w:id="37"/>
    <w:bookmarkEnd w:id="38"/>
    <w:bookmarkStart w:id="39" w:name="八风险与证伪条件"/>
    <w:p>
      <w:pPr>
        <w:pStyle w:val="Heading2"/>
      </w:pPr>
      <w:r>
        <w:rPr>
          <w:rFonts w:hint="eastAsia"/>
        </w:rPr>
        <w:t xml:space="preserve">八、风险与证伪条件</w:t>
      </w:r>
    </w:p>
    <w:p>
      <w:pPr>
        <w:pStyle w:val="Compact"/>
        <w:numPr>
          <w:ilvl w:val="0"/>
          <w:numId w:val="1026"/>
        </w:numPr>
      </w:pPr>
      <w:r>
        <w:rPr>
          <w:rFonts w:hint="eastAsia"/>
          <w:b/>
          <w:bCs/>
        </w:rPr>
        <w:t xml:space="preserve">国家数据集团落地风险：</w:t>
      </w:r>
      <w:r>
        <w:t xml:space="preserve"> </w:t>
      </w:r>
      <w:r>
        <w:rPr>
          <w:rFonts w:hint="eastAsia"/>
        </w:rPr>
        <w:t xml:space="preserve">若业务边界、资产授权、数据权属、定价机制和项目采购长期不明确，政策关注难以转化为企业利润。</w:t>
      </w:r>
    </w:p>
    <w:p>
      <w:pPr>
        <w:pStyle w:val="Compact"/>
        <w:numPr>
          <w:ilvl w:val="0"/>
          <w:numId w:val="1026"/>
        </w:numPr>
      </w:pPr>
      <w:r>
        <w:rPr>
          <w:rFonts w:hint="eastAsia"/>
          <w:b/>
          <w:bCs/>
        </w:rPr>
        <w:t xml:space="preserve">概念泛化风险：</w:t>
      </w:r>
      <w:r>
        <w:t xml:space="preserve"> </w:t>
      </w:r>
      <w:r>
        <w:rPr>
          <w:rFonts w:hint="eastAsia"/>
        </w:rPr>
        <w:t xml:space="preserve">数据、AI、卫星互联网、高校、医院和科技园在同一条报道中出现，不代表所有相关公司均与国家数据集团建立业务关系。</w:t>
      </w:r>
    </w:p>
    <w:p>
      <w:pPr>
        <w:pStyle w:val="Compact"/>
        <w:numPr>
          <w:ilvl w:val="0"/>
          <w:numId w:val="1026"/>
        </w:numPr>
      </w:pPr>
      <w:r>
        <w:rPr>
          <w:rFonts w:hint="eastAsia"/>
          <w:b/>
          <w:bCs/>
        </w:rPr>
        <w:t xml:space="preserve">工业数据外推风险：</w:t>
      </w:r>
      <w:r>
        <w:t xml:space="preserve"> </w:t>
      </w:r>
      <w:r>
        <w:rPr>
          <w:rFonts w:hint="eastAsia"/>
        </w:rPr>
        <w:t xml:space="preserve">增加值和利润总额是宏观口径，行业与企业分化可能显著；若订单、资本开支或现金流转弱，制造升级行情会分化。</w:t>
      </w:r>
    </w:p>
    <w:p>
      <w:pPr>
        <w:pStyle w:val="Compact"/>
        <w:numPr>
          <w:ilvl w:val="0"/>
          <w:numId w:val="1026"/>
        </w:numPr>
      </w:pPr>
      <w:r>
        <w:rPr>
          <w:rFonts w:hint="eastAsia"/>
          <w:b/>
          <w:bCs/>
        </w:rPr>
        <w:t xml:space="preserve">6G商业化周期风险：</w:t>
      </w:r>
      <w:r>
        <w:t xml:space="preserve"> </w:t>
      </w:r>
      <w:r>
        <w:rPr>
          <w:rFonts w:hint="eastAsia"/>
        </w:rPr>
        <w:t xml:space="preserve">“研发实现突破”不等于标准冻结或规模商用。若技术路线、频谱或运营商投资延后，短期业绩难兑现。</w:t>
      </w:r>
    </w:p>
    <w:p>
      <w:pPr>
        <w:pStyle w:val="Compact"/>
        <w:numPr>
          <w:ilvl w:val="0"/>
          <w:numId w:val="1026"/>
        </w:numPr>
      </w:pPr>
      <w:r>
        <w:rPr>
          <w:rFonts w:hint="eastAsia"/>
          <w:b/>
          <w:bCs/>
        </w:rPr>
        <w:t xml:space="preserve">文化遗产预算风险：</w:t>
      </w:r>
      <w:r>
        <w:t xml:space="preserve"> </w:t>
      </w:r>
      <w:r>
        <w:rPr>
          <w:rFonts w:hint="eastAsia"/>
        </w:rPr>
        <w:t xml:space="preserve">规划目标不等于全部项目立即启动；财政预算、审批、保护红线和“最小干预”可能限制商业化空间。</w:t>
      </w:r>
    </w:p>
    <w:p>
      <w:pPr>
        <w:pStyle w:val="Compact"/>
        <w:numPr>
          <w:ilvl w:val="0"/>
          <w:numId w:val="1026"/>
        </w:numPr>
      </w:pPr>
      <w:r>
        <w:rPr>
          <w:rFonts w:hint="eastAsia"/>
          <w:b/>
          <w:bCs/>
        </w:rPr>
        <w:t xml:space="preserve">军工订单与回款风险：</w:t>
      </w:r>
      <w:r>
        <w:t xml:space="preserve"> </w:t>
      </w:r>
      <w:r>
        <w:rPr>
          <w:rFonts w:hint="eastAsia"/>
        </w:rPr>
        <w:t xml:space="preserve">精神与能力报道不等于新增采购。若型号、订单、交付和回款不及预期，情绪交易难持续。</w:t>
      </w:r>
    </w:p>
    <w:p>
      <w:pPr>
        <w:pStyle w:val="Compact"/>
        <w:numPr>
          <w:ilvl w:val="0"/>
          <w:numId w:val="1026"/>
        </w:numPr>
      </w:pPr>
      <w:r>
        <w:rPr>
          <w:rFonts w:hint="eastAsia"/>
          <w:b/>
          <w:bCs/>
        </w:rPr>
        <w:t xml:space="preserve">外交合作兑现风险：</w:t>
      </w:r>
      <w:r>
        <w:t xml:space="preserve"> </w:t>
      </w:r>
      <w:r>
        <w:rPr>
          <w:rFonts w:hint="eastAsia"/>
        </w:rPr>
        <w:t xml:space="preserve">上合、中伊和中白合作均未披露项目金额和企业主体；融资、制裁、物流、汇率和回款可能影响落地。</w:t>
      </w:r>
    </w:p>
    <w:p>
      <w:pPr>
        <w:pStyle w:val="Compact"/>
        <w:numPr>
          <w:ilvl w:val="0"/>
          <w:numId w:val="1026"/>
        </w:numPr>
      </w:pPr>
      <w:r>
        <w:rPr>
          <w:rFonts w:hint="eastAsia"/>
          <w:b/>
          <w:bCs/>
        </w:rPr>
        <w:t xml:space="preserve">展会转化风险：</w:t>
      </w:r>
      <w:r>
        <w:t xml:space="preserve"> </w:t>
      </w:r>
      <w:r>
        <w:rPr>
          <w:rFonts w:hint="eastAsia"/>
        </w:rPr>
        <w:t xml:space="preserve">广交会采购商人数、新品数量和首发活动不等于成交收入，海外贸易壁垒和认证要求仍需评估。</w:t>
      </w:r>
    </w:p>
    <w:p>
      <w:pPr>
        <w:pStyle w:val="Compact"/>
        <w:numPr>
          <w:ilvl w:val="0"/>
          <w:numId w:val="1026"/>
        </w:numPr>
      </w:pPr>
      <w:r>
        <w:rPr>
          <w:rFonts w:hint="eastAsia"/>
          <w:b/>
          <w:bCs/>
        </w:rPr>
        <w:t xml:space="preserve">客流与件量盈利错配：</w:t>
      </w:r>
      <w:r>
        <w:t xml:space="preserve"> </w:t>
      </w:r>
      <w:r>
        <w:rPr>
          <w:rFonts w:hint="eastAsia"/>
        </w:rPr>
        <w:t xml:space="preserve">出入境人次和寄递件量增长可能伴随价格竞争和成本上升，收入、利润未必同速增长。</w:t>
      </w:r>
    </w:p>
    <w:p>
      <w:pPr>
        <w:pStyle w:val="Compact"/>
        <w:numPr>
          <w:ilvl w:val="0"/>
          <w:numId w:val="1026"/>
        </w:numPr>
      </w:pPr>
      <w:r>
        <w:rPr>
          <w:rFonts w:hint="eastAsia"/>
          <w:b/>
          <w:bCs/>
        </w:rPr>
        <w:t xml:space="preserve">地缘口径风险：</w:t>
      </w:r>
      <w:r>
        <w:t xml:space="preserve"> </w:t>
      </w:r>
      <w:r>
        <w:rPr>
          <w:rFonts w:hint="eastAsia"/>
        </w:rPr>
        <w:t xml:space="preserve">胡塞武装、地方当局、美国媒体、乌克兰媒体等信息均有明确报道主体，不能视作独立核验结论。</w:t>
      </w:r>
    </w:p>
    <w:p>
      <w:pPr>
        <w:pStyle w:val="Compact"/>
        <w:numPr>
          <w:ilvl w:val="0"/>
          <w:numId w:val="1026"/>
        </w:numPr>
      </w:pPr>
      <w:r>
        <w:rPr>
          <w:rFonts w:hint="eastAsia"/>
          <w:b/>
          <w:bCs/>
        </w:rPr>
        <w:t xml:space="preserve">能源与航运反转风险：</w:t>
      </w:r>
      <w:r>
        <w:t xml:space="preserve"> </w:t>
      </w:r>
      <w:r>
        <w:rPr>
          <w:rFonts w:hint="eastAsia"/>
        </w:rPr>
        <w:t xml:space="preserve">若中东设施未实质受损或局势缓和，油价、黄金、防务和航运风险溢价可能快速回吐。</w:t>
      </w:r>
    </w:p>
    <w:p>
      <w:pPr>
        <w:pStyle w:val="Compact"/>
        <w:numPr>
          <w:ilvl w:val="0"/>
          <w:numId w:val="1026"/>
        </w:numPr>
      </w:pPr>
      <w:r>
        <w:rPr>
          <w:rFonts w:hint="eastAsia"/>
          <w:b/>
          <w:bCs/>
        </w:rPr>
        <w:t xml:space="preserve">灾害伦理与持续性风险：</w:t>
      </w:r>
      <w:r>
        <w:t xml:space="preserve"> </w:t>
      </w:r>
      <w:r>
        <w:rPr>
          <w:rFonts w:hint="eastAsia"/>
        </w:rPr>
        <w:t xml:space="preserve">洪灾首先是公共安全事件；没有实际采购和业绩证据时，不应把人员伤亡包装为确定性利好。</w:t>
      </w:r>
    </w:p>
    <w:p>
      <w:pPr>
        <w:pStyle w:val="Compact"/>
        <w:numPr>
          <w:ilvl w:val="0"/>
          <w:numId w:val="1026"/>
        </w:numPr>
      </w:pPr>
      <w:r>
        <w:rPr>
          <w:rFonts w:hint="eastAsia"/>
          <w:b/>
          <w:bCs/>
        </w:rPr>
        <w:t xml:space="preserve">海外经营风险：</w:t>
      </w:r>
      <w:r>
        <w:t xml:space="preserve"> </w:t>
      </w:r>
      <w:r>
        <w:rPr>
          <w:rFonts w:hint="eastAsia"/>
        </w:rPr>
        <w:t xml:space="preserve">法国宵禁和西班牙洪灾若持续，可能影响当地消费、门店、旅游和物流；若快速结束，对A股传导则有限。</w:t>
      </w:r>
    </w:p>
    <w:p>
      <w:pPr>
        <w:pStyle w:val="Compact"/>
        <w:numPr>
          <w:ilvl w:val="0"/>
          <w:numId w:val="1026"/>
        </w:numPr>
      </w:pPr>
      <w:r>
        <w:rPr>
          <w:rFonts w:hint="eastAsia"/>
          <w:b/>
          <w:bCs/>
        </w:rPr>
        <w:t xml:space="preserve">信息边界风险：</w:t>
      </w:r>
      <w:r>
        <w:t xml:space="preserve"> </w:t>
      </w:r>
      <w:r>
        <w:rPr>
          <w:rFonts w:hint="eastAsia"/>
        </w:rPr>
        <w:t xml:space="preserve">本文只使用指定联播底稿，不含行情、公告、估值和外部事实；实盘决策前必须另行核验。</w:t>
      </w:r>
    </w:p>
    <w:bookmarkEnd w:id="39"/>
    <w:bookmarkStart w:id="44" w:name="九事实核验与覆盖清单"/>
    <w:p>
      <w:pPr>
        <w:pStyle w:val="Heading2"/>
      </w:pPr>
      <w:r>
        <w:rPr>
          <w:rFonts w:hint="eastAsia"/>
        </w:rPr>
        <w:t xml:space="preserve">九、事实核验与覆盖清单</w:t>
      </w:r>
    </w:p>
    <w:bookmarkStart w:id="40" w:name="一级条目覆盖"/>
    <w:p>
      <w:pPr>
        <w:pStyle w:val="Heading3"/>
      </w:pPr>
      <w:r>
        <w:t xml:space="preserve">1. </w:t>
      </w:r>
      <w:r>
        <w:rPr>
          <w:rFonts w:hint="eastAsia"/>
        </w:rPr>
        <w:t xml:space="preserve">一级条目覆盖</w:t>
      </w:r>
    </w:p>
    <w:p>
      <w:pPr>
        <w:pStyle w:val="FirstParagraph"/>
      </w:pPr>
      <w:r>
        <w:rPr>
          <w:rFonts w:hint="eastAsia"/>
        </w:rPr>
        <w:t xml:space="preserve">已按指定底稿原顺序覆盖全部11个一级条目：</w:t>
      </w:r>
    </w:p>
    <w:p>
      <w:pPr>
        <w:pStyle w:val="Compact"/>
        <w:numPr>
          <w:ilvl w:val="0"/>
          <w:numId w:val="1027"/>
        </w:numPr>
      </w:pPr>
      <w:r>
        <w:rPr>
          <w:rFonts w:hint="eastAsia"/>
        </w:rPr>
        <w:t xml:space="preserve">习近平致信祝贺中央社会主义学院建院70周年及王沪宁讲话；</w:t>
      </w:r>
    </w:p>
    <w:p>
      <w:pPr>
        <w:pStyle w:val="Compact"/>
        <w:numPr>
          <w:ilvl w:val="0"/>
          <w:numId w:val="1027"/>
        </w:numPr>
      </w:pPr>
      <w:r>
        <w:rPr>
          <w:rFonts w:hint="eastAsia"/>
        </w:rPr>
        <w:t xml:space="preserve">央视快评；</w:t>
      </w:r>
    </w:p>
    <w:p>
      <w:pPr>
        <w:pStyle w:val="Compact"/>
        <w:numPr>
          <w:ilvl w:val="0"/>
          <w:numId w:val="1027"/>
        </w:numPr>
      </w:pPr>
      <w:r>
        <w:rPr>
          <w:rFonts w:hint="eastAsia"/>
        </w:rPr>
        <w:t xml:space="preserve">赓续长征精神、打好建军百年目标攻坚战；</w:t>
      </w:r>
    </w:p>
    <w:p>
      <w:pPr>
        <w:pStyle w:val="Compact"/>
        <w:numPr>
          <w:ilvl w:val="0"/>
          <w:numId w:val="1027"/>
        </w:numPr>
      </w:pPr>
      <w:r>
        <w:rPr>
          <w:rFonts w:hint="eastAsia"/>
        </w:rPr>
        <w:t xml:space="preserve">李强出席上合组织成员国政府首脑理事会；</w:t>
      </w:r>
    </w:p>
    <w:p>
      <w:pPr>
        <w:pStyle w:val="Compact"/>
        <w:numPr>
          <w:ilvl w:val="0"/>
          <w:numId w:val="1027"/>
        </w:numPr>
      </w:pPr>
      <w:r>
        <w:rPr>
          <w:rFonts w:hint="eastAsia"/>
        </w:rPr>
        <w:t xml:space="preserve">李强会见伊朗第一副总统；</w:t>
      </w:r>
    </w:p>
    <w:p>
      <w:pPr>
        <w:pStyle w:val="Compact"/>
        <w:numPr>
          <w:ilvl w:val="0"/>
          <w:numId w:val="1027"/>
        </w:numPr>
      </w:pPr>
      <w:r>
        <w:rPr>
          <w:rFonts w:hint="eastAsia"/>
        </w:rPr>
        <w:t xml:space="preserve">李强会见白俄罗斯总理；</w:t>
      </w:r>
    </w:p>
    <w:p>
      <w:pPr>
        <w:pStyle w:val="Compact"/>
        <w:numPr>
          <w:ilvl w:val="0"/>
          <w:numId w:val="1027"/>
        </w:numPr>
      </w:pPr>
      <w:r>
        <w:rPr>
          <w:rFonts w:hint="eastAsia"/>
        </w:rPr>
        <w:t xml:space="preserve">丁薛祥出席国家数据集团成立大会并在雄安调研；</w:t>
      </w:r>
    </w:p>
    <w:p>
      <w:pPr>
        <w:pStyle w:val="Compact"/>
        <w:numPr>
          <w:ilvl w:val="0"/>
          <w:numId w:val="1027"/>
        </w:numPr>
      </w:pPr>
      <w:r>
        <w:rPr>
          <w:rFonts w:hint="eastAsia"/>
        </w:rPr>
        <w:t xml:space="preserve">首次编制文化遗产保护传承五年规划；</w:t>
      </w:r>
    </w:p>
    <w:p>
      <w:pPr>
        <w:pStyle w:val="Compact"/>
        <w:numPr>
          <w:ilvl w:val="0"/>
          <w:numId w:val="1027"/>
        </w:numPr>
      </w:pPr>
      <w:r>
        <w:rPr>
          <w:rFonts w:hint="eastAsia"/>
        </w:rPr>
        <w:t xml:space="preserve">前三季度规模以上工业增加值增长5.3%；</w:t>
      </w:r>
    </w:p>
    <w:p>
      <w:pPr>
        <w:pStyle w:val="Compact"/>
        <w:numPr>
          <w:ilvl w:val="0"/>
          <w:numId w:val="1027"/>
        </w:numPr>
      </w:pPr>
      <w:r>
        <w:rPr>
          <w:rFonts w:hint="eastAsia"/>
        </w:rPr>
        <w:t xml:space="preserve">国内联播快讯；</w:t>
      </w:r>
    </w:p>
    <w:p>
      <w:pPr>
        <w:pStyle w:val="Compact"/>
        <w:numPr>
          <w:ilvl w:val="0"/>
          <w:numId w:val="1027"/>
        </w:numPr>
      </w:pPr>
      <w:r>
        <w:rPr>
          <w:rFonts w:hint="eastAsia"/>
        </w:rPr>
        <w:t xml:space="preserve">国际联播快讯。</w:t>
      </w:r>
    </w:p>
    <w:bookmarkEnd w:id="40"/>
    <w:bookmarkStart w:id="41" w:name="快讯子项覆盖"/>
    <w:p>
      <w:pPr>
        <w:pStyle w:val="Heading3"/>
      </w:pPr>
      <w:r>
        <w:t xml:space="preserve">2. </w:t>
      </w:r>
      <w:r>
        <w:rPr>
          <w:rFonts w:hint="eastAsia"/>
        </w:rPr>
        <w:t xml:space="preserve">快讯子项覆盖</w:t>
      </w:r>
    </w:p>
    <w:p>
      <w:pPr>
        <w:pStyle w:val="Compact"/>
        <w:numPr>
          <w:ilvl w:val="0"/>
          <w:numId w:val="1028"/>
        </w:numPr>
      </w:pPr>
      <w:r>
        <w:rPr>
          <w:rFonts w:hint="eastAsia"/>
          <w:b/>
          <w:bCs/>
        </w:rPr>
        <w:t xml:space="preserve">国内联播快讯6个子项已逐项展开：</w:t>
      </w:r>
      <w:r>
        <w:t xml:space="preserve"> </w:t>
      </w:r>
      <w:r>
        <w:rPr>
          <w:rFonts w:hint="eastAsia"/>
        </w:rPr>
        <w:t xml:space="preserve">广交会新品首发、南水北调东线年度调水、三季度出入境、邮政寄递业务、秋招就业服务、“何以中国”网络主题宣传。</w:t>
      </w:r>
    </w:p>
    <w:p>
      <w:pPr>
        <w:pStyle w:val="Compact"/>
        <w:numPr>
          <w:ilvl w:val="0"/>
          <w:numId w:val="1028"/>
        </w:numPr>
      </w:pPr>
      <w:r>
        <w:rPr>
          <w:rFonts w:hint="eastAsia"/>
          <w:b/>
          <w:bCs/>
        </w:rPr>
        <w:t xml:space="preserve">国际联播快讯5个子项已逐项展开：</w:t>
      </w:r>
      <w:r>
        <w:t xml:space="preserve"> </w:t>
      </w:r>
      <w:r>
        <w:rPr>
          <w:rFonts w:hint="eastAsia"/>
        </w:rPr>
        <w:t xml:space="preserve">俄外长访问伊朗、胡塞武装称打击沙特目标、美国未批准向乌转让“爱国者”拦截弹、法国多地宵禁、西班牙洪灾。</w:t>
      </w:r>
    </w:p>
    <w:bookmarkEnd w:id="41"/>
    <w:bookmarkStart w:id="42" w:name="关键数字核对"/>
    <w:p>
      <w:pPr>
        <w:pStyle w:val="Heading3"/>
      </w:pPr>
      <w:r>
        <w:t xml:space="preserve">3. </w:t>
      </w:r>
      <w:r>
        <w:rPr>
          <w:rFonts w:hint="eastAsia"/>
        </w:rPr>
        <w:t xml:space="preserve">关键数字核对</w:t>
      </w:r>
    </w:p>
    <w:p>
      <w:pPr>
        <w:pStyle w:val="Compact"/>
        <w:numPr>
          <w:ilvl w:val="0"/>
          <w:numId w:val="1029"/>
        </w:numPr>
      </w:pPr>
      <w:r>
        <w:rPr>
          <w:rFonts w:hint="eastAsia"/>
          <w:b/>
          <w:bCs/>
        </w:rPr>
        <w:t xml:space="preserve">国防报道：</w:t>
      </w:r>
      <w:r>
        <w:t xml:space="preserve"> </w:t>
      </w:r>
      <w:r>
        <w:rPr>
          <w:rFonts w:hint="eastAsia"/>
        </w:rPr>
        <w:t xml:space="preserve">红军跨越近百条江河、攀越40余座高山险峰、进行600余次战役战斗；报道明确涉及万吨级驱逐舰、运-20和导弹阵地，但没有新增采购金额。</w:t>
      </w:r>
    </w:p>
    <w:p>
      <w:pPr>
        <w:pStyle w:val="Compact"/>
        <w:numPr>
          <w:ilvl w:val="0"/>
          <w:numId w:val="1029"/>
        </w:numPr>
      </w:pPr>
      <w:r>
        <w:rPr>
          <w:rFonts w:hint="eastAsia"/>
          <w:b/>
          <w:bCs/>
        </w:rPr>
        <w:t xml:space="preserve">文化遗产：</w:t>
      </w:r>
      <w:r>
        <w:t xml:space="preserve"> </w:t>
      </w:r>
      <w:r>
        <w:rPr>
          <w:rFonts w:hint="eastAsia"/>
        </w:rPr>
        <w:t xml:space="preserve">规划目标年份为2030年；第四次全国文物普查成果将被使用，并将开展第二次全国可移动文物普查、第二次全国非遗普查。</w:t>
      </w:r>
    </w:p>
    <w:p>
      <w:pPr>
        <w:pStyle w:val="Compact"/>
        <w:numPr>
          <w:ilvl w:val="0"/>
          <w:numId w:val="1029"/>
        </w:numPr>
      </w:pPr>
      <w:r>
        <w:rPr>
          <w:rFonts w:hint="eastAsia"/>
          <w:b/>
          <w:bCs/>
        </w:rPr>
        <w:t xml:space="preserve">工业与通信：</w:t>
      </w:r>
      <w:r>
        <w:t xml:space="preserve"> </w:t>
      </w:r>
      <w:r>
        <w:rPr>
          <w:rFonts w:hint="eastAsia"/>
        </w:rPr>
        <w:t xml:space="preserve">规上工业增加值增长5.3%，工业贡献率约35%；前8个月规上工业利润增长15.7%；高技术制造增长14.3%；电信业务总量增长7.3%；1—8月互联网业务收入增长8.9%。</w:t>
      </w:r>
    </w:p>
    <w:p>
      <w:pPr>
        <w:pStyle w:val="Compact"/>
        <w:numPr>
          <w:ilvl w:val="0"/>
          <w:numId w:val="1029"/>
        </w:numPr>
      </w:pPr>
      <w:r>
        <w:rPr>
          <w:rFonts w:hint="eastAsia"/>
          <w:b/>
          <w:bCs/>
        </w:rPr>
        <w:t xml:space="preserve">广交会：</w:t>
      </w:r>
      <w:r>
        <w:t xml:space="preserve"> </w:t>
      </w:r>
      <w:r>
        <w:rPr>
          <w:rFonts w:hint="eastAsia"/>
        </w:rPr>
        <w:t xml:space="preserve">214个国家和地区、18.9万名境外采购商、增长13.3%、335场新品首发，相关新品数量增长约20%。</w:t>
      </w:r>
    </w:p>
    <w:p>
      <w:pPr>
        <w:pStyle w:val="Compact"/>
        <w:numPr>
          <w:ilvl w:val="0"/>
          <w:numId w:val="1029"/>
        </w:numPr>
      </w:pPr>
      <w:r>
        <w:rPr>
          <w:rFonts w:hint="eastAsia"/>
          <w:b/>
          <w:bCs/>
        </w:rPr>
        <w:t xml:space="preserve">南水北调：</w:t>
      </w:r>
      <w:r>
        <w:t xml:space="preserve"> </w:t>
      </w:r>
      <w:r>
        <w:rPr>
          <w:rFonts w:hint="eastAsia"/>
        </w:rPr>
        <w:t xml:space="preserve">已完成13个年度调水任务，累计抽引长江水量超过530亿立方米，受益人口超过8500万人。</w:t>
      </w:r>
    </w:p>
    <w:p>
      <w:pPr>
        <w:pStyle w:val="Compact"/>
        <w:numPr>
          <w:ilvl w:val="0"/>
          <w:numId w:val="1029"/>
        </w:numPr>
      </w:pPr>
      <w:r>
        <w:rPr>
          <w:rFonts w:hint="eastAsia"/>
          <w:b/>
          <w:bCs/>
        </w:rPr>
        <w:t xml:space="preserve">出入境：</w:t>
      </w:r>
      <w:r>
        <w:t xml:space="preserve"> </w:t>
      </w:r>
      <w:r>
        <w:rPr>
          <w:rFonts w:hint="eastAsia"/>
        </w:rPr>
        <w:t xml:space="preserve">合计1.92亿人次、增长7.9%；内地居民9596万、港澳台居民7314万、外国人2327.2万，同比分别增长7.4%、6.4%、15.6%。</w:t>
      </w:r>
    </w:p>
    <w:p>
      <w:pPr>
        <w:pStyle w:val="Compact"/>
        <w:numPr>
          <w:ilvl w:val="0"/>
          <w:numId w:val="1029"/>
        </w:numPr>
      </w:pPr>
      <w:r>
        <w:rPr>
          <w:rFonts w:hint="eastAsia"/>
          <w:b/>
          <w:bCs/>
        </w:rPr>
        <w:t xml:space="preserve">邮政与就业：</w:t>
      </w:r>
      <w:r>
        <w:t xml:space="preserve"> </w:t>
      </w:r>
      <w:r>
        <w:rPr>
          <w:rFonts w:hint="eastAsia"/>
        </w:rPr>
        <w:t xml:space="preserve">寄递业务1641.3亿件、增长3.7%；第二批就业服务活动155场。</w:t>
      </w:r>
    </w:p>
    <w:p>
      <w:pPr>
        <w:pStyle w:val="Compact"/>
        <w:numPr>
          <w:ilvl w:val="0"/>
          <w:numId w:val="1029"/>
        </w:numPr>
      </w:pPr>
      <w:r>
        <w:rPr>
          <w:rFonts w:hint="eastAsia"/>
          <w:b/>
          <w:bCs/>
        </w:rPr>
        <w:t xml:space="preserve">中东事件：</w:t>
      </w:r>
      <w:r>
        <w:t xml:space="preserve"> </w:t>
      </w:r>
      <w:r>
        <w:rPr>
          <w:rFonts w:hint="eastAsia"/>
        </w:rPr>
        <w:t xml:space="preserve">胡塞武装称48小时内发动6次打击；舍卜沃地方当局称53人死亡、200多人受伤。</w:t>
      </w:r>
    </w:p>
    <w:p>
      <w:pPr>
        <w:pStyle w:val="Compact"/>
        <w:numPr>
          <w:ilvl w:val="0"/>
          <w:numId w:val="1029"/>
        </w:numPr>
      </w:pPr>
      <w:r>
        <w:rPr>
          <w:rFonts w:hint="eastAsia"/>
          <w:b/>
          <w:bCs/>
        </w:rPr>
        <w:t xml:space="preserve">欧洲事件：</w:t>
      </w:r>
      <w:r>
        <w:t xml:space="preserve"> </w:t>
      </w:r>
      <w:r>
        <w:rPr>
          <w:rFonts w:hint="eastAsia"/>
        </w:rPr>
        <w:t xml:space="preserve">法国警方逮捕超过2500人；西班牙洪灾造成4人死亡，约145个市镇、约90万人实施居家避险。</w:t>
      </w:r>
    </w:p>
    <w:bookmarkEnd w:id="42"/>
    <w:bookmarkStart w:id="43" w:name="口径与边界核验"/>
    <w:p>
      <w:pPr>
        <w:pStyle w:val="Heading3"/>
      </w:pPr>
      <w:r>
        <w:t xml:space="preserve">4. </w:t>
      </w:r>
      <w:r>
        <w:rPr>
          <w:rFonts w:hint="eastAsia"/>
        </w:rPr>
        <w:t xml:space="preserve">口径与边界核验</w:t>
      </w:r>
    </w:p>
    <w:p>
      <w:pPr>
        <w:pStyle w:val="Compact"/>
        <w:numPr>
          <w:ilvl w:val="0"/>
          <w:numId w:val="1030"/>
        </w:numPr>
      </w:pPr>
      <w:r>
        <w:rPr>
          <w:rFonts w:hint="eastAsia"/>
        </w:rPr>
        <w:t xml:space="preserve">已保留胡塞武装、舍卜沃地方当局、美国媒体、美国官员、特朗普、乌克兰媒体和泽连斯基等报道主体，未将各方说法改写为独立核验事实。</w:t>
      </w:r>
    </w:p>
    <w:p>
      <w:pPr>
        <w:pStyle w:val="Compact"/>
        <w:numPr>
          <w:ilvl w:val="0"/>
          <w:numId w:val="1030"/>
        </w:numPr>
      </w:pPr>
      <w:r>
        <w:rPr>
          <w:rFonts w:hint="eastAsia"/>
        </w:rPr>
        <w:t xml:space="preserve">已明确央视快评底稿只有播发句，不补写缺失正文。</w:t>
      </w:r>
    </w:p>
    <w:p>
      <w:pPr>
        <w:pStyle w:val="Compact"/>
        <w:numPr>
          <w:ilvl w:val="0"/>
          <w:numId w:val="1030"/>
        </w:numPr>
      </w:pPr>
      <w:r>
        <w:rPr>
          <w:rFonts w:hint="eastAsia"/>
        </w:rPr>
        <w:t xml:space="preserve">已区分国家数据集团“成立与任务定位”和未来资产注入、采购、订单、收入；未虚构注册资本、股东、项目和供应商。</w:t>
      </w:r>
    </w:p>
    <w:p>
      <w:pPr>
        <w:pStyle w:val="Compact"/>
        <w:numPr>
          <w:ilvl w:val="0"/>
          <w:numId w:val="1030"/>
        </w:numPr>
      </w:pPr>
      <w:r>
        <w:rPr>
          <w:rFonts w:hint="eastAsia"/>
        </w:rPr>
        <w:t xml:space="preserve">已区分“6G关键技术研发实现突破”和标准冻结、试验网、商业化；未虚构具体技术名称或时间表。</w:t>
      </w:r>
    </w:p>
    <w:p>
      <w:pPr>
        <w:pStyle w:val="Compact"/>
        <w:numPr>
          <w:ilvl w:val="0"/>
          <w:numId w:val="1030"/>
        </w:numPr>
      </w:pPr>
      <w:r>
        <w:rPr>
          <w:rFonts w:hint="eastAsia"/>
        </w:rPr>
        <w:t xml:space="preserve">已区分文化遗产规划、普查与具体财政预算和项目采购；未将保护规划泛化为大规模文旅开发。</w:t>
      </w:r>
    </w:p>
    <w:p>
      <w:pPr>
        <w:pStyle w:val="Compact"/>
        <w:numPr>
          <w:ilvl w:val="0"/>
          <w:numId w:val="1030"/>
        </w:numPr>
      </w:pPr>
      <w:r>
        <w:rPr>
          <w:rFonts w:hint="eastAsia"/>
        </w:rPr>
        <w:t xml:space="preserve">已区分上合联合公报、双边合作表态与商业合同；未虚构项目名称、金额或参与企业。</w:t>
      </w:r>
    </w:p>
    <w:p>
      <w:pPr>
        <w:pStyle w:val="Compact"/>
        <w:numPr>
          <w:ilvl w:val="0"/>
          <w:numId w:val="1030"/>
        </w:numPr>
      </w:pPr>
      <w:r>
        <w:rPr>
          <w:rFonts w:hint="eastAsia"/>
        </w:rPr>
        <w:t xml:space="preserve">已将宏观工业数据、展会客流、出入境人次、寄递件量与上市公司订单和利润分开。</w:t>
      </w:r>
    </w:p>
    <w:p>
      <w:pPr>
        <w:pStyle w:val="Compact"/>
        <w:numPr>
          <w:ilvl w:val="0"/>
          <w:numId w:val="1030"/>
        </w:numPr>
      </w:pPr>
      <w:r>
        <w:rPr>
          <w:rFonts w:hint="eastAsia"/>
        </w:rPr>
        <w:t xml:space="preserve">全文未列个股，未写入底稿未披露的实时行情、资金流、估值、企业订单或外部联播事实。</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43"/>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2026-10-20T12:34:01Z</dcterms:created>
  <dcterms:modified xsi:type="dcterms:W3CDTF">2026-10-20T12:34:01Z</dcterms:modified>
</cp:coreProperties>
</file>

<file path=docProps/custom.xml><?xml version="1.0" encoding="utf-8"?>
<Properties xmlns="http://schemas.openxmlformats.org/officeDocument/2006/custom-properties" xmlns:vt="http://schemas.openxmlformats.org/officeDocument/2006/docPropsVTypes"/>
</file>