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年10月19日新闻联播a股影响深度解读"/>
    <w:p>
      <w:pPr>
        <w:pStyle w:val="Heading1"/>
      </w:pPr>
      <w:r>
        <w:rPr>
          <w:rFonts w:hint="eastAsia"/>
        </w:rPr>
        <w:t xml:space="preserve">2026年10月19日《新闻联播》A股影响深度解读</w:t>
      </w:r>
    </w:p>
    <w:p>
      <w:pPr>
        <w:pStyle w:val="BlockText"/>
      </w:pPr>
      <w:r>
        <w:rPr>
          <w:rFonts w:hint="eastAsia"/>
        </w:rPr>
        <w:t xml:space="preserve">数据边界：本文唯一事实底稿为</w:t>
      </w:r>
      <w:r>
        <w:t xml:space="preserve"> </w:t>
      </w:r>
      <w:r>
        <w:rPr>
          <w:rStyle w:val="VerbatimChar"/>
        </w:rPr>
        <w:t xml:space="preserve">/Users/qiji/.hermes/skills/finance/qiji-morning-know/memory/xinwenlianbo/2026-10-19.md</w:t>
      </w:r>
      <w:r>
        <w:rPr>
          <w:rFonts w:hint="eastAsia"/>
        </w:rPr>
        <w:t xml:space="preserve">。下文将“原文事实”与“产业解读”严格分开；所有“受益”“承压”均为基于底稿事实作出的条件性行业映射，不代表政策已经转化为上市公司订单、收入、利润或资金流，不构成投资建议。本文不列个股，也未引入行情、估值、公司公告或底稿之外的联播事实。</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整体基调：国内增长韧性与产业升级偏积极，基建、数智商业和新型储能线索清晰；海外地缘风险升温。</w:t>
      </w:r>
      <w:r>
        <w:t xml:space="preserve"> </w:t>
      </w:r>
      <w:r>
        <w:rPr>
          <w:rFonts w:hint="eastAsia"/>
        </w:rPr>
        <w:t xml:space="preserve">国内部分既有前三季度GDP、工业、消费与新动能数据，也有科技兴商、“黄金大外环”、广交会先进制造、新型储能产业链等政策或产业载体。国际部分集中呈现俄乌打击、也门与沙特冲突、伊朗及以色列安全表态，风险偏好受到外部不确定性约束。</w:t>
      </w:r>
    </w:p>
    <w:p>
      <w:pPr>
        <w:pStyle w:val="Compact"/>
        <w:numPr>
          <w:ilvl w:val="0"/>
          <w:numId w:val="1001"/>
        </w:numPr>
      </w:pPr>
      <w:r>
        <w:rPr>
          <w:rFonts w:hint="eastAsia"/>
          <w:b/>
          <w:bCs/>
        </w:rPr>
        <w:t xml:space="preserve">政策信号强度：中强。</w:t>
      </w:r>
      <w:r>
        <w:t xml:space="preserve"> </w:t>
      </w:r>
      <w:r>
        <w:rPr>
          <w:rFonts w:hint="eastAsia"/>
        </w:rPr>
        <w:t xml:space="preserve">对A股最具可跟踪性的信号，来自18项科技兴商举措、“人工智能+制造”、约3700亿元“黄金大外环”建设改造投资、金融管理部门集中发布政策、新型储能累计装机超1.53亿千瓦，以及传统产业687项国家标准。头条以长征精神为主，但其中列举平陆运河、三峡水运新通道、海上换流站、核电、航天和深海科研，强化重大工程与自主创新的长期叙事。</w:t>
      </w:r>
    </w:p>
    <w:p>
      <w:pPr>
        <w:pStyle w:val="Compact"/>
        <w:numPr>
          <w:ilvl w:val="0"/>
          <w:numId w:val="1001"/>
        </w:numPr>
      </w:pPr>
      <w:r>
        <w:rPr>
          <w:rFonts w:hint="eastAsia"/>
          <w:b/>
          <w:bCs/>
        </w:rPr>
        <w:t xml:space="preserve">对A股总体影响：结构性利好，不等同于指数单边利好。</w:t>
      </w:r>
      <w:r>
        <w:t xml:space="preserve"> </w:t>
      </w:r>
      <w:r>
        <w:rPr>
          <w:rFonts w:hint="eastAsia"/>
        </w:rPr>
        <w:t xml:space="preserve">先进制造、工业人工智能、商业数字化、沿边沿海公路建设、新型储能、清洁能源、核电与电网装备、户外运动消费及中亚合作获得正向映射；但GDP增速信息更偏“韧性确认”而非超预期判断，金融政策尚未披露具体内容，海外冲突则可能抬升能源、航运和避险资产波动。</w:t>
      </w:r>
    </w:p>
    <w:p>
      <w:pPr>
        <w:pStyle w:val="Compact"/>
        <w:numPr>
          <w:ilvl w:val="0"/>
          <w:numId w:val="1001"/>
        </w:numPr>
      </w:pPr>
      <w:r>
        <w:rPr>
          <w:rFonts w:hint="eastAsia"/>
          <w:b/>
          <w:bCs/>
        </w:rPr>
        <w:t xml:space="preserve">一句话结论：</w:t>
      </w:r>
      <w:r>
        <w:t xml:space="preserve"> </w:t>
      </w:r>
      <w:r>
        <w:rPr>
          <w:rFonts w:hint="eastAsia"/>
        </w:rPr>
        <w:t xml:space="preserve">短线优先观察有政策数量、投资规模或装机数据支撑的科技兴商、“黄金大外环”、金融改革、新型储能和传统产业标准线，中线关注高端制造、重大工程、清洁能源、户外消费与中塔合作；所有方向均以细则、预算、招标、订单、销量和盈利兑现为准。</w:t>
      </w:r>
    </w:p>
    <w:bookmarkEnd w:id="9"/>
    <w:bookmarkStart w:id="10" w:name="二核心政策与市场信号"/>
    <w:p>
      <w:pPr>
        <w:pStyle w:val="Heading2"/>
      </w:pPr>
      <w:r>
        <w:rPr>
          <w:rFonts w:hint="eastAsia"/>
        </w:rPr>
        <w:t xml:space="preserve">二、核心政策与市场信号</w:t>
      </w:r>
    </w:p>
    <w:p>
      <w:pPr>
        <w:pStyle w:val="Compact"/>
        <w:numPr>
          <w:ilvl w:val="0"/>
          <w:numId w:val="1002"/>
        </w:numPr>
      </w:pPr>
      <w:r>
        <w:rPr>
          <w:rFonts w:hint="eastAsia"/>
          <w:b/>
          <w:bCs/>
        </w:rPr>
        <w:t xml:space="preserve">经济增长韧性与结构升级同步确认（★★★★☆）</w:t>
      </w:r>
      <w:r>
        <w:rPr>
          <w:rFonts w:hint="eastAsia"/>
        </w:rPr>
        <w:t xml:space="preserve">：前三季度GDP同比增长4.6%，内需贡献率超过七成，新动能贡献率继续保持在40%以上，装备制造业和高技术制造业增速显著快于全部规上工业，市场线索从总量扩张进一步转向制造升级、数智经济和现代服务。</w:t>
      </w:r>
    </w:p>
    <w:p>
      <w:pPr>
        <w:pStyle w:val="Compact"/>
        <w:numPr>
          <w:ilvl w:val="0"/>
          <w:numId w:val="1002"/>
        </w:numPr>
      </w:pPr>
      <w:r>
        <w:rPr>
          <w:rFonts w:hint="eastAsia"/>
          <w:b/>
          <w:bCs/>
        </w:rPr>
        <w:t xml:space="preserve">科技兴商从供给、场景到服务形成18项举措（★★★★）</w:t>
      </w:r>
      <w:r>
        <w:rPr>
          <w:rFonts w:hint="eastAsia"/>
        </w:rPr>
        <w:t xml:space="preserve">：柔性制造、个性化定制、服务消费扩容、智能绿色融合场景、“人工智能+制造”、AI终端和“人工智能+文旅”试点构成可继续跟踪的政策组合。</w:t>
      </w:r>
    </w:p>
    <w:p>
      <w:pPr>
        <w:pStyle w:val="Compact"/>
        <w:numPr>
          <w:ilvl w:val="0"/>
          <w:numId w:val="1002"/>
        </w:numPr>
      </w:pPr>
      <w:r>
        <w:rPr>
          <w:rFonts w:hint="eastAsia"/>
          <w:b/>
          <w:bCs/>
        </w:rPr>
        <w:t xml:space="preserve">“黄金大外环”给出约3700亿元中期投资锚（★★★★）</w:t>
      </w:r>
      <w:r>
        <w:rPr>
          <w:rFonts w:hint="eastAsia"/>
        </w:rPr>
        <w:t xml:space="preserve">：“十五五”期间建设改造约7400公里，国道219、331、228将全面贯通，公路工程、桥梁、材料、施工装备和沿线物流存在条件性需求映射。</w:t>
      </w:r>
    </w:p>
    <w:p>
      <w:pPr>
        <w:pStyle w:val="Compact"/>
        <w:numPr>
          <w:ilvl w:val="0"/>
          <w:numId w:val="1002"/>
        </w:numPr>
      </w:pPr>
      <w:r>
        <w:rPr>
          <w:rFonts w:hint="eastAsia"/>
          <w:b/>
          <w:bCs/>
        </w:rPr>
        <w:t xml:space="preserve">新型储能产业链规模化信号强化（★★★★）</w:t>
      </w:r>
      <w:r>
        <w:rPr>
          <w:rFonts w:hint="eastAsia"/>
        </w:rPr>
        <w:t xml:space="preserve">：截至今年6月底累计装机超1.53亿千瓦、较“十四五”初期增长50倍，且已形成从原料冶炼、电池制造到系统集成的完整产业链；机会与产能竞争、利用率和盈利压力并存。</w:t>
      </w:r>
    </w:p>
    <w:p>
      <w:pPr>
        <w:pStyle w:val="Compact"/>
        <w:numPr>
          <w:ilvl w:val="0"/>
          <w:numId w:val="1002"/>
        </w:numPr>
      </w:pPr>
      <w:r>
        <w:rPr>
          <w:rFonts w:hint="eastAsia"/>
          <w:b/>
          <w:bCs/>
        </w:rPr>
        <w:t xml:space="preserve">金融改革与传统产业标准进入密集发布窗口（★★★★）</w:t>
      </w:r>
      <w:r>
        <w:rPr>
          <w:rFonts w:hint="eastAsia"/>
        </w:rPr>
        <w:t xml:space="preserve">：金融街论坛期间集中发布系列金融改革发展政策及百余项制度、技术成果；机械、石化等传统产业今年已制修订并发布687项国家标准。前者需等待具体政策文本，后者需看标准实施后的设备更新和合规投入。</w:t>
      </w:r>
    </w:p>
    <w:p>
      <w:pPr>
        <w:pStyle w:val="Compact"/>
        <w:numPr>
          <w:ilvl w:val="0"/>
          <w:numId w:val="1002"/>
        </w:numPr>
      </w:pPr>
      <w:r>
        <w:rPr>
          <w:rFonts w:hint="eastAsia"/>
          <w:b/>
          <w:bCs/>
        </w:rPr>
        <w:t xml:space="preserve">外部冲突形成风险对冲线而非确定性产业利好（★★★★）</w:t>
      </w:r>
      <w:r>
        <w:rPr>
          <w:rFonts w:hint="eastAsia"/>
        </w:rPr>
        <w:t xml:space="preserve">：俄乌打击扩大至军工、无人机、数据中心、石油和物流设施，也门与沙特冲突升级，伊朗和以色列释放更强硬安全信号。其A股传导要由油价、航线、保险、商品价格和真实订单验证。</w:t>
      </w:r>
    </w:p>
    <w:bookmarkEnd w:id="10"/>
    <w:bookmarkStart w:id="20" w:name="三逐条a股影响分析"/>
    <w:p>
      <w:pPr>
        <w:pStyle w:val="Heading2"/>
      </w:pPr>
      <w:r>
        <w:rPr>
          <w:rFonts w:hint="eastAsia"/>
        </w:rPr>
        <w:t xml:space="preserve">三、逐条A股影响分析</w:t>
      </w:r>
    </w:p>
    <w:bookmarkStart w:id="11" w:name="长征胜利90周年头条重大工程自主创新与乡村振兴构成长周期产业映射"/>
    <w:p>
      <w:pPr>
        <w:pStyle w:val="Heading3"/>
      </w:pPr>
      <w:r>
        <w:t xml:space="preserve">1. </w:t>
      </w:r>
      <w:r>
        <w:rPr>
          <w:rFonts w:hint="eastAsia"/>
        </w:rPr>
        <w:t xml:space="preserve">长征胜利90周年头条：重大工程、自主创新与乡村振兴构成长周期产业映射</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A股影响：长期结构性偏利好，短期直接催化有限</w:t>
      </w:r>
    </w:p>
    <w:p>
      <w:pPr>
        <w:pStyle w:val="Compact"/>
        <w:numPr>
          <w:ilvl w:val="0"/>
          <w:numId w:val="1003"/>
        </w:numPr>
      </w:pPr>
      <w:r>
        <w:rPr>
          <w:rFonts w:hint="eastAsia"/>
          <w:b/>
          <w:bCs/>
        </w:rPr>
        <w:t xml:space="preserve">影响时效：长期为主；具体工程节点可形成阶段性关注</w:t>
      </w:r>
    </w:p>
    <w:p>
      <w:pPr>
        <w:pStyle w:val="Compact"/>
        <w:numPr>
          <w:ilvl w:val="0"/>
          <w:numId w:val="1003"/>
        </w:numPr>
      </w:pPr>
      <w:r>
        <w:rPr>
          <w:rFonts w:hint="eastAsia"/>
          <w:b/>
          <w:bCs/>
        </w:rPr>
        <w:t xml:space="preserve">条件性受益映射：</w:t>
      </w:r>
      <w:r>
        <w:t xml:space="preserve"> </w:t>
      </w:r>
      <w:r>
        <w:rPr>
          <w:rFonts w:hint="eastAsia"/>
        </w:rPr>
        <w:t xml:space="preserve">水运工程、港航建设、海上风电送出、核电装备、商业航天、深海科研仪器、乡村特色产业与基础设施。</w:t>
      </w:r>
    </w:p>
    <w:p>
      <w:pPr>
        <w:pStyle w:val="FirstParagraph"/>
      </w:pPr>
      <w:r>
        <w:rPr>
          <w:rFonts w:hint="eastAsia"/>
          <w:b/>
          <w:bCs/>
        </w:rPr>
        <w:t xml:space="preserve">原文事实：</w:t>
      </w:r>
      <w:r>
        <w:t xml:space="preserve"> </w:t>
      </w:r>
      <w:r>
        <w:rPr>
          <w:rFonts w:hint="eastAsia"/>
        </w:rPr>
        <w:t xml:space="preserve">头条主题是纪念中国工农红军长征胜利90周年、弘扬长征精神。报道以重大工程和科技攻关展示“实干笃行”：平陆运河正式建成通航；世界最大的海上换流站“海风之心”完成海上安装；田湾核电7号机组首次并网发电；今年6月，三峡水运新通道作为我国“十五五”期间开工建设的首个国家重大标志性工程破土动工，施工期将历时100个月，目前已全面进入主体建设阶段。报道还提到新一代长征火箭“回得来”以及我国首个大型深海中微子望远镜在南海约3500米深海开展海试。乡村振兴案例中，百坭村发展油茶、砂糖橘、八角、杉木等产业，22公里产业路全线贯通。</w:t>
      </w:r>
    </w:p>
    <w:p>
      <w:pPr>
        <w:pStyle w:val="BodyText"/>
      </w:pPr>
      <w:r>
        <w:rPr>
          <w:rFonts w:hint="eastAsia"/>
          <w:b/>
          <w:bCs/>
        </w:rPr>
        <w:t xml:space="preserve">产业解读：</w:t>
      </w:r>
      <w:r>
        <w:t xml:space="preserve"> </w:t>
      </w:r>
      <w:r>
        <w:rPr>
          <w:rFonts w:hint="eastAsia"/>
        </w:rPr>
        <w:t xml:space="preserve">头条的核心是政治与精神叙事，并非当天新出台的产业政策，不能把所有工程案例视为新增订单。但被集中展示的重大水运、海上能源送出、核电、可回收火箭和深海科研，反映长期资本投入与自主创新方向。三峡水运新通道给出100个月施工期，意味着工程建设需求持续时间较长；是否传导到A股业绩，仍需核验分标段招标、设备采购、施工进度和回款。航天和深海中微子项目更偏前沿科研，应以试验进展、科研经费和设备采购为验证，不宜用远期技术目标替代当前盈利。</w:t>
      </w:r>
    </w:p>
    <w:bookmarkEnd w:id="11"/>
    <w:bookmarkStart w:id="12" w:name="李强同塔吉克斯坦总理会谈绿色矿产互联互通清洁能源与人工智能合作扩围"/>
    <w:p>
      <w:pPr>
        <w:pStyle w:val="Heading3"/>
      </w:pPr>
      <w:r>
        <w:t xml:space="preserve">2. </w:t>
      </w:r>
      <w:r>
        <w:rPr>
          <w:rFonts w:hint="eastAsia"/>
        </w:rPr>
        <w:t xml:space="preserve">李强同塔吉克斯坦总理会谈：绿色矿产、互联互通、清洁能源与人工智能合作扩围</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A股影响：中长期合作预期偏利好，短期取决于项目与合同</w:t>
      </w:r>
    </w:p>
    <w:p>
      <w:pPr>
        <w:pStyle w:val="Compact"/>
        <w:numPr>
          <w:ilvl w:val="0"/>
          <w:numId w:val="1004"/>
        </w:numPr>
      </w:pPr>
      <w:r>
        <w:rPr>
          <w:rFonts w:hint="eastAsia"/>
          <w:b/>
          <w:bCs/>
        </w:rPr>
        <w:t xml:space="preserve">影响时效：中期至长期</w:t>
      </w:r>
    </w:p>
    <w:p>
      <w:pPr>
        <w:pStyle w:val="Compact"/>
        <w:numPr>
          <w:ilvl w:val="0"/>
          <w:numId w:val="1004"/>
        </w:numPr>
      </w:pPr>
      <w:r>
        <w:rPr>
          <w:rFonts w:hint="eastAsia"/>
          <w:b/>
          <w:bCs/>
        </w:rPr>
        <w:t xml:space="preserve">条件性受益映射：</w:t>
      </w:r>
      <w:r>
        <w:t xml:space="preserve"> </w:t>
      </w:r>
      <w:r>
        <w:rPr>
          <w:rFonts w:hint="eastAsia"/>
        </w:rPr>
        <w:t xml:space="preserve">“一带一路”工程服务、跨境交通与物流、绿色矿产开发及加工、清洁能源、人工智能应用、标准化与教育服务。</w:t>
      </w:r>
    </w:p>
    <w:p>
      <w:pPr>
        <w:pStyle w:val="FirstParagraph"/>
      </w:pPr>
      <w:r>
        <w:rPr>
          <w:rFonts w:hint="eastAsia"/>
          <w:b/>
          <w:bCs/>
        </w:rPr>
        <w:t xml:space="preserve">原文事实：</w:t>
      </w:r>
      <w:r>
        <w:t xml:space="preserve"> </w:t>
      </w:r>
      <w:r>
        <w:rPr>
          <w:rFonts w:hint="eastAsia"/>
        </w:rPr>
        <w:t xml:space="preserve">中方表示愿深入对接发展战略，推动高质量共建“一带一路”，深化贸易投资、绿色矿产、互联互通、清洁能源、人工智能等领域合作，进口塔方更多优质商品并鼓励中国企业赴塔投资。双方还提出扩大人文交流、深化执法安全合作，并在多个多边框架内加强协调。会谈后，双方共同见证签署基础设施建设、教育、反腐、标准化合作等领域多项文件。</w:t>
      </w:r>
    </w:p>
    <w:p>
      <w:pPr>
        <w:pStyle w:val="BodyText"/>
      </w:pPr>
      <w:r>
        <w:rPr>
          <w:rFonts w:hint="eastAsia"/>
          <w:b/>
          <w:bCs/>
        </w:rPr>
        <w:t xml:space="preserve">产业解读：</w:t>
      </w:r>
      <w:r>
        <w:t xml:space="preserve"> </w:t>
      </w:r>
      <w:r>
        <w:rPr>
          <w:rFonts w:hint="eastAsia"/>
        </w:rPr>
        <w:t xml:space="preserve">相比一般外交表态，本条给出了具体合作领域和签署文件，方向较为清晰；但底稿没有项目名称、金额、融资结构、建设周期或参与企业。绿色矿产和清洁能源映射还要考虑资源禀赋、运输条件、汇率、当地法规和回款风险。只有后续出现可核验的项目清单、合同、开工和贸易量，才能从外交预期升级为业绩线索。</w:t>
      </w:r>
    </w:p>
    <w:bookmarkEnd w:id="12"/>
    <w:bookmarkStart w:id="13" w:name="李强会见塔吉克斯坦总统为经贸基建与矿产合作提供政治确定性"/>
    <w:p>
      <w:pPr>
        <w:pStyle w:val="Heading3"/>
      </w:pPr>
      <w:r>
        <w:t xml:space="preserve">3. </w:t>
      </w:r>
      <w:r>
        <w:rPr>
          <w:rFonts w:hint="eastAsia"/>
        </w:rPr>
        <w:t xml:space="preserve">李强会见塔吉克斯坦总统：为经贸、基建与矿产合作提供政治确定性</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A股影响：中长期偏正面，新增短期产业催化有限</w:t>
      </w:r>
    </w:p>
    <w:p>
      <w:pPr>
        <w:pStyle w:val="Compact"/>
        <w:numPr>
          <w:ilvl w:val="0"/>
          <w:numId w:val="1005"/>
        </w:numPr>
      </w:pPr>
      <w:r>
        <w:rPr>
          <w:rFonts w:hint="eastAsia"/>
          <w:b/>
          <w:bCs/>
        </w:rPr>
        <w:t xml:space="preserve">影响时效：中长期</w:t>
      </w:r>
    </w:p>
    <w:p>
      <w:pPr>
        <w:pStyle w:val="Compact"/>
        <w:numPr>
          <w:ilvl w:val="0"/>
          <w:numId w:val="1005"/>
        </w:numPr>
      </w:pPr>
      <w:r>
        <w:rPr>
          <w:rFonts w:hint="eastAsia"/>
          <w:b/>
          <w:bCs/>
        </w:rPr>
        <w:t xml:space="preserve">关联方向：</w:t>
      </w:r>
      <w:r>
        <w:t xml:space="preserve"> </w:t>
      </w:r>
      <w:r>
        <w:rPr>
          <w:rFonts w:hint="eastAsia"/>
        </w:rPr>
        <w:t xml:space="preserve">对塔贸易、基础设施、矿产资源、跨境安全与上合组织合作。</w:t>
      </w:r>
    </w:p>
    <w:p>
      <w:pPr>
        <w:pStyle w:val="FirstParagraph"/>
      </w:pPr>
      <w:r>
        <w:rPr>
          <w:rFonts w:hint="eastAsia"/>
          <w:b/>
          <w:bCs/>
        </w:rPr>
        <w:t xml:space="preserve">原文事实：</w:t>
      </w:r>
      <w:r>
        <w:t xml:space="preserve"> </w:t>
      </w:r>
      <w:r>
        <w:rPr>
          <w:rFonts w:hint="eastAsia"/>
        </w:rPr>
        <w:t xml:space="preserve">中方表示愿巩固深化政治互信，加强经贸、基建、矿产、执法安全等领域合作，并推动上合组织更高质量发展；塔方表示恪守一个中国原则，愿深化各领域合作、促进人文交流和加强多边协作。</w:t>
      </w:r>
    </w:p>
    <w:p>
      <w:pPr>
        <w:pStyle w:val="BodyText"/>
      </w:pPr>
      <w:r>
        <w:rPr>
          <w:rFonts w:hint="eastAsia"/>
          <w:b/>
          <w:bCs/>
        </w:rPr>
        <w:t xml:space="preserve">产业解读：</w:t>
      </w:r>
      <w:r>
        <w:t xml:space="preserve"> </w:t>
      </w:r>
      <w:r>
        <w:rPr>
          <w:rFonts w:hint="eastAsia"/>
        </w:rPr>
        <w:t xml:space="preserve">本条主要提升前述务实合作的政治确定性，但未披露新增协议、投资金额或企业合同。分析时应避免将“总理会谈”和“会见总统”对同一合作方向重复计为两次订单催化。后续验证点仍是基础设施及矿产项目的许可、融资、招标、开工、产量和回款。</w:t>
      </w:r>
    </w:p>
    <w:bookmarkEnd w:id="13"/>
    <w:bookmarkStart w:id="14" w:name="前三季度gdp同比增长4.6总量平稳制造内需与新动能更值得跟踪"/>
    <w:p>
      <w:pPr>
        <w:pStyle w:val="Heading3"/>
      </w:pPr>
      <w:r>
        <w:t xml:space="preserve">4. </w:t>
      </w:r>
      <w:r>
        <w:rPr>
          <w:rFonts w:hint="eastAsia"/>
        </w:rPr>
        <w:t xml:space="preserve">前三季度GDP同比增长4.6%：总量平稳，制造、内需与新动能更值得跟踪</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A股影响：宏观预期偏正面，结构机会强于总量交易</w:t>
      </w:r>
    </w:p>
    <w:p>
      <w:pPr>
        <w:pStyle w:val="Compact"/>
        <w:numPr>
          <w:ilvl w:val="0"/>
          <w:numId w:val="1006"/>
        </w:numPr>
      </w:pPr>
      <w:r>
        <w:rPr>
          <w:rFonts w:hint="eastAsia"/>
          <w:b/>
          <w:bCs/>
        </w:rPr>
        <w:t xml:space="preserve">影响时效：短期影响预期；中期看四季度延续性</w:t>
      </w:r>
    </w:p>
    <w:p>
      <w:pPr>
        <w:pStyle w:val="Compact"/>
        <w:numPr>
          <w:ilvl w:val="0"/>
          <w:numId w:val="1006"/>
        </w:numPr>
      </w:pPr>
      <w:r>
        <w:rPr>
          <w:rFonts w:hint="eastAsia"/>
          <w:b/>
          <w:bCs/>
        </w:rPr>
        <w:t xml:space="preserve">条件性受益映射：</w:t>
      </w:r>
      <w:r>
        <w:t xml:space="preserve"> </w:t>
      </w:r>
      <w:r>
        <w:rPr>
          <w:rFonts w:hint="eastAsia"/>
        </w:rPr>
        <w:t xml:space="preserve">装备制造、高技术制造、数智经济、生产性服务业、消费服务、知识产权与研发相关服务。</w:t>
      </w:r>
    </w:p>
    <w:p>
      <w:pPr>
        <w:pStyle w:val="FirstParagraph"/>
      </w:pPr>
      <w:r>
        <w:rPr>
          <w:rFonts w:hint="eastAsia"/>
          <w:b/>
          <w:bCs/>
        </w:rPr>
        <w:t xml:space="preserve">原文事实：</w:t>
      </w:r>
      <w:r>
        <w:t xml:space="preserve"> </w:t>
      </w:r>
      <w:r>
        <w:rPr>
          <w:rFonts w:hint="eastAsia"/>
        </w:rPr>
        <w:t xml:space="preserve">前三季度国内生产总值1071071亿元，按不变价格计算同比增长4.6%，符合全年经济预期增长目标；经济增量5.7万亿元，为过去五年同期最大。三季度规模以上工业增加值同比增长5.1%，比二季度加快0.4个百分点；9月份服务业、消费、进出口指标优于8月份。制造业增加值占GDP比重为25.7%，同比提高0.6个百分点；知识产权产品投资占整个投资的比重同比提高2.4个百分点。内需对增长贡献率超过七成，最终消费支出贡献率接近五成。装备制造业和高技术制造业增加值增速分别快于全部规上工业4.9和9.0个百分点；高端制造、数智经济、现代服务等新动能对经济增长贡献率继续保持在40%以上。</w:t>
      </w:r>
    </w:p>
    <w:p>
      <w:pPr>
        <w:pStyle w:val="BodyText"/>
      </w:pPr>
      <w:r>
        <w:rPr>
          <w:rFonts w:hint="eastAsia"/>
          <w:b/>
          <w:bCs/>
        </w:rPr>
        <w:t xml:space="preserve">产业解读：</w:t>
      </w:r>
      <w:r>
        <w:t xml:space="preserve"> </w:t>
      </w:r>
      <w:r>
        <w:rPr>
          <w:rFonts w:hint="eastAsia"/>
        </w:rPr>
        <w:t xml:space="preserve">“总体平稳”可理解为经济没有失速，“结构向优、动能向新”则说明增长质量的政策叙事集中在制造业、新动能和消费。对A股而言，最有价值的不是把4.6%机械解释为指数涨跌，而是识别产业增速差：高技术制造和装备制造具备更强景气线索，生产性服务业与制造融合也支持工业软件、研发设计和供应链服务的长期需求。但底稿没有市场一致预期、环比数据、行业利润和企业订单，不能判断数据是否“超预期”，也不能把宏观增加值直接外推为上市公司利润。</w:t>
      </w:r>
    </w:p>
    <w:bookmarkEnd w:id="14"/>
    <w:bookmarkStart w:id="15" w:name="中央档案馆开放5000余件长征专题档案公共文化与数字档案需求获得关注"/>
    <w:p>
      <w:pPr>
        <w:pStyle w:val="Heading3"/>
      </w:pPr>
      <w:r>
        <w:t xml:space="preserve">5. </w:t>
      </w:r>
      <w:r>
        <w:rPr>
          <w:rFonts w:hint="eastAsia"/>
        </w:rPr>
        <w:t xml:space="preserve">中央档案馆开放5000余件长征专题档案：公共文化与数字档案需求获得关注</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A股影响：总体中性，档案数字化与红色文化服务存在长期弱映射</w:t>
      </w:r>
    </w:p>
    <w:p>
      <w:pPr>
        <w:pStyle w:val="Compact"/>
        <w:numPr>
          <w:ilvl w:val="0"/>
          <w:numId w:val="1007"/>
        </w:numPr>
      </w:pPr>
      <w:r>
        <w:rPr>
          <w:rFonts w:hint="eastAsia"/>
          <w:b/>
          <w:bCs/>
        </w:rPr>
        <w:t xml:space="preserve">影响时效：长期</w:t>
      </w:r>
    </w:p>
    <w:p>
      <w:pPr>
        <w:pStyle w:val="Compact"/>
        <w:numPr>
          <w:ilvl w:val="0"/>
          <w:numId w:val="1007"/>
        </w:numPr>
      </w:pPr>
      <w:r>
        <w:rPr>
          <w:rFonts w:hint="eastAsia"/>
          <w:b/>
          <w:bCs/>
        </w:rPr>
        <w:t xml:space="preserve">关联方向：</w:t>
      </w:r>
      <w:r>
        <w:t xml:space="preserve"> </w:t>
      </w:r>
      <w:r>
        <w:rPr>
          <w:rFonts w:hint="eastAsia"/>
        </w:rPr>
        <w:t xml:space="preserve">档案数字化、文献保护、数字展示、红色文化教育与公共文化服务。</w:t>
      </w:r>
    </w:p>
    <w:p>
      <w:pPr>
        <w:pStyle w:val="FirstParagraph"/>
      </w:pPr>
      <w:r>
        <w:rPr>
          <w:rFonts w:hint="eastAsia"/>
          <w:b/>
          <w:bCs/>
        </w:rPr>
        <w:t xml:space="preserve">原文事实：</w:t>
      </w:r>
      <w:r>
        <w:t xml:space="preserve"> </w:t>
      </w:r>
      <w:r>
        <w:rPr>
          <w:rFonts w:hint="eastAsia"/>
        </w:rPr>
        <w:t xml:space="preserve">中央档案馆自10月19日起向社会集中开放5000余件长征专题档案，内容主要来自1934年10月至1936年10月，包括纲领、宣言、电报、报告及红色报刊；公众可持有效证件查阅利用。</w:t>
      </w:r>
    </w:p>
    <w:p>
      <w:pPr>
        <w:pStyle w:val="BodyText"/>
      </w:pPr>
      <w:r>
        <w:rPr>
          <w:rFonts w:hint="eastAsia"/>
          <w:b/>
          <w:bCs/>
        </w:rPr>
        <w:t xml:space="preserve">产业解读：</w:t>
      </w:r>
      <w:r>
        <w:t xml:space="preserve"> </w:t>
      </w:r>
      <w:r>
        <w:rPr>
          <w:rFonts w:hint="eastAsia"/>
        </w:rPr>
        <w:t xml:space="preserve">本条是公共文化开放安排，提升档案整理、保护和利用的社会价值，但底稿没有数字化采购、展陈项目、预算或商业运营信息。若映射到产业，只能作为档案管理、文博数字化和红色教育的长期观察，不应当作短线确定性业绩催化。</w:t>
      </w:r>
    </w:p>
    <w:bookmarkEnd w:id="15"/>
    <w:bookmarkStart w:id="16" w:name="科技兴商18项举措工业ai柔性制造服务消费与文旅试点协同推进"/>
    <w:p>
      <w:pPr>
        <w:pStyle w:val="Heading3"/>
      </w:pPr>
      <w:r>
        <w:t xml:space="preserve">6. </w:t>
      </w:r>
      <w:r>
        <w:rPr>
          <w:rFonts w:hint="eastAsia"/>
        </w:rPr>
        <w:t xml:space="preserve">科技兴商18项举措：工业AI、柔性制造、服务消费与文旅试点协同推进</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A股影响：商业数字化、工业AI和智能终端结构性利好</w:t>
      </w:r>
    </w:p>
    <w:p>
      <w:pPr>
        <w:pStyle w:val="Compact"/>
        <w:numPr>
          <w:ilvl w:val="0"/>
          <w:numId w:val="1008"/>
        </w:numPr>
      </w:pPr>
      <w:r>
        <w:rPr>
          <w:rFonts w:hint="eastAsia"/>
          <w:b/>
          <w:bCs/>
        </w:rPr>
        <w:t xml:space="preserve">影响时效：短期政策关注；中期看试点、采购与商业化</w:t>
      </w:r>
    </w:p>
    <w:p>
      <w:pPr>
        <w:pStyle w:val="Compact"/>
        <w:numPr>
          <w:ilvl w:val="0"/>
          <w:numId w:val="1008"/>
        </w:numPr>
      </w:pPr>
      <w:r>
        <w:rPr>
          <w:rFonts w:hint="eastAsia"/>
          <w:b/>
          <w:bCs/>
        </w:rPr>
        <w:t xml:space="preserve">条件性受益映射：</w:t>
      </w:r>
      <w:r>
        <w:t xml:space="preserve"> </w:t>
      </w:r>
      <w:r>
        <w:rPr>
          <w:rFonts w:hint="eastAsia"/>
        </w:rPr>
        <w:t xml:space="preserve">工业软件、AI制造解决方案、柔性生产设备、智能终端、零售数字化、绿色商业场景、文旅科技、内容生产工具。</w:t>
      </w:r>
    </w:p>
    <w:p>
      <w:pPr>
        <w:pStyle w:val="FirstParagraph"/>
      </w:pPr>
      <w:r>
        <w:rPr>
          <w:rFonts w:hint="eastAsia"/>
          <w:b/>
          <w:bCs/>
        </w:rPr>
        <w:t xml:space="preserve">原文事实：</w:t>
      </w:r>
      <w:r>
        <w:t xml:space="preserve"> </w:t>
      </w:r>
      <w:r>
        <w:rPr>
          <w:rFonts w:hint="eastAsia"/>
        </w:rPr>
        <w:t xml:space="preserve">《关于加快推进科技兴商的意见》提出18条具体举措，聚焦科技与商贸深度融合，包括发展柔性制造和个性化定制、以科技推动服务消费扩容、打造智能化绿色化融合化商业场景。工业和信息化部表示将深入实施“人工智能+制造”专项行动，加速创新人工智能终端产品，实施AI应用服务商培育行动。文化和旅游部表示推动AI与文化创作、非遗传承、旅游服务深度融合，目前已遴选立项14个“人工智能+文化和旅游”应用试点项目。</w:t>
      </w:r>
    </w:p>
    <w:p>
      <w:pPr>
        <w:pStyle w:val="BodyText"/>
      </w:pPr>
      <w:r>
        <w:rPr>
          <w:rFonts w:hint="eastAsia"/>
          <w:b/>
          <w:bCs/>
        </w:rPr>
        <w:t xml:space="preserve">产业解读：</w:t>
      </w:r>
      <w:r>
        <w:t xml:space="preserve"> </w:t>
      </w:r>
      <w:r>
        <w:rPr>
          <w:rFonts w:hint="eastAsia"/>
        </w:rPr>
        <w:t xml:space="preserve">本条不是泛化的“科技利好”，而是从供给端制造、终端产品、服务商生态到消费场景的全链条政策。柔性制造和个性化定制有望带来工业软件、机器视觉、自动化和供应链系统需求；AI终端及服务商培育则有利于软硬件落地，但竞争、研发投入和价格压力也会加剧。14个文旅试点表明应用处于示范阶段，不能据此推断大规模采购。后续应看意见配套细则、服务商名单、试点验收、客户付费和毛利率。</w:t>
      </w:r>
    </w:p>
    <w:bookmarkEnd w:id="16"/>
    <w:bookmarkStart w:id="17" w:name="第140届广交会首期闭展先进制造从单品出口走向整线交付和海外协同"/>
    <w:p>
      <w:pPr>
        <w:pStyle w:val="Heading3"/>
      </w:pPr>
      <w:r>
        <w:t xml:space="preserve">7. </w:t>
      </w:r>
      <w:r>
        <w:rPr>
          <w:rFonts w:hint="eastAsia"/>
        </w:rPr>
        <w:t xml:space="preserve">第140届广交会首期闭展：先进制造从单品出口走向整线交付和海外协同</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A股影响：先进制造出海与工业设备方向偏利好</w:t>
      </w:r>
    </w:p>
    <w:p>
      <w:pPr>
        <w:pStyle w:val="Compact"/>
        <w:numPr>
          <w:ilvl w:val="0"/>
          <w:numId w:val="1009"/>
        </w:numPr>
      </w:pPr>
      <w:r>
        <w:rPr>
          <w:rFonts w:hint="eastAsia"/>
          <w:b/>
          <w:bCs/>
        </w:rPr>
        <w:t xml:space="preserve">影响时效：中期，取决于订单转化</w:t>
      </w:r>
    </w:p>
    <w:p>
      <w:pPr>
        <w:pStyle w:val="Compact"/>
        <w:numPr>
          <w:ilvl w:val="0"/>
          <w:numId w:val="1009"/>
        </w:numPr>
      </w:pPr>
      <w:r>
        <w:rPr>
          <w:rFonts w:hint="eastAsia"/>
          <w:b/>
          <w:bCs/>
        </w:rPr>
        <w:t xml:space="preserve">条件性受益映射：</w:t>
      </w:r>
      <w:r>
        <w:t xml:space="preserve"> </w:t>
      </w:r>
      <w:r>
        <w:rPr>
          <w:rFonts w:hint="eastAsia"/>
        </w:rPr>
        <w:t xml:space="preserve">数控机床、工业机器人、工业3D打印、核心零部件、整线解决方案、跨境供应链与海外建厂服务。</w:t>
      </w:r>
    </w:p>
    <w:p>
      <w:pPr>
        <w:pStyle w:val="FirstParagraph"/>
      </w:pPr>
      <w:r>
        <w:rPr>
          <w:rFonts w:hint="eastAsia"/>
          <w:b/>
          <w:bCs/>
        </w:rPr>
        <w:t xml:space="preserve">原文事实：</w:t>
      </w:r>
      <w:r>
        <w:t xml:space="preserve"> </w:t>
      </w:r>
      <w:r>
        <w:rPr>
          <w:rFonts w:hint="eastAsia"/>
        </w:rPr>
        <w:t xml:space="preserve">广交会首期聚焦先进制造，形成从核心元器件、中间产品到终端整机的展示链条；展品包括大型数控机床、智能机械臂和工业3D打印设备。报道强调合作正从设备出口延伸至海外建厂、技术共建和产业共育。3.2万家参展企业中，近20%开展对外投资，为当地贡献就业岗位超过20万个。第二期线下展将于10月23日至27日举行，主题为“品质家居”。</w:t>
      </w:r>
    </w:p>
    <w:p>
      <w:pPr>
        <w:pStyle w:val="BodyText"/>
      </w:pPr>
      <w:r>
        <w:rPr>
          <w:rFonts w:hint="eastAsia"/>
          <w:b/>
          <w:bCs/>
        </w:rPr>
        <w:t xml:space="preserve">产业解读：</w:t>
      </w:r>
      <w:r>
        <w:t xml:space="preserve"> </w:t>
      </w:r>
      <w:r>
        <w:rPr>
          <w:rFonts w:hint="eastAsia"/>
        </w:rPr>
        <w:t xml:space="preserve">展示链条从零部件到整线交付，说明中国制造的竞争形式正由单品价格转向系统能力；海外建厂也可能增加工程、自动化、供应链和本地化服务需求。但参展、展示和开展对外投资不等于本届新增订单，底稿未披露成交额、订单增速或利润率。后续需看签约、出口数据、海外产能爬坡、贸易壁垒与汇率影响。</w:t>
      </w:r>
    </w:p>
    <w:bookmarkEnd w:id="17"/>
    <w:bookmarkStart w:id="18" w:name="沿边沿海黄金大外环约3700亿元投资锚定公路贯通与节点改造"/>
    <w:p>
      <w:pPr>
        <w:pStyle w:val="Heading3"/>
      </w:pPr>
      <w:r>
        <w:t xml:space="preserve">8. </w:t>
      </w:r>
      <w:r>
        <w:rPr>
          <w:rFonts w:hint="eastAsia"/>
        </w:rPr>
        <w:t xml:space="preserve">沿边沿海“黄金大外环”：约3700亿元投资锚定公路贯通与节点改造</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A股影响：公路基建、桥梁材料、施工装备和物流网络中期偏利好</w:t>
      </w:r>
    </w:p>
    <w:p>
      <w:pPr>
        <w:pStyle w:val="Compact"/>
        <w:numPr>
          <w:ilvl w:val="0"/>
          <w:numId w:val="1010"/>
        </w:numPr>
      </w:pPr>
      <w:r>
        <w:rPr>
          <w:rFonts w:hint="eastAsia"/>
          <w:b/>
          <w:bCs/>
        </w:rPr>
        <w:t xml:space="preserve">影响时效：“十五五”期间</w:t>
      </w:r>
    </w:p>
    <w:p>
      <w:pPr>
        <w:pStyle w:val="Compact"/>
        <w:numPr>
          <w:ilvl w:val="0"/>
          <w:numId w:val="1010"/>
        </w:numPr>
      </w:pPr>
      <w:r>
        <w:rPr>
          <w:rFonts w:hint="eastAsia"/>
          <w:b/>
          <w:bCs/>
        </w:rPr>
        <w:t xml:space="preserve">条件性受益映射：</w:t>
      </w:r>
      <w:r>
        <w:t xml:space="preserve"> </w:t>
      </w:r>
      <w:r>
        <w:rPr>
          <w:rFonts w:hint="eastAsia"/>
        </w:rPr>
        <w:t xml:space="preserve">路桥施工、工程机械、沥青与建材、桥梁构件、交通信息化、检测养护、沿线物流与港口联运。</w:t>
      </w:r>
    </w:p>
    <w:p>
      <w:pPr>
        <w:pStyle w:val="FirstParagraph"/>
      </w:pPr>
      <w:r>
        <w:rPr>
          <w:rFonts w:hint="eastAsia"/>
          <w:b/>
          <w:bCs/>
        </w:rPr>
        <w:t xml:space="preserve">原文事实：</w:t>
      </w:r>
      <w:r>
        <w:t xml:space="preserve"> </w:t>
      </w:r>
      <w:r>
        <w:rPr>
          <w:rFonts w:hint="eastAsia"/>
        </w:rPr>
        <w:t xml:space="preserve">“十五五”时期将全面贯通沿边国道219、331和沿海国道228。国道228全长约7400公里，串联10个沿海省区市和核心沿海港口；国道219约10000公里，纵贯新疆、西藏、云南、广西；国道331约9200公里，横跨东北三省及内蒙古、甘肃、新疆。预计“十五五”期间建设改造总里程约7400公里、总投资约3700亿元；国道219、331将基本达到三级及以上公路标准，国道228将基本达到二级及以上标准。福清东港特大桥全长3920米，正在进行桥面沥青铺装。</w:t>
      </w:r>
    </w:p>
    <w:p>
      <w:pPr>
        <w:pStyle w:val="BodyText"/>
      </w:pPr>
      <w:r>
        <w:rPr>
          <w:rFonts w:hint="eastAsia"/>
          <w:b/>
          <w:bCs/>
        </w:rPr>
        <w:t xml:space="preserve">产业解读：</w:t>
      </w:r>
      <w:r>
        <w:t xml:space="preserve"> </w:t>
      </w:r>
      <w:r>
        <w:rPr>
          <w:rFonts w:hint="eastAsia"/>
        </w:rPr>
        <w:t xml:space="preserve">本条同时给出规划周期、建设里程、投资总额与道路标准，是当日最明确的基建线索之一。公路施工、材料、机械、检测和数字交通均存在需求，但3700亿元是建设改造总投资，并非单一年度或单一行业收入。项目跨区域、建设条件差异大，还需观察地方配套资金、项目核准、招标节奏、施工难度和回款。沿线物流与文旅属于建成后的二阶影响，不能与当前工程订单混为一谈。</w:t>
      </w:r>
    </w:p>
    <w:bookmarkEnd w:id="18"/>
    <w:bookmarkStart w:id="19" w:name="户外运动产业冰雪路跑与电影体育拓展消费场景"/>
    <w:p>
      <w:pPr>
        <w:pStyle w:val="Heading3"/>
      </w:pPr>
      <w:r>
        <w:t xml:space="preserve">9. </w:t>
      </w:r>
      <w:r>
        <w:rPr>
          <w:rFonts w:hint="eastAsia"/>
        </w:rPr>
        <w:t xml:space="preserve">户外运动产业：冰雪、路跑与“电影+体育”拓展消费场景</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A股影响：户外装备、冰雪运营、赛事服务和体育文旅偏利好</w:t>
      </w:r>
    </w:p>
    <w:p>
      <w:pPr>
        <w:pStyle w:val="Compact"/>
        <w:numPr>
          <w:ilvl w:val="0"/>
          <w:numId w:val="1011"/>
        </w:numPr>
      </w:pPr>
      <w:r>
        <w:rPr>
          <w:rFonts w:hint="eastAsia"/>
          <w:b/>
          <w:bCs/>
        </w:rPr>
        <w:t xml:space="preserve">影响时效：短中期消费关注，长期看场地和用户留存</w:t>
      </w:r>
    </w:p>
    <w:p>
      <w:pPr>
        <w:pStyle w:val="Compact"/>
        <w:numPr>
          <w:ilvl w:val="0"/>
          <w:numId w:val="1011"/>
        </w:numPr>
      </w:pPr>
      <w:r>
        <w:rPr>
          <w:rFonts w:hint="eastAsia"/>
          <w:b/>
          <w:bCs/>
        </w:rPr>
        <w:t xml:space="preserve">条件性受益映射：</w:t>
      </w:r>
      <w:r>
        <w:t xml:space="preserve"> </w:t>
      </w:r>
      <w:r>
        <w:rPr>
          <w:rFonts w:hint="eastAsia"/>
        </w:rPr>
        <w:t xml:space="preserve">户外运动装备、冰雪场地运营、赛事组织、运动服饰、体育旅游、电影与体育联动营销。</w:t>
      </w:r>
    </w:p>
    <w:p>
      <w:pPr>
        <w:pStyle w:val="FirstParagraph"/>
      </w:pPr>
      <w:r>
        <w:rPr>
          <w:rFonts w:hint="eastAsia"/>
          <w:b/>
          <w:bCs/>
        </w:rPr>
        <w:t xml:space="preserve">原文事实：</w:t>
      </w:r>
      <w:r>
        <w:t xml:space="preserve"> </w:t>
      </w:r>
      <w:r>
        <w:rPr>
          <w:rFonts w:hint="eastAsia"/>
        </w:rPr>
        <w:t xml:space="preserve">首批49个高质量户外运动目的地建设稳步推进。截至2025年底，全国健身步道18.2万个、总长度43.03万公里，冰雪场地2626个；2025—2026冰雪季居民冰雪运动参与人数3.08亿，消费规模约2050亿元，同比增长约9.3%。2025年全国路跑赛事参与者人均年度消费支出超过1.44万元，同比增长约7.1%。国家电影局与国家体育总局启动“跟着电影去运动”行动，从文化宣传、消费联动和公益协同推动跨界合作。</w:t>
      </w:r>
    </w:p>
    <w:p>
      <w:pPr>
        <w:pStyle w:val="BodyText"/>
      </w:pPr>
      <w:r>
        <w:rPr>
          <w:rFonts w:hint="eastAsia"/>
          <w:b/>
          <w:bCs/>
        </w:rPr>
        <w:t xml:space="preserve">产业解读：</w:t>
      </w:r>
      <w:r>
        <w:t xml:space="preserve"> </w:t>
      </w:r>
      <w:r>
        <w:rPr>
          <w:rFonts w:hint="eastAsia"/>
        </w:rPr>
        <w:t xml:space="preserve">相比单纯赛事新闻，本条提供了设施、参与人数和消费规模，显示户外运动已具备较大的需求基础。A股映射需要进一步拆分：装备销售看品牌份额、渠道库存和复购；场地运营看客流、客单价、季节性和折旧；赛事与目的地看赞助、报名、住宿交通转化。“电影+体育”仍是行动启动阶段，未给出项目、投入和票房转化，不应提前计入业绩。</w:t>
      </w:r>
    </w:p>
    <w:bookmarkEnd w:id="19"/>
    <w:bookmarkEnd w:id="20"/>
    <w:bookmarkStart w:id="29" w:name="四国内联播快讯逐项分析"/>
    <w:p>
      <w:pPr>
        <w:pStyle w:val="Heading2"/>
      </w:pPr>
      <w:r>
        <w:rPr>
          <w:rFonts w:hint="eastAsia"/>
        </w:rPr>
        <w:t xml:space="preserve">四、国内联播快讯逐项分析</w:t>
      </w:r>
    </w:p>
    <w:bookmarkStart w:id="21" w:name="金融街论坛系列金融政策与百余项制度技术成果集中发布"/>
    <w:p>
      <w:pPr>
        <w:pStyle w:val="Heading3"/>
      </w:pPr>
      <w:r>
        <w:t xml:space="preserve">10.1 </w:t>
      </w:r>
      <w:r>
        <w:rPr>
          <w:rFonts w:hint="eastAsia"/>
        </w:rPr>
        <w:t xml:space="preserve">2026金融街论坛：系列金融政策与百余项制度、技术成果集中发布</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A股影响：金融改革、金融科技与开放预期偏利好，具体方向待政策文本确认</w:t>
      </w:r>
    </w:p>
    <w:p>
      <w:pPr>
        <w:pStyle w:val="Compact"/>
        <w:numPr>
          <w:ilvl w:val="0"/>
          <w:numId w:val="1012"/>
        </w:numPr>
      </w:pPr>
      <w:r>
        <w:rPr>
          <w:rFonts w:hint="eastAsia"/>
          <w:b/>
          <w:bCs/>
        </w:rPr>
        <w:t xml:space="preserve">关联方向：</w:t>
      </w:r>
      <w:r>
        <w:t xml:space="preserve"> </w:t>
      </w:r>
      <w:r>
        <w:rPr>
          <w:rFonts w:hint="eastAsia"/>
        </w:rPr>
        <w:t xml:space="preserve">券商及资本市场服务、金融IT、支付清算、监管科技、跨境金融与数据基础设施。</w:t>
      </w:r>
    </w:p>
    <w:p>
      <w:pPr>
        <w:pStyle w:val="FirstParagraph"/>
      </w:pPr>
      <w:r>
        <w:rPr>
          <w:rFonts w:hint="eastAsia"/>
          <w:b/>
          <w:bCs/>
        </w:rPr>
        <w:t xml:space="preserve">原文事实：</w:t>
      </w:r>
      <w:r>
        <w:t xml:space="preserve"> </w:t>
      </w:r>
      <w:r>
        <w:rPr>
          <w:rFonts w:hint="eastAsia"/>
        </w:rPr>
        <w:t xml:space="preserve">论坛主题为“开放·合作·包容——共筑全球金融发展新生态”，有全球40多个国家和地区400多位嘉宾参会，共设21场主论坛和平行论坛。国家金融管理部门在论坛期间集中发布系列金融改革发展政策，并有百余项制度、技术类成果集中首发。</w:t>
      </w:r>
    </w:p>
    <w:p>
      <w:pPr>
        <w:pStyle w:val="BodyText"/>
      </w:pPr>
      <w:r>
        <w:rPr>
          <w:rFonts w:hint="eastAsia"/>
          <w:b/>
          <w:bCs/>
        </w:rPr>
        <w:t xml:space="preserve">产业解读：</w:t>
      </w:r>
      <w:r>
        <w:t xml:space="preserve"> </w:t>
      </w:r>
      <w:r>
        <w:rPr>
          <w:rFonts w:hint="eastAsia"/>
        </w:rPr>
        <w:t xml:space="preserve">“集中发布”具有较高信号级别，但底稿没有列出政策名称、适用对象和生效时间，因此只能形成金融改革与金融科技的预期，不能具体推演降准、交易制度或某类业务扩容。交易上应等待正式文本，核验是否涉及资本约束、业务规则、技术改造和市场开放，再判断受益与约束方向。</w:t>
      </w:r>
    </w:p>
    <w:bookmarkEnd w:id="21"/>
    <w:bookmarkStart w:id="22" w:name="新型储能累计装机超1.53亿千瓦完整产业链形成规模与竞争并存"/>
    <w:p>
      <w:pPr>
        <w:pStyle w:val="Heading3"/>
      </w:pPr>
      <w:r>
        <w:t xml:space="preserve">10.2 </w:t>
      </w:r>
      <w:r>
        <w:rPr>
          <w:rFonts w:hint="eastAsia"/>
        </w:rPr>
        <w:t xml:space="preserve">新型储能累计装机超1.53亿千瓦：完整产业链形成，规模与竞争并存</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A股影响：储能设备与系统集成长期偏利好，同时提示产能与盈利分化</w:t>
      </w:r>
    </w:p>
    <w:p>
      <w:pPr>
        <w:pStyle w:val="Compact"/>
        <w:numPr>
          <w:ilvl w:val="0"/>
          <w:numId w:val="1013"/>
        </w:numPr>
      </w:pPr>
      <w:r>
        <w:rPr>
          <w:rFonts w:hint="eastAsia"/>
          <w:b/>
          <w:bCs/>
        </w:rPr>
        <w:t xml:space="preserve">关联方向：</w:t>
      </w:r>
      <w:r>
        <w:t xml:space="preserve"> </w:t>
      </w:r>
      <w:r>
        <w:rPr>
          <w:rFonts w:hint="eastAsia"/>
        </w:rPr>
        <w:t xml:space="preserve">储能电池、功率变换系统、能量管理、热管理、消防安全、系统集成、原料冶炼与检测运维。</w:t>
      </w:r>
    </w:p>
    <w:p>
      <w:pPr>
        <w:pStyle w:val="FirstParagraph"/>
      </w:pPr>
      <w:r>
        <w:rPr>
          <w:rFonts w:hint="eastAsia"/>
          <w:b/>
          <w:bCs/>
        </w:rPr>
        <w:t xml:space="preserve">原文事实：</w:t>
      </w:r>
      <w:r>
        <w:t xml:space="preserve"> </w:t>
      </w:r>
      <w:r>
        <w:rPr>
          <w:rFonts w:hint="eastAsia"/>
        </w:rPr>
        <w:t xml:space="preserve">截至今年6月底，我国新型储能累计装机超过1.53亿千瓦，较“十四五”初期增长50倍；已建成覆盖原料冶炼、电池制造和系统集成的完整产业链。</w:t>
      </w:r>
    </w:p>
    <w:p>
      <w:pPr>
        <w:pStyle w:val="BodyText"/>
      </w:pPr>
      <w:r>
        <w:rPr>
          <w:rFonts w:hint="eastAsia"/>
          <w:b/>
          <w:bCs/>
        </w:rPr>
        <w:t xml:space="preserve">产业解读：</w:t>
      </w:r>
      <w:r>
        <w:t xml:space="preserve"> </w:t>
      </w:r>
      <w:r>
        <w:rPr>
          <w:rFonts w:hint="eastAsia"/>
        </w:rPr>
        <w:t xml:space="preserve">装机规模和全产业链完备证明行业已从早期示范走向规模化，但“增长50倍”是相较低基数的累计量变化，不能直接外推未来增速。完整产业链既有利于成本下降和交付，也意味着同质化竞争可能加剧。后续要看新增招标、利用小时、峰谷价差、辅助服务收益、安全标准、海外需求以及各环节毛利率。</w:t>
      </w:r>
    </w:p>
    <w:bookmarkEnd w:id="22"/>
    <w:bookmarkStart w:id="23" w:name="传统产业制修订并发布687项国家标准机械石化升级进入规则牵引阶段"/>
    <w:p>
      <w:pPr>
        <w:pStyle w:val="Heading3"/>
      </w:pPr>
      <w:r>
        <w:t xml:space="preserve">10.3 </w:t>
      </w:r>
      <w:r>
        <w:rPr>
          <w:rFonts w:hint="eastAsia"/>
        </w:rPr>
        <w:t xml:space="preserve">传统产业制修订并发布687项国家标准：机械、石化升级进入规则牵引阶段</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A股影响：高端设备、检测认证和节能安全改造结构性利好；落后产能承压</w:t>
      </w:r>
    </w:p>
    <w:p>
      <w:pPr>
        <w:pStyle w:val="Compact"/>
        <w:numPr>
          <w:ilvl w:val="0"/>
          <w:numId w:val="1014"/>
        </w:numPr>
      </w:pPr>
      <w:r>
        <w:rPr>
          <w:rFonts w:hint="eastAsia"/>
          <w:b/>
          <w:bCs/>
        </w:rPr>
        <w:t xml:space="preserve">关联方向：</w:t>
      </w:r>
      <w:r>
        <w:t xml:space="preserve"> </w:t>
      </w:r>
      <w:r>
        <w:rPr>
          <w:rFonts w:hint="eastAsia"/>
        </w:rPr>
        <w:t xml:space="preserve">机械设备更新、石化节能与安全改造、工业检测、认证服务、自动化与环保治理。</w:t>
      </w:r>
    </w:p>
    <w:p>
      <w:pPr>
        <w:pStyle w:val="FirstParagraph"/>
      </w:pPr>
      <w:r>
        <w:rPr>
          <w:rFonts w:hint="eastAsia"/>
          <w:b/>
          <w:bCs/>
        </w:rPr>
        <w:t xml:space="preserve">原文事实：</w:t>
      </w:r>
      <w:r>
        <w:t xml:space="preserve"> </w:t>
      </w:r>
      <w:r>
        <w:rPr>
          <w:rFonts w:hint="eastAsia"/>
        </w:rPr>
        <w:t xml:space="preserve">今年以来，针对机械、石化等传统产业，我国已制修订并发布相关国家标准687项，为传统产业转型升级提供支撑。</w:t>
      </w:r>
    </w:p>
    <w:p>
      <w:pPr>
        <w:pStyle w:val="BodyText"/>
      </w:pPr>
      <w:r>
        <w:rPr>
          <w:rFonts w:hint="eastAsia"/>
          <w:b/>
          <w:bCs/>
        </w:rPr>
        <w:t xml:space="preserve">产业解读：</w:t>
      </w:r>
      <w:r>
        <w:t xml:space="preserve"> </w:t>
      </w:r>
      <w:r>
        <w:rPr>
          <w:rFonts w:hint="eastAsia"/>
        </w:rPr>
        <w:t xml:space="preserve">标准是产业升级的重要约束工具，可能推动存量设备更新、质量检测和安全环保投入，也会提高不达标企业的改造成本。但底稿没有列出标准内容、强制或推荐属性、生效日期和涉及设备范围，不能将687项全部等同于新增采购。需进一步观察标准实施、监管检查、企业资本开支和淘汰进度。</w:t>
      </w:r>
    </w:p>
    <w:bookmarkEnd w:id="23"/>
    <w:bookmarkStart w:id="24" w:name="部门部署优化消费环境月改善消费信心与合规环境"/>
    <w:p>
      <w:pPr>
        <w:pStyle w:val="Heading3"/>
      </w:pPr>
      <w:r>
        <w:t xml:space="preserve">10.4 </w:t>
      </w:r>
      <w:r>
        <w:rPr>
          <w:rFonts w:hint="eastAsia"/>
        </w:rPr>
        <w:t xml:space="preserve">16部门部署“优化消费环境月”：改善消费信心与合规环境</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A股影响：消费服务与质量治理方向温和利好，直接业绩弹性待观察</w:t>
      </w:r>
    </w:p>
    <w:p>
      <w:pPr>
        <w:pStyle w:val="Compact"/>
        <w:numPr>
          <w:ilvl w:val="0"/>
          <w:numId w:val="1015"/>
        </w:numPr>
      </w:pPr>
      <w:r>
        <w:rPr>
          <w:rFonts w:hint="eastAsia"/>
          <w:b/>
          <w:bCs/>
        </w:rPr>
        <w:t xml:space="preserve">关联方向：</w:t>
      </w:r>
      <w:r>
        <w:t xml:space="preserve"> </w:t>
      </w:r>
      <w:r>
        <w:rPr>
          <w:rFonts w:hint="eastAsia"/>
        </w:rPr>
        <w:t xml:space="preserve">零售服务、消费品质量检测、追溯系统、售后服务、信用与投诉处理平台。</w:t>
      </w:r>
    </w:p>
    <w:p>
      <w:pPr>
        <w:pStyle w:val="FirstParagraph"/>
      </w:pPr>
      <w:r>
        <w:rPr>
          <w:rFonts w:hint="eastAsia"/>
          <w:b/>
          <w:bCs/>
        </w:rPr>
        <w:t xml:space="preserve">原文事实：</w:t>
      </w:r>
      <w:r>
        <w:t xml:space="preserve"> </w:t>
      </w:r>
      <w:r>
        <w:rPr>
          <w:rFonts w:hint="eastAsia"/>
        </w:rPr>
        <w:t xml:space="preserve">市场监管总局、工业和信息化部等16个部门联合部署，于11月开展2026年全国“优化消费环境月”活动，主题为“放心消费</w:t>
      </w:r>
      <w:r>
        <w:t xml:space="preserve"> </w:t>
      </w:r>
      <w:r>
        <w:rPr>
          <w:rFonts w:hint="eastAsia"/>
        </w:rPr>
        <w:t xml:space="preserve">你我共享”。</w:t>
      </w:r>
    </w:p>
    <w:p>
      <w:pPr>
        <w:pStyle w:val="BodyText"/>
      </w:pPr>
      <w:r>
        <w:rPr>
          <w:rFonts w:hint="eastAsia"/>
          <w:b/>
          <w:bCs/>
        </w:rPr>
        <w:t xml:space="preserve">产业解读：</w:t>
      </w:r>
      <w:r>
        <w:t xml:space="preserve"> </w:t>
      </w:r>
      <w:r>
        <w:rPr>
          <w:rFonts w:hint="eastAsia"/>
        </w:rPr>
        <w:t xml:space="preserve">多部门联合说明消费环境治理覆盖面较广，理论上有助于降低消费顾虑并推动企业完善质量和售后体系；同时，合规不足的经营主体可能面临整改压力。由于底稿没有促消费补贴、活动细则或销售目标，本条更偏制度与信心建设，不宜直接推断消费总量显著上升。</w:t>
      </w:r>
    </w:p>
    <w:bookmarkEnd w:id="24"/>
    <w:bookmarkStart w:id="25" w:name="第五届亚残运会中国队斩获多枚金牌体育关注度提升但商业催化有限"/>
    <w:p>
      <w:pPr>
        <w:pStyle w:val="Heading3"/>
      </w:pPr>
      <w:r>
        <w:t xml:space="preserve">10.5 </w:t>
      </w:r>
      <w:r>
        <w:rPr>
          <w:rFonts w:hint="eastAsia"/>
        </w:rPr>
        <w:t xml:space="preserve">第五届亚残运会中国队斩获多枚金牌：体育关注度提升但商业催化有限</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A股影响：总体中性，弱关联体育服务和康复辅具</w:t>
      </w:r>
    </w:p>
    <w:p>
      <w:pPr>
        <w:pStyle w:val="Compact"/>
        <w:numPr>
          <w:ilvl w:val="0"/>
          <w:numId w:val="1016"/>
        </w:numPr>
      </w:pPr>
      <w:r>
        <w:rPr>
          <w:rFonts w:hint="eastAsia"/>
          <w:b/>
          <w:bCs/>
        </w:rPr>
        <w:t xml:space="preserve">关联方向：</w:t>
      </w:r>
      <w:r>
        <w:t xml:space="preserve"> </w:t>
      </w:r>
      <w:r>
        <w:rPr>
          <w:rFonts w:hint="eastAsia"/>
        </w:rPr>
        <w:t xml:space="preserve">体育赛事服务、残障康复训练、辅助器具、无障碍设施。</w:t>
      </w:r>
    </w:p>
    <w:p>
      <w:pPr>
        <w:pStyle w:val="FirstParagraph"/>
      </w:pPr>
      <w:r>
        <w:rPr>
          <w:rFonts w:hint="eastAsia"/>
          <w:b/>
          <w:bCs/>
        </w:rPr>
        <w:t xml:space="preserve">原文事实：</w:t>
      </w:r>
      <w:r>
        <w:t xml:space="preserve"> </w:t>
      </w:r>
      <w:r>
        <w:rPr>
          <w:rFonts w:hint="eastAsia"/>
        </w:rPr>
        <w:t xml:space="preserve">开幕后首个比赛日，中国选手崔哲获得举重女子41公斤级冠军，为中国体育代表团首枚金牌；中国队还在游泳、自行车、柔道等项目获得多枚金牌。</w:t>
      </w:r>
    </w:p>
    <w:p>
      <w:pPr>
        <w:pStyle w:val="BodyText"/>
      </w:pPr>
      <w:r>
        <w:rPr>
          <w:rFonts w:hint="eastAsia"/>
          <w:b/>
          <w:bCs/>
        </w:rPr>
        <w:t xml:space="preserve">产业解读：</w:t>
      </w:r>
      <w:r>
        <w:t xml:space="preserve"> </w:t>
      </w:r>
      <w:r>
        <w:rPr>
          <w:rFonts w:hint="eastAsia"/>
        </w:rPr>
        <w:t xml:space="preserve">本条主要是赛事成绩和社会文化信息，未披露赞助、转播、票务、采购或消费数据。其市场意义更多是提升残疾人体育和无障碍需求的关注度，不构成短线确定性订单依据。</w:t>
      </w:r>
    </w:p>
    <w:bookmarkEnd w:id="25"/>
    <w:bookmarkStart w:id="26" w:name="景德镇国际陶瓷博览会陶瓷贸易文化交流与城市文旅联动"/>
    <w:p>
      <w:pPr>
        <w:pStyle w:val="Heading3"/>
      </w:pPr>
      <w:r>
        <w:t xml:space="preserve">10.6 </w:t>
      </w:r>
      <w:r>
        <w:rPr>
          <w:rFonts w:hint="eastAsia"/>
        </w:rPr>
        <w:t xml:space="preserve">景德镇国际陶瓷博览会：陶瓷贸易、文化交流与城市文旅联动</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A股影响：陶瓷产业链与区域文旅温和利好</w:t>
      </w:r>
    </w:p>
    <w:p>
      <w:pPr>
        <w:pStyle w:val="Compact"/>
        <w:numPr>
          <w:ilvl w:val="0"/>
          <w:numId w:val="1017"/>
        </w:numPr>
      </w:pPr>
      <w:r>
        <w:rPr>
          <w:rFonts w:hint="eastAsia"/>
          <w:b/>
          <w:bCs/>
        </w:rPr>
        <w:t xml:space="preserve">关联方向：</w:t>
      </w:r>
      <w:r>
        <w:t xml:space="preserve"> </w:t>
      </w:r>
      <w:r>
        <w:rPr>
          <w:rFonts w:hint="eastAsia"/>
        </w:rPr>
        <w:t xml:space="preserve">日用及艺术陶瓷、陶瓷装备材料、会展服务、文化IP、区域旅游。</w:t>
      </w:r>
    </w:p>
    <w:p>
      <w:pPr>
        <w:pStyle w:val="FirstParagraph"/>
      </w:pPr>
      <w:r>
        <w:rPr>
          <w:rFonts w:hint="eastAsia"/>
          <w:b/>
          <w:bCs/>
        </w:rPr>
        <w:t xml:space="preserve">原文事实：</w:t>
      </w:r>
      <w:r>
        <w:t xml:space="preserve"> </w:t>
      </w:r>
      <w:r>
        <w:rPr>
          <w:rFonts w:hint="eastAsia"/>
        </w:rPr>
        <w:t xml:space="preserve">2026中国景德镇国际陶瓷博览会有450多家参展商、800多名境外嘉宾参会，期间推出“上合之窗”主题展，并举办以“世界遗产与文明对话”为年度主题的景德镇论坛。</w:t>
      </w:r>
    </w:p>
    <w:p>
      <w:pPr>
        <w:pStyle w:val="BodyText"/>
      </w:pPr>
      <w:r>
        <w:rPr>
          <w:rFonts w:hint="eastAsia"/>
          <w:b/>
          <w:bCs/>
        </w:rPr>
        <w:t xml:space="preserve">产业解读：</w:t>
      </w:r>
      <w:r>
        <w:t xml:space="preserve"> </w:t>
      </w:r>
      <w:r>
        <w:rPr>
          <w:rFonts w:hint="eastAsia"/>
        </w:rPr>
        <w:t xml:space="preserve">国际参展和主题论坛有助于产业展示、贸易对接和城市品牌传播，但底稿没有成交额、订单、游客消费和企业名单。后续应看签约转化、出口、会展客流和陶瓷产品销售，而不是仅以参会规模推导盈利。</w:t>
      </w:r>
    </w:p>
    <w:bookmarkEnd w:id="26"/>
    <w:bookmarkStart w:id="27" w:name="cmg全国中短剧大会精品共创计划推动内容供给与合规化"/>
    <w:p>
      <w:pPr>
        <w:pStyle w:val="Heading3"/>
      </w:pPr>
      <w:r>
        <w:t xml:space="preserve">10.7 </w:t>
      </w:r>
      <w:r>
        <w:rPr>
          <w:rFonts w:hint="eastAsia"/>
        </w:rPr>
        <w:t xml:space="preserve">CMG全国中短剧大会：精品共创计划推动内容供给与合规化</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A股影响：中短剧制作、版权与内容平台长期偏正面，短期看项目商业化</w:t>
      </w:r>
    </w:p>
    <w:p>
      <w:pPr>
        <w:pStyle w:val="Compact"/>
        <w:numPr>
          <w:ilvl w:val="0"/>
          <w:numId w:val="1018"/>
        </w:numPr>
      </w:pPr>
      <w:r>
        <w:rPr>
          <w:rFonts w:hint="eastAsia"/>
          <w:b/>
          <w:bCs/>
        </w:rPr>
        <w:t xml:space="preserve">关联方向：</w:t>
      </w:r>
      <w:r>
        <w:t xml:space="preserve"> </w:t>
      </w:r>
      <w:r>
        <w:rPr>
          <w:rFonts w:hint="eastAsia"/>
        </w:rPr>
        <w:t xml:space="preserve">影视内容制作、短剧发行、版权运营、法治与主旋律内容、拍摄制作服务。</w:t>
      </w:r>
    </w:p>
    <w:p>
      <w:pPr>
        <w:pStyle w:val="FirstParagraph"/>
      </w:pPr>
      <w:r>
        <w:rPr>
          <w:rFonts w:hint="eastAsia"/>
          <w:b/>
          <w:bCs/>
        </w:rPr>
        <w:t xml:space="preserve">原文事实：</w:t>
      </w:r>
      <w:r>
        <w:t xml:space="preserve"> </w:t>
      </w:r>
      <w:r>
        <w:rPr>
          <w:rFonts w:hint="eastAsia"/>
        </w:rPr>
        <w:t xml:space="preserve">CMG全国中短剧大会在上海浦东举行，“CMG全国中短剧精品共创计划”同步启动，并发布20余部精品中短剧，题材包括长征、司法案例、普法和轻喜剧。</w:t>
      </w:r>
    </w:p>
    <w:p>
      <w:pPr>
        <w:pStyle w:val="BodyText"/>
      </w:pPr>
      <w:r>
        <w:rPr>
          <w:rFonts w:hint="eastAsia"/>
          <w:b/>
          <w:bCs/>
        </w:rPr>
        <w:t xml:space="preserve">产业解读：</w:t>
      </w:r>
      <w:r>
        <w:t xml:space="preserve"> </w:t>
      </w:r>
      <w:r>
        <w:rPr>
          <w:rFonts w:hint="eastAsia"/>
        </w:rPr>
        <w:t xml:space="preserve">“精品共创”反映中短剧供给向精品化、规范化和多题材发展，有利于具备制作、版权和发行能力的环节，但底稿没有投资额、上线平台、分账方式、播放量或广告收入。20余部作品发布不等于商业成功，需看制作成本、上线表现、版权回收和监管要求。</w:t>
      </w:r>
    </w:p>
    <w:bookmarkEnd w:id="27"/>
    <w:bookmarkStart w:id="28" w:name="新一股冷空气影响中东部供暖能源负荷与防风需求短期受关注"/>
    <w:p>
      <w:pPr>
        <w:pStyle w:val="Heading3"/>
      </w:pPr>
      <w:r>
        <w:t xml:space="preserve">10.8 </w:t>
      </w:r>
      <w:r>
        <w:rPr>
          <w:rFonts w:hint="eastAsia"/>
        </w:rPr>
        <w:t xml:space="preserve">新一股冷空气影响中东部：供暖、能源负荷与防风需求短期受关注</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A股影响：事件性影响，供暖与保暖消费可能受益，交通施工及农业需防扰动</w:t>
      </w:r>
    </w:p>
    <w:p>
      <w:pPr>
        <w:pStyle w:val="Compact"/>
        <w:numPr>
          <w:ilvl w:val="0"/>
          <w:numId w:val="1019"/>
        </w:numPr>
      </w:pPr>
      <w:r>
        <w:rPr>
          <w:rFonts w:hint="eastAsia"/>
          <w:b/>
          <w:bCs/>
        </w:rPr>
        <w:t xml:space="preserve">关联方向：</w:t>
      </w:r>
      <w:r>
        <w:t xml:space="preserve"> </w:t>
      </w:r>
      <w:r>
        <w:rPr>
          <w:rFonts w:hint="eastAsia"/>
        </w:rPr>
        <w:t xml:space="preserve">城市供热、燃气电力负荷、保暖服饰、气象服务；交通运输、户外施工和局部农业风险管理。</w:t>
      </w:r>
    </w:p>
    <w:p>
      <w:pPr>
        <w:pStyle w:val="FirstParagraph"/>
      </w:pPr>
      <w:r>
        <w:rPr>
          <w:rFonts w:hint="eastAsia"/>
          <w:b/>
          <w:bCs/>
        </w:rPr>
        <w:t xml:space="preserve">原文事实：</w:t>
      </w:r>
      <w:r>
        <w:t xml:space="preserve"> </w:t>
      </w:r>
      <w:r>
        <w:rPr>
          <w:rFonts w:hint="eastAsia"/>
        </w:rPr>
        <w:t xml:space="preserve">10月19日至21日，新一股冷空气将影响我国，中东部大部地区降温4—6℃，华北西部、东北局地降温超过8℃；长江以北局地阵风可达9级。</w:t>
      </w:r>
    </w:p>
    <w:p>
      <w:pPr>
        <w:pStyle w:val="BodyText"/>
      </w:pPr>
      <w:r>
        <w:rPr>
          <w:rFonts w:hint="eastAsia"/>
          <w:b/>
          <w:bCs/>
        </w:rPr>
        <w:t xml:space="preserve">产业解读：</w:t>
      </w:r>
      <w:r>
        <w:t xml:space="preserve"> </w:t>
      </w:r>
      <w:r>
        <w:rPr>
          <w:rFonts w:hint="eastAsia"/>
        </w:rPr>
        <w:t xml:space="preserve">冷空气持续时间有限，首先是公共安全与生产生活扰动，不应泛化为长期行业景气。短期可能提升供暖和保暖消费关注，也可能影响交通、施工和农业。是否形成企业业绩影响，要看实际气温、持续时长、能源调度、销量和灾损，单次预报不宜作为追涨依据。</w:t>
      </w:r>
    </w:p>
    <w:bookmarkEnd w:id="28"/>
    <w:bookmarkEnd w:id="29"/>
    <w:bookmarkStart w:id="32" w:name="五国际新闻逐条分析"/>
    <w:p>
      <w:pPr>
        <w:pStyle w:val="Heading2"/>
      </w:pPr>
      <w:r>
        <w:rPr>
          <w:rFonts w:hint="eastAsia"/>
        </w:rPr>
        <w:t xml:space="preserve">五、国际新闻逐条分析</w:t>
      </w:r>
    </w:p>
    <w:bookmarkStart w:id="30" w:name="俄乌冲突打击延伸至数据中心油气与物流设施"/>
    <w:p>
      <w:pPr>
        <w:pStyle w:val="Heading3"/>
      </w:pPr>
      <w:r>
        <w:t xml:space="preserve">11. </w:t>
      </w:r>
      <w:r>
        <w:rPr>
          <w:rFonts w:hint="eastAsia"/>
        </w:rPr>
        <w:t xml:space="preserve">俄乌冲突：打击延伸至数据中心、油气与物流设施</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A股影响：能源、网络与基础设施安全风险溢价可能上升；全球风险偏好承压</w:t>
      </w:r>
    </w:p>
    <w:p>
      <w:pPr>
        <w:pStyle w:val="Compact"/>
        <w:numPr>
          <w:ilvl w:val="0"/>
          <w:numId w:val="1020"/>
        </w:numPr>
      </w:pPr>
      <w:r>
        <w:rPr>
          <w:rFonts w:hint="eastAsia"/>
          <w:b/>
          <w:bCs/>
        </w:rPr>
        <w:t xml:space="preserve">影响时效：短期事件性；若设施损害和冲突持续则中期化</w:t>
      </w:r>
    </w:p>
    <w:p>
      <w:pPr>
        <w:pStyle w:val="Compact"/>
        <w:numPr>
          <w:ilvl w:val="0"/>
          <w:numId w:val="1020"/>
        </w:numPr>
      </w:pPr>
      <w:r>
        <w:rPr>
          <w:rFonts w:hint="eastAsia"/>
          <w:b/>
          <w:bCs/>
        </w:rPr>
        <w:t xml:space="preserve">条件性受益映射：</w:t>
      </w:r>
      <w:r>
        <w:t xml:space="preserve"> </w:t>
      </w:r>
      <w:r>
        <w:rPr>
          <w:rFonts w:hint="eastAsia"/>
        </w:rPr>
        <w:t xml:space="preserve">能源安全、网络与数据中心防护、反无人机、防空、避险资产。</w:t>
      </w:r>
    </w:p>
    <w:p>
      <w:pPr>
        <w:pStyle w:val="Compact"/>
        <w:numPr>
          <w:ilvl w:val="0"/>
          <w:numId w:val="1020"/>
        </w:numPr>
      </w:pPr>
      <w:r>
        <w:rPr>
          <w:rFonts w:hint="eastAsia"/>
          <w:b/>
          <w:bCs/>
        </w:rPr>
        <w:t xml:space="preserve">可能承压方向：</w:t>
      </w:r>
      <w:r>
        <w:t xml:space="preserve"> </w:t>
      </w:r>
      <w:r>
        <w:rPr>
          <w:rFonts w:hint="eastAsia"/>
        </w:rPr>
        <w:t xml:space="preserve">欧洲敞口较高行业、国际物流、能源成本敏感制造业。</w:t>
      </w:r>
    </w:p>
    <w:p>
      <w:pPr>
        <w:pStyle w:val="FirstParagraph"/>
      </w:pPr>
      <w:r>
        <w:rPr>
          <w:rFonts w:hint="eastAsia"/>
          <w:b/>
          <w:bCs/>
        </w:rPr>
        <w:t xml:space="preserve">原文事实：</w:t>
      </w:r>
      <w:r>
        <w:t xml:space="preserve"> </w:t>
      </w:r>
      <w:r>
        <w:rPr>
          <w:rFonts w:hint="eastAsia"/>
        </w:rPr>
        <w:t xml:space="preserve">俄罗斯国防部称，俄军使用高精度武器和无人机打击基辅市及基辅州军工企业、巡航导弹和无人机储存设施、数据处理中心，并继续打击运送乌军物资的船只和物流中心。乌方称使用无人机袭击俄罗斯圣彼得堡一处数据中心，并打击两处石油设施。乌克兰总统表示，如果俄方同意至少停火60天且不附加额外谈判条件，他愿意考虑在战争结束前举行选举。</w:t>
      </w:r>
    </w:p>
    <w:p>
      <w:pPr>
        <w:pStyle w:val="BodyText"/>
      </w:pPr>
      <w:r>
        <w:rPr>
          <w:rFonts w:hint="eastAsia"/>
          <w:b/>
          <w:bCs/>
        </w:rPr>
        <w:t xml:space="preserve">产业解读：</w:t>
      </w:r>
      <w:r>
        <w:t xml:space="preserve"> </w:t>
      </w:r>
      <w:r>
        <w:rPr>
          <w:rFonts w:hint="eastAsia"/>
        </w:rPr>
        <w:t xml:space="preserve">战况与受损程度来自冲突各方口径，本文不作独立事实背书。数据中心、油气和物流设施成为目标，会强化关键基础设施防护和能源安全关注；同时，停火表态又提供潜在缓和变量。市场传导必须通过油气价格、欧洲电力与供应链、航运保险、制裁和真实军贸订单验证，不能仅依据单方战报追逐主题。</w:t>
      </w:r>
    </w:p>
    <w:bookmarkEnd w:id="30"/>
    <w:bookmarkStart w:id="31" w:name="也门与沙特冲突空袭边境投射物与海合会共同防御表态叠加"/>
    <w:p>
      <w:pPr>
        <w:pStyle w:val="Heading3"/>
      </w:pPr>
      <w:r>
        <w:t xml:space="preserve">12. </w:t>
      </w:r>
      <w:r>
        <w:rPr>
          <w:rFonts w:hint="eastAsia"/>
        </w:rPr>
        <w:t xml:space="preserve">也门与沙特冲突：空袭、边境投射物与海合会共同防御表态叠加</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A股影响：中东风险溢价上升，能源与航运波动可能加大</w:t>
      </w:r>
    </w:p>
    <w:p>
      <w:pPr>
        <w:pStyle w:val="Compact"/>
        <w:numPr>
          <w:ilvl w:val="0"/>
          <w:numId w:val="1021"/>
        </w:numPr>
      </w:pPr>
      <w:r>
        <w:rPr>
          <w:rFonts w:hint="eastAsia"/>
          <w:b/>
          <w:bCs/>
        </w:rPr>
        <w:t xml:space="preserve">影响时效：短期事件驱动；外溢时延长</w:t>
      </w:r>
    </w:p>
    <w:p>
      <w:pPr>
        <w:pStyle w:val="Compact"/>
        <w:numPr>
          <w:ilvl w:val="0"/>
          <w:numId w:val="1021"/>
        </w:numPr>
      </w:pPr>
      <w:r>
        <w:rPr>
          <w:rFonts w:hint="eastAsia"/>
          <w:b/>
          <w:bCs/>
        </w:rPr>
        <w:t xml:space="preserve">条件性受益映射：</w:t>
      </w:r>
      <w:r>
        <w:t xml:space="preserve"> </w:t>
      </w:r>
      <w:r>
        <w:rPr>
          <w:rFonts w:hint="eastAsia"/>
        </w:rPr>
        <w:t xml:space="preserve">油气安全、防空反导、反无人机、海事安防。</w:t>
      </w:r>
    </w:p>
    <w:p>
      <w:pPr>
        <w:pStyle w:val="Compact"/>
        <w:numPr>
          <w:ilvl w:val="0"/>
          <w:numId w:val="1021"/>
        </w:numPr>
      </w:pPr>
      <w:r>
        <w:rPr>
          <w:rFonts w:hint="eastAsia"/>
          <w:b/>
          <w:bCs/>
        </w:rPr>
        <w:t xml:space="preserve">可能承压方向：</w:t>
      </w:r>
      <w:r>
        <w:t xml:space="preserve"> </w:t>
      </w:r>
      <w:r>
        <w:rPr>
          <w:rFonts w:hint="eastAsia"/>
        </w:rPr>
        <w:t xml:space="preserve">航空、国际贸易物流、燃料成本敏感行业。</w:t>
      </w:r>
    </w:p>
    <w:p>
      <w:pPr>
        <w:pStyle w:val="FirstParagraph"/>
      </w:pPr>
      <w:r>
        <w:rPr>
          <w:rFonts w:hint="eastAsia"/>
          <w:b/>
          <w:bCs/>
        </w:rPr>
        <w:t xml:space="preserve">原文事实：</w:t>
      </w:r>
      <w:r>
        <w:t xml:space="preserve"> </w:t>
      </w:r>
      <w:r>
        <w:rPr>
          <w:rFonts w:hint="eastAsia"/>
        </w:rPr>
        <w:t xml:space="preserve">也门媒体报道称，萨达省一处民宅遭沙特空袭，造成10人死亡、23人受伤；胡塞武装称过去24小时萨那及荷台达、塔伊兹等地遭沙特上百次空袭。沙特民防部门称，一枚由胡塞武装发射的投射物落入奈季兰市居民区，造成6名沙特公民受伤。海合会部长理事会公告谴责胡塞武装近期袭击沙特，并强调成员国安全不可分割。</w:t>
      </w:r>
    </w:p>
    <w:p>
      <w:pPr>
        <w:pStyle w:val="BodyText"/>
      </w:pPr>
      <w:r>
        <w:rPr>
          <w:rFonts w:hint="eastAsia"/>
          <w:b/>
          <w:bCs/>
        </w:rPr>
        <w:t xml:space="preserve">产业解读：</w:t>
      </w:r>
      <w:r>
        <w:t xml:space="preserve"> </w:t>
      </w:r>
      <w:r>
        <w:rPr>
          <w:rFonts w:hint="eastAsia"/>
        </w:rPr>
        <w:t xml:space="preserve">冲突升级及共同防御表态可能抬升中东能源和航线风险，但报道未说明全球油气供应或主要航道已受实际影响。相关A股映射应以油价、运价、保险费率、航线调整和防务订单为证据。若冲突降温或未影响供应，风险溢价可能迅速回落。</w:t>
      </w:r>
    </w:p>
    <w:bookmarkEnd w:id="31"/>
    <w:bookmarkEnd w:id="32"/>
    <w:bookmarkStart w:id="38" w:name="六国际联播快讯逐项分析"/>
    <w:p>
      <w:pPr>
        <w:pStyle w:val="Heading2"/>
      </w:pPr>
      <w:r>
        <w:rPr>
          <w:rFonts w:hint="eastAsia"/>
        </w:rPr>
        <w:t xml:space="preserve">六、国际联播快讯逐项分析</w:t>
      </w:r>
    </w:p>
    <w:bookmarkStart w:id="33" w:name="法国抗议与暴力事件欧洲消费与社会稳定预期承压"/>
    <w:p>
      <w:pPr>
        <w:pStyle w:val="Heading3"/>
      </w:pPr>
      <w:r>
        <w:t xml:space="preserve">13.1 </w:t>
      </w:r>
      <w:r>
        <w:rPr>
          <w:rFonts w:hint="eastAsia"/>
        </w:rPr>
        <w:t xml:space="preserve">法国抗议与暴力事件：欧洲消费与社会稳定预期承压</w:t>
      </w:r>
    </w:p>
    <w:p>
      <w:pPr>
        <w:pStyle w:val="Compact"/>
        <w:numPr>
          <w:ilvl w:val="0"/>
          <w:numId w:val="1022"/>
        </w:numPr>
      </w:pPr>
      <w:r>
        <w:rPr>
          <w:rFonts w:hint="eastAsia"/>
          <w:b/>
          <w:bCs/>
        </w:rPr>
        <w:t xml:space="preserve">信号强度：★★★</w:t>
      </w:r>
    </w:p>
    <w:p>
      <w:pPr>
        <w:pStyle w:val="Compact"/>
        <w:numPr>
          <w:ilvl w:val="0"/>
          <w:numId w:val="1022"/>
        </w:numPr>
      </w:pPr>
      <w:r>
        <w:rPr>
          <w:rFonts w:hint="eastAsia"/>
          <w:b/>
          <w:bCs/>
        </w:rPr>
        <w:t xml:space="preserve">A股影响：总体偏中性，欧洲敞口与风险偏好面临扰动</w:t>
      </w:r>
    </w:p>
    <w:p>
      <w:pPr>
        <w:pStyle w:val="Compact"/>
        <w:numPr>
          <w:ilvl w:val="0"/>
          <w:numId w:val="1022"/>
        </w:numPr>
      </w:pPr>
      <w:r>
        <w:rPr>
          <w:rFonts w:hint="eastAsia"/>
          <w:b/>
          <w:bCs/>
        </w:rPr>
        <w:t xml:space="preserve">关联方向：</w:t>
      </w:r>
      <w:r>
        <w:t xml:space="preserve"> </w:t>
      </w:r>
      <w:r>
        <w:rPr>
          <w:rFonts w:hint="eastAsia"/>
        </w:rPr>
        <w:t xml:space="preserve">对欧出口、跨境旅游、公共安全设备和海外运营风险管理。</w:t>
      </w:r>
    </w:p>
    <w:p>
      <w:pPr>
        <w:pStyle w:val="FirstParagraph"/>
      </w:pPr>
      <w:r>
        <w:rPr>
          <w:rFonts w:hint="eastAsia"/>
          <w:b/>
          <w:bCs/>
        </w:rPr>
        <w:t xml:space="preserve">原文事实：</w:t>
      </w:r>
      <w:r>
        <w:t xml:space="preserve"> </w:t>
      </w:r>
      <w:r>
        <w:rPr>
          <w:rFonts w:hint="eastAsia"/>
        </w:rPr>
        <w:t xml:space="preserve">法国总统马克龙谴责抗议活动中的暴力行为并表示追究违法责任。法国多地17日发生大规模抗议，诉求包括反对生活成本上涨和要求改善公共服务；法国内政部数据显示，全国近2400人被捕。</w:t>
      </w:r>
    </w:p>
    <w:p>
      <w:pPr>
        <w:pStyle w:val="BodyText"/>
      </w:pPr>
      <w:r>
        <w:rPr>
          <w:rFonts w:hint="eastAsia"/>
          <w:b/>
          <w:bCs/>
        </w:rPr>
        <w:t xml:space="preserve">产业解读：</w:t>
      </w:r>
      <w:r>
        <w:t xml:space="preserve"> </w:t>
      </w:r>
      <w:r>
        <w:rPr>
          <w:rFonts w:hint="eastAsia"/>
        </w:rPr>
        <w:t xml:space="preserve">事件反映生活成本与公共服务压力，但底稿没有罢工持续时间、经济损失或供应链中断数据。对A股直接影响有限，只有当抗议长期化并影响消费、物流、门店或中国企业在欧运营时，才形成可量化传导。</w:t>
      </w:r>
    </w:p>
    <w:bookmarkEnd w:id="33"/>
    <w:bookmarkStart w:id="34" w:name="伊朗称准备应对冒险行径地区安全与油价风险上升"/>
    <w:p>
      <w:pPr>
        <w:pStyle w:val="Heading3"/>
      </w:pPr>
      <w:r>
        <w:t xml:space="preserve">13.2 </w:t>
      </w:r>
      <w:r>
        <w:rPr>
          <w:rFonts w:hint="eastAsia"/>
        </w:rPr>
        <w:t xml:space="preserve">伊朗称准备应对“冒险行径”：地区安全与油价风险上升</w:t>
      </w:r>
    </w:p>
    <w:p>
      <w:pPr>
        <w:pStyle w:val="Compact"/>
        <w:numPr>
          <w:ilvl w:val="0"/>
          <w:numId w:val="1023"/>
        </w:numPr>
      </w:pPr>
      <w:r>
        <w:rPr>
          <w:rFonts w:hint="eastAsia"/>
          <w:b/>
          <w:bCs/>
        </w:rPr>
        <w:t xml:space="preserve">信号强度：★★★★</w:t>
      </w:r>
    </w:p>
    <w:p>
      <w:pPr>
        <w:pStyle w:val="Compact"/>
        <w:numPr>
          <w:ilvl w:val="0"/>
          <w:numId w:val="1023"/>
        </w:numPr>
      </w:pPr>
      <w:r>
        <w:rPr>
          <w:rFonts w:hint="eastAsia"/>
          <w:b/>
          <w:bCs/>
        </w:rPr>
        <w:t xml:space="preserve">A股影响：能源与避险溢价可能上升，航空和成本敏感行业承压</w:t>
      </w:r>
    </w:p>
    <w:p>
      <w:pPr>
        <w:pStyle w:val="Compact"/>
        <w:numPr>
          <w:ilvl w:val="0"/>
          <w:numId w:val="1023"/>
        </w:numPr>
      </w:pPr>
      <w:r>
        <w:rPr>
          <w:rFonts w:hint="eastAsia"/>
          <w:b/>
          <w:bCs/>
        </w:rPr>
        <w:t xml:space="preserve">关联方向：</w:t>
      </w:r>
      <w:r>
        <w:t xml:space="preserve"> </w:t>
      </w:r>
      <w:r>
        <w:rPr>
          <w:rFonts w:hint="eastAsia"/>
        </w:rPr>
        <w:t xml:space="preserve">油气安全、黄金、防空、航空与国际物流风险观察。</w:t>
      </w:r>
    </w:p>
    <w:p>
      <w:pPr>
        <w:pStyle w:val="FirstParagraph"/>
      </w:pPr>
      <w:r>
        <w:rPr>
          <w:rFonts w:hint="eastAsia"/>
          <w:b/>
          <w:bCs/>
        </w:rPr>
        <w:t xml:space="preserve">原文事实：</w:t>
      </w:r>
      <w:r>
        <w:t xml:space="preserve"> </w:t>
      </w:r>
      <w:r>
        <w:rPr>
          <w:rFonts w:hint="eastAsia"/>
        </w:rPr>
        <w:t xml:space="preserve">伊朗最高国家安全委员会秘书表示，针对美国和以色列可能采取的任何新的“冒险行径”，伊朗武装力量已做好准备；伊朗总统表示不会屈服。美国媒体援引美国官员消息称，美军已制定打击伊朗的新方案，包括考虑使用大型空爆炸弹打击伊朗核设施。</w:t>
      </w:r>
    </w:p>
    <w:p>
      <w:pPr>
        <w:pStyle w:val="BodyText"/>
      </w:pPr>
      <w:r>
        <w:rPr>
          <w:rFonts w:hint="eastAsia"/>
          <w:b/>
          <w:bCs/>
        </w:rPr>
        <w:t xml:space="preserve">产业解读：</w:t>
      </w:r>
      <w:r>
        <w:t xml:space="preserve"> </w:t>
      </w:r>
      <w:r>
        <w:rPr>
          <w:rFonts w:hint="eastAsia"/>
        </w:rPr>
        <w:t xml:space="preserve">该条包含伊朗官方表态和美国媒体引述，并非已经发生的军事行动。市场影响主要体现为情景风险：若紧张升级并影响原油供应或航运，能源和避险资产可能受益，航空与化工下游成本承压；若仅停留在威慑表态，主题持续性有限。</w:t>
      </w:r>
    </w:p>
    <w:bookmarkEnd w:id="34"/>
    <w:bookmarkStart w:id="35" w:name="以色列公布新版安全原则预防进攻与军需独立优先"/>
    <w:p>
      <w:pPr>
        <w:pStyle w:val="Heading3"/>
      </w:pPr>
      <w:r>
        <w:t xml:space="preserve">13.3 </w:t>
      </w:r>
      <w:r>
        <w:rPr>
          <w:rFonts w:hint="eastAsia"/>
        </w:rPr>
        <w:t xml:space="preserve">以色列公布新版安全原则：预防、进攻与军需独立优先</w:t>
      </w:r>
    </w:p>
    <w:p>
      <w:pPr>
        <w:pStyle w:val="Compact"/>
        <w:numPr>
          <w:ilvl w:val="0"/>
          <w:numId w:val="1024"/>
        </w:numPr>
      </w:pPr>
      <w:r>
        <w:rPr>
          <w:rFonts w:hint="eastAsia"/>
          <w:b/>
          <w:bCs/>
        </w:rPr>
        <w:t xml:space="preserve">信号强度：★★★★</w:t>
      </w:r>
    </w:p>
    <w:p>
      <w:pPr>
        <w:pStyle w:val="Compact"/>
        <w:numPr>
          <w:ilvl w:val="0"/>
          <w:numId w:val="1024"/>
        </w:numPr>
      </w:pPr>
      <w:r>
        <w:rPr>
          <w:rFonts w:hint="eastAsia"/>
          <w:b/>
          <w:bCs/>
        </w:rPr>
        <w:t xml:space="preserve">A股影响：地区冲突预期偏负面，防务自主与供应链安全关注上升</w:t>
      </w:r>
    </w:p>
    <w:p>
      <w:pPr>
        <w:pStyle w:val="Compact"/>
        <w:numPr>
          <w:ilvl w:val="0"/>
          <w:numId w:val="1024"/>
        </w:numPr>
      </w:pPr>
      <w:r>
        <w:rPr>
          <w:rFonts w:hint="eastAsia"/>
          <w:b/>
          <w:bCs/>
        </w:rPr>
        <w:t xml:space="preserve">关联方向：</w:t>
      </w:r>
      <w:r>
        <w:t xml:space="preserve"> </w:t>
      </w:r>
      <w:r>
        <w:rPr>
          <w:rFonts w:hint="eastAsia"/>
        </w:rPr>
        <w:t xml:space="preserve">防空反导、军工电子、关键材料自主、能源与航运风险管理。</w:t>
      </w:r>
    </w:p>
    <w:p>
      <w:pPr>
        <w:pStyle w:val="FirstParagraph"/>
      </w:pPr>
      <w:r>
        <w:rPr>
          <w:rFonts w:hint="eastAsia"/>
          <w:b/>
          <w:bCs/>
        </w:rPr>
        <w:t xml:space="preserve">原文事实：</w:t>
      </w:r>
      <w:r>
        <w:t xml:space="preserve"> </w:t>
      </w:r>
      <w:r>
        <w:rPr>
          <w:rFonts w:hint="eastAsia"/>
        </w:rPr>
        <w:t xml:space="preserve">以色列总理公布所谓新版“国家安全原则”，包括优先考虑预防和进攻而非遏制和防御、以先发制人打击应对威胁，并最大程度实现军需独立；他还表示目标不依赖美国批准。以色列媒体称，反对党批评其在临近大选时提出该主张带有政治企图。</w:t>
      </w:r>
    </w:p>
    <w:p>
      <w:pPr>
        <w:pStyle w:val="BodyText"/>
      </w:pPr>
      <w:r>
        <w:rPr>
          <w:rFonts w:hint="eastAsia"/>
          <w:b/>
          <w:bCs/>
        </w:rPr>
        <w:t xml:space="preserve">产业解读：</w:t>
      </w:r>
      <w:r>
        <w:t xml:space="preserve"> </w:t>
      </w:r>
      <w:r>
        <w:rPr>
          <w:rFonts w:hint="eastAsia"/>
        </w:rPr>
        <w:t xml:space="preserve">“军需独立”强化全球防务供应链自主化趋势，但这是以色列的安全原则，不能直接推导中国上市公司订单。对A股更直接的变量仍是地区冲突是否升级、能源和航线是否受扰，以及国内相关行业是否出现真实采购。</w:t>
      </w:r>
    </w:p>
    <w:bookmarkEnd w:id="35"/>
    <w:bookmarkStart w:id="36" w:name="加拿大军事基地火灾事故原因排除外部因素直接市场影响有限"/>
    <w:p>
      <w:pPr>
        <w:pStyle w:val="Heading3"/>
      </w:pPr>
      <w:r>
        <w:t xml:space="preserve">13.4 </w:t>
      </w:r>
      <w:r>
        <w:rPr>
          <w:rFonts w:hint="eastAsia"/>
        </w:rPr>
        <w:t xml:space="preserve">加拿大军事基地火灾：事故原因排除外部因素，直接市场影响有限</w:t>
      </w:r>
    </w:p>
    <w:p>
      <w:pPr>
        <w:pStyle w:val="Compact"/>
        <w:numPr>
          <w:ilvl w:val="0"/>
          <w:numId w:val="1025"/>
        </w:numPr>
      </w:pPr>
      <w:r>
        <w:rPr>
          <w:rFonts w:hint="eastAsia"/>
          <w:b/>
          <w:bCs/>
        </w:rPr>
        <w:t xml:space="preserve">信号强度：★★</w:t>
      </w:r>
    </w:p>
    <w:p>
      <w:pPr>
        <w:pStyle w:val="Compact"/>
        <w:numPr>
          <w:ilvl w:val="0"/>
          <w:numId w:val="1025"/>
        </w:numPr>
      </w:pPr>
      <w:r>
        <w:rPr>
          <w:rFonts w:hint="eastAsia"/>
          <w:b/>
          <w:bCs/>
        </w:rPr>
        <w:t xml:space="preserve">A股影响：总体中性，弱关联消防与训练安全</w:t>
      </w:r>
    </w:p>
    <w:p>
      <w:pPr>
        <w:pStyle w:val="Compact"/>
        <w:numPr>
          <w:ilvl w:val="0"/>
          <w:numId w:val="1025"/>
        </w:numPr>
      </w:pPr>
      <w:r>
        <w:rPr>
          <w:rFonts w:hint="eastAsia"/>
          <w:b/>
          <w:bCs/>
        </w:rPr>
        <w:t xml:space="preserve">关联方向：</w:t>
      </w:r>
      <w:r>
        <w:t xml:space="preserve"> </w:t>
      </w:r>
      <w:r>
        <w:rPr>
          <w:rFonts w:hint="eastAsia"/>
        </w:rPr>
        <w:t xml:space="preserve">消防装备、应急管理、军事设施安全监测。</w:t>
      </w:r>
    </w:p>
    <w:p>
      <w:pPr>
        <w:pStyle w:val="FirstParagraph"/>
      </w:pPr>
      <w:r>
        <w:rPr>
          <w:rFonts w:hint="eastAsia"/>
          <w:b/>
          <w:bCs/>
        </w:rPr>
        <w:t xml:space="preserve">原文事实：</w:t>
      </w:r>
      <w:r>
        <w:t xml:space="preserve"> </w:t>
      </w:r>
      <w:r>
        <w:rPr>
          <w:rFonts w:hint="eastAsia"/>
        </w:rPr>
        <w:t xml:space="preserve">加拿大军方证实，艾伯塔省韦恩赖特军事基地火灾造成4名军人死亡、39人受伤。通报称火灾发生在实弹训练过程中，因风势强劲迅速蔓延，不是由油气基础设施或外部因素引起。该基地总面积超过600平方公里。</w:t>
      </w:r>
    </w:p>
    <w:p>
      <w:pPr>
        <w:pStyle w:val="BodyText"/>
      </w:pPr>
      <w:r>
        <w:rPr>
          <w:rFonts w:hint="eastAsia"/>
          <w:b/>
          <w:bCs/>
        </w:rPr>
        <w:t xml:space="preserve">产业解读：</w:t>
      </w:r>
      <w:r>
        <w:t xml:space="preserve"> </w:t>
      </w:r>
      <w:r>
        <w:rPr>
          <w:rFonts w:hint="eastAsia"/>
        </w:rPr>
        <w:t xml:space="preserve">事故已明确排除外部因素和油气基础设施因素，因此不宜将其包装为地缘冲突或能源设施受损。对A股仅有消防、应急和安全管理的弱观察意义，底稿没有采购或制度调整信息。</w:t>
      </w:r>
    </w:p>
    <w:bookmarkEnd w:id="36"/>
    <w:bookmarkStart w:id="37" w:name="印尼林火与跨境烟霾环保监测健康防护和航空旅游风险受关注"/>
    <w:p>
      <w:pPr>
        <w:pStyle w:val="Heading3"/>
      </w:pPr>
      <w:r>
        <w:t xml:space="preserve">13.5 </w:t>
      </w:r>
      <w:r>
        <w:rPr>
          <w:rFonts w:hint="eastAsia"/>
        </w:rPr>
        <w:t xml:space="preserve">印尼林火与跨境烟霾：环保监测、健康防护和航空旅游风险受关注</w:t>
      </w:r>
    </w:p>
    <w:p>
      <w:pPr>
        <w:pStyle w:val="Compact"/>
        <w:numPr>
          <w:ilvl w:val="0"/>
          <w:numId w:val="1026"/>
        </w:numPr>
      </w:pPr>
      <w:r>
        <w:rPr>
          <w:rFonts w:hint="eastAsia"/>
          <w:b/>
          <w:bCs/>
        </w:rPr>
        <w:t xml:space="preserve">信号强度：★★★</w:t>
      </w:r>
    </w:p>
    <w:p>
      <w:pPr>
        <w:pStyle w:val="Compact"/>
        <w:numPr>
          <w:ilvl w:val="0"/>
          <w:numId w:val="1026"/>
        </w:numPr>
      </w:pPr>
      <w:r>
        <w:rPr>
          <w:rFonts w:hint="eastAsia"/>
          <w:b/>
          <w:bCs/>
        </w:rPr>
        <w:t xml:space="preserve">A股影响：区域公共健康和出行风险偏负面，环保与防护需求为条件性映射</w:t>
      </w:r>
    </w:p>
    <w:p>
      <w:pPr>
        <w:pStyle w:val="Compact"/>
        <w:numPr>
          <w:ilvl w:val="0"/>
          <w:numId w:val="1026"/>
        </w:numPr>
      </w:pPr>
      <w:r>
        <w:rPr>
          <w:rFonts w:hint="eastAsia"/>
          <w:b/>
          <w:bCs/>
        </w:rPr>
        <w:t xml:space="preserve">关联方向：</w:t>
      </w:r>
      <w:r>
        <w:t xml:space="preserve"> </w:t>
      </w:r>
      <w:r>
        <w:rPr>
          <w:rFonts w:hint="eastAsia"/>
        </w:rPr>
        <w:t xml:space="preserve">空气质量监测、呼吸防护、林火监测、消防装备；东南亚航空、旅游和海外运营风险。</w:t>
      </w:r>
    </w:p>
    <w:p>
      <w:pPr>
        <w:pStyle w:val="FirstParagraph"/>
      </w:pPr>
      <w:r>
        <w:rPr>
          <w:rFonts w:hint="eastAsia"/>
          <w:b/>
          <w:bCs/>
        </w:rPr>
        <w:t xml:space="preserve">原文事实：</w:t>
      </w:r>
      <w:r>
        <w:t xml:space="preserve"> </w:t>
      </w:r>
      <w:r>
        <w:rPr>
          <w:rFonts w:hint="eastAsia"/>
        </w:rPr>
        <w:t xml:space="preserve">印尼环境与林业部监测显示，受旱季林火及农业烧荒影响，多地遭遇重度烟霾，空气质量恶化；当地媒体称全国空气污染最严重的前十个区域达到“危险”级别。烟霾扩散至马来西亚、新加坡和东帝汶等国，多地污染严重。</w:t>
      </w:r>
    </w:p>
    <w:p>
      <w:pPr>
        <w:pStyle w:val="BodyText"/>
      </w:pPr>
      <w:r>
        <w:rPr>
          <w:rFonts w:hint="eastAsia"/>
          <w:b/>
          <w:bCs/>
        </w:rPr>
        <w:t xml:space="preserve">产业解读：</w:t>
      </w:r>
      <w:r>
        <w:t xml:space="preserve"> </w:t>
      </w:r>
      <w:r>
        <w:rPr>
          <w:rFonts w:hint="eastAsia"/>
        </w:rPr>
        <w:t xml:space="preserve">林火和跨境烟霾首先是公共健康与生态损失，不应简单包装为利好。只有真实出现监测、消防、防护用品采购时，相关行业才可能受益；航空、旅游与当地生产活动则可能受短期扰动。持续性取决于火情、天气、治理力度和跨境影响范围。</w:t>
      </w:r>
    </w:p>
    <w:bookmarkEnd w:id="37"/>
    <w:bookmarkEnd w:id="38"/>
    <w:bookmarkStart w:id="39" w:name="七板块影响汇总"/>
    <w:p>
      <w:pPr>
        <w:pStyle w:val="Heading2"/>
      </w:pPr>
      <w:r>
        <w:rPr>
          <w:rFonts w:hint="eastAsia"/>
        </w:rPr>
        <w:t xml:space="preserve">七、板块影响汇总</w:t>
      </w:r>
    </w:p>
    <w:tbl>
      <w:tblPr>
        <w:tblStyle w:val="Table"/>
        <w:tblW w:type="pct" w:w="5000"/>
        <w:tblLayout w:type="fixed"/>
        <w:tblLook w:firstRow="1" w:lastRow="0" w:firstColumn="0" w:lastColumn="0" w:noHBand="0" w:noVBand="0" w:val="0020"/>
      </w:tblPr>
      <w:tblGrid>
        <w:gridCol w:w="1485"/>
        <w:gridCol w:w="1485"/>
        <w:gridCol w:w="1485"/>
        <w:gridCol w:w="1980"/>
        <w:gridCol w:w="1485"/>
      </w:tblGrid>
      <w:tr>
        <w:trPr>
          <w:tblHeader w:val="on"/>
        </w:trPr>
        <w:tc>
          <w:tcPr/>
          <w:p>
            <w:pPr>
              <w:pStyle w:val="Compact"/>
            </w:pPr>
            <w:r>
              <w:rPr>
                <w:rFonts w:hint="eastAsia"/>
              </w:rPr>
              <w:t xml:space="preserve">板块</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jc w:val="right"/>
            </w:pPr>
            <w:r>
              <w:rPr>
                <w:rFonts w:hint="eastAsia"/>
              </w:rPr>
              <w:t xml:space="preserve">信号强度</w:t>
            </w:r>
          </w:p>
        </w:tc>
        <w:tc>
          <w:tcPr/>
          <w:p>
            <w:pPr>
              <w:pStyle w:val="Compact"/>
            </w:pPr>
            <w:r>
              <w:rPr>
                <w:rFonts w:hint="eastAsia"/>
              </w:rPr>
              <w:t xml:space="preserve">关键兑现条件</w:t>
            </w:r>
          </w:p>
        </w:tc>
      </w:tr>
      <w:tr>
        <w:tc>
          <w:tcPr/>
          <w:p>
            <w:pPr>
              <w:pStyle w:val="Compact"/>
            </w:pPr>
            <w:r>
              <w:rPr>
                <w:rFonts w:hint="eastAsia"/>
              </w:rPr>
              <w:t xml:space="preserve">高端装备/工业自动化</w:t>
            </w:r>
          </w:p>
        </w:tc>
        <w:tc>
          <w:tcPr/>
          <w:p>
            <w:pPr>
              <w:pStyle w:val="Compact"/>
            </w:pPr>
            <w:r>
              <w:rPr>
                <w:rFonts w:hint="eastAsia"/>
              </w:rPr>
              <w:t xml:space="preserve">中期偏利好</w:t>
            </w:r>
          </w:p>
        </w:tc>
        <w:tc>
          <w:tcPr/>
          <w:p>
            <w:pPr>
              <w:pStyle w:val="Compact"/>
            </w:pPr>
            <w:r>
              <w:rPr>
                <w:rFonts w:hint="eastAsia"/>
              </w:rPr>
              <w:t xml:space="preserve">GDP结构、科技兴商、广交会先进制造</w:t>
            </w:r>
          </w:p>
        </w:tc>
        <w:tc>
          <w:tcPr/>
          <w:p>
            <w:pPr>
              <w:pStyle w:val="Compact"/>
              <w:jc w:val="right"/>
            </w:pPr>
            <w:r>
              <w:t xml:space="preserve">★★★★☆</w:t>
            </w:r>
          </w:p>
        </w:tc>
        <w:tc>
          <w:tcPr/>
          <w:p>
            <w:pPr>
              <w:pStyle w:val="Compact"/>
            </w:pPr>
            <w:r>
              <w:rPr>
                <w:rFonts w:hint="eastAsia"/>
              </w:rPr>
              <w:t xml:space="preserve">制造业资本开支、订单、交付与毛利率</w:t>
            </w:r>
          </w:p>
        </w:tc>
      </w:tr>
      <w:tr>
        <w:tc>
          <w:tcPr/>
          <w:p>
            <w:pPr>
              <w:pStyle w:val="Compact"/>
            </w:pPr>
            <w:r>
              <w:rPr>
                <w:rFonts w:hint="eastAsia"/>
              </w:rPr>
              <w:t xml:space="preserve">工业AI/工业软件</w:t>
            </w:r>
          </w:p>
        </w:tc>
        <w:tc>
          <w:tcPr/>
          <w:p>
            <w:pPr>
              <w:pStyle w:val="Compact"/>
            </w:pPr>
            <w:r>
              <w:rPr>
                <w:rFonts w:hint="eastAsia"/>
              </w:rPr>
              <w:t xml:space="preserve">结构性利好</w:t>
            </w:r>
          </w:p>
        </w:tc>
        <w:tc>
          <w:tcPr/>
          <w:p>
            <w:pPr>
              <w:pStyle w:val="Compact"/>
            </w:pPr>
            <w:r>
              <w:rPr>
                <w:rFonts w:hint="eastAsia"/>
              </w:rPr>
              <w:t xml:space="preserve">“人工智能+制造”、服务商培育</w:t>
            </w:r>
          </w:p>
        </w:tc>
        <w:tc>
          <w:tcPr/>
          <w:p>
            <w:pPr>
              <w:pStyle w:val="Compact"/>
              <w:jc w:val="right"/>
            </w:pPr>
            <w:r>
              <w:t xml:space="preserve">★★★★</w:t>
            </w:r>
          </w:p>
        </w:tc>
        <w:tc>
          <w:tcPr/>
          <w:p>
            <w:pPr>
              <w:pStyle w:val="Compact"/>
            </w:pPr>
            <w:r>
              <w:rPr>
                <w:rFonts w:hint="eastAsia"/>
              </w:rPr>
              <w:t xml:space="preserve">配套细则、付费客户、项目验收与续费</w:t>
            </w:r>
          </w:p>
        </w:tc>
      </w:tr>
      <w:tr>
        <w:tc>
          <w:tcPr/>
          <w:p>
            <w:pPr>
              <w:pStyle w:val="Compact"/>
            </w:pPr>
            <w:r>
              <w:rPr>
                <w:rFonts w:hint="eastAsia"/>
              </w:rPr>
              <w:t xml:space="preserve">AI终端/商业数字化</w:t>
            </w:r>
          </w:p>
        </w:tc>
        <w:tc>
          <w:tcPr/>
          <w:p>
            <w:pPr>
              <w:pStyle w:val="Compact"/>
            </w:pPr>
            <w:r>
              <w:rPr>
                <w:rFonts w:hint="eastAsia"/>
              </w:rPr>
              <w:t xml:space="preserve">政策催化偏利好</w:t>
            </w:r>
          </w:p>
        </w:tc>
        <w:tc>
          <w:tcPr/>
          <w:p>
            <w:pPr>
              <w:pStyle w:val="Compact"/>
            </w:pPr>
            <w:r>
              <w:rPr>
                <w:rFonts w:hint="eastAsia"/>
              </w:rPr>
              <w:t xml:space="preserve">AI终端、智能商业场景</w:t>
            </w:r>
          </w:p>
        </w:tc>
        <w:tc>
          <w:tcPr/>
          <w:p>
            <w:pPr>
              <w:pStyle w:val="Compact"/>
              <w:jc w:val="right"/>
            </w:pPr>
            <w:r>
              <w:t xml:space="preserve">★★★★</w:t>
            </w:r>
          </w:p>
        </w:tc>
        <w:tc>
          <w:tcPr/>
          <w:p>
            <w:pPr>
              <w:pStyle w:val="Compact"/>
            </w:pPr>
            <w:r>
              <w:rPr>
                <w:rFonts w:hint="eastAsia"/>
              </w:rPr>
              <w:t xml:space="preserve">产品销量、场景复制、渠道和盈利</w:t>
            </w:r>
          </w:p>
        </w:tc>
      </w:tr>
      <w:tr>
        <w:tc>
          <w:tcPr/>
          <w:p>
            <w:pPr>
              <w:pStyle w:val="Compact"/>
            </w:pPr>
            <w:r>
              <w:rPr>
                <w:rFonts w:hint="eastAsia"/>
              </w:rPr>
              <w:t xml:space="preserve">文旅科技/AI内容</w:t>
            </w:r>
          </w:p>
        </w:tc>
        <w:tc>
          <w:tcPr/>
          <w:p>
            <w:pPr>
              <w:pStyle w:val="Compact"/>
            </w:pPr>
            <w:r>
              <w:rPr>
                <w:rFonts w:hint="eastAsia"/>
              </w:rPr>
              <w:t xml:space="preserve">试点型利好</w:t>
            </w:r>
          </w:p>
        </w:tc>
        <w:tc>
          <w:tcPr/>
          <w:p>
            <w:pPr>
              <w:pStyle w:val="Compact"/>
            </w:pPr>
            <w:r>
              <w:rPr>
                <w:rFonts w:hint="eastAsia"/>
              </w:rPr>
              <w:t xml:space="preserve">14个AI+文旅试点、中短剧精品计划</w:t>
            </w:r>
          </w:p>
        </w:tc>
        <w:tc>
          <w:tcPr/>
          <w:p>
            <w:pPr>
              <w:pStyle w:val="Compact"/>
              <w:jc w:val="right"/>
            </w:pPr>
            <w:r>
              <w:t xml:space="preserve">★★★</w:t>
            </w:r>
          </w:p>
        </w:tc>
        <w:tc>
          <w:tcPr/>
          <w:p>
            <w:pPr>
              <w:pStyle w:val="Compact"/>
            </w:pPr>
            <w:r>
              <w:rPr>
                <w:rFonts w:hint="eastAsia"/>
              </w:rPr>
              <w:t xml:space="preserve">试点验收、版权收入、播放与客户付费</w:t>
            </w:r>
          </w:p>
        </w:tc>
      </w:tr>
      <w:tr>
        <w:tc>
          <w:tcPr/>
          <w:p>
            <w:pPr>
              <w:pStyle w:val="Compact"/>
            </w:pPr>
            <w:r>
              <w:rPr>
                <w:rFonts w:hint="eastAsia"/>
              </w:rPr>
              <w:t xml:space="preserve">公路基建/桥梁工程</w:t>
            </w:r>
          </w:p>
        </w:tc>
        <w:tc>
          <w:tcPr/>
          <w:p>
            <w:pPr>
              <w:pStyle w:val="Compact"/>
            </w:pPr>
            <w:r>
              <w:rPr>
                <w:rFonts w:hint="eastAsia"/>
              </w:rPr>
              <w:t xml:space="preserve">“十五五”中期利好</w:t>
            </w:r>
          </w:p>
        </w:tc>
        <w:tc>
          <w:tcPr/>
          <w:p>
            <w:pPr>
              <w:pStyle w:val="Compact"/>
            </w:pPr>
            <w:r>
              <w:rPr>
                <w:rFonts w:hint="eastAsia"/>
              </w:rPr>
              <w:t xml:space="preserve">黄金大外环约3700亿元投资</w:t>
            </w:r>
          </w:p>
        </w:tc>
        <w:tc>
          <w:tcPr/>
          <w:p>
            <w:pPr>
              <w:pStyle w:val="Compact"/>
              <w:jc w:val="right"/>
            </w:pPr>
            <w:r>
              <w:t xml:space="preserve">★★★★</w:t>
            </w:r>
          </w:p>
        </w:tc>
        <w:tc>
          <w:tcPr/>
          <w:p>
            <w:pPr>
              <w:pStyle w:val="Compact"/>
            </w:pPr>
            <w:r>
              <w:rPr>
                <w:rFonts w:hint="eastAsia"/>
              </w:rPr>
              <w:t xml:space="preserve">项目核准、地方资金、招标、施工与回款</w:t>
            </w:r>
          </w:p>
        </w:tc>
      </w:tr>
      <w:tr>
        <w:tc>
          <w:tcPr/>
          <w:p>
            <w:pPr>
              <w:pStyle w:val="Compact"/>
            </w:pPr>
            <w:r>
              <w:rPr>
                <w:rFonts w:hint="eastAsia"/>
              </w:rPr>
              <w:t xml:space="preserve">工程机械/沥青建材</w:t>
            </w:r>
          </w:p>
        </w:tc>
        <w:tc>
          <w:tcPr/>
          <w:p>
            <w:pPr>
              <w:pStyle w:val="Compact"/>
            </w:pPr>
            <w:r>
              <w:rPr>
                <w:rFonts w:hint="eastAsia"/>
              </w:rPr>
              <w:t xml:space="preserve">条件性受益</w:t>
            </w:r>
          </w:p>
        </w:tc>
        <w:tc>
          <w:tcPr/>
          <w:p>
            <w:pPr>
              <w:pStyle w:val="Compact"/>
            </w:pPr>
            <w:r>
              <w:rPr>
                <w:rFonts w:hint="eastAsia"/>
              </w:rPr>
              <w:t xml:space="preserve">约7400公里建设改造</w:t>
            </w:r>
          </w:p>
        </w:tc>
        <w:tc>
          <w:tcPr/>
          <w:p>
            <w:pPr>
              <w:pStyle w:val="Compact"/>
              <w:jc w:val="right"/>
            </w:pPr>
            <w:r>
              <w:t xml:space="preserve">★★★★</w:t>
            </w:r>
          </w:p>
        </w:tc>
        <w:tc>
          <w:tcPr/>
          <w:p>
            <w:pPr>
              <w:pStyle w:val="Compact"/>
            </w:pPr>
            <w:r>
              <w:rPr>
                <w:rFonts w:hint="eastAsia"/>
              </w:rPr>
              <w:t xml:space="preserve">开工强度、设备利用率、材料价格和回款</w:t>
            </w:r>
          </w:p>
        </w:tc>
      </w:tr>
      <w:tr>
        <w:tc>
          <w:tcPr/>
          <w:p>
            <w:pPr>
              <w:pStyle w:val="Compact"/>
            </w:pPr>
            <w:r>
              <w:rPr>
                <w:rFonts w:hint="eastAsia"/>
              </w:rPr>
              <w:t xml:space="preserve">交通信息化/检测养护</w:t>
            </w:r>
          </w:p>
        </w:tc>
        <w:tc>
          <w:tcPr/>
          <w:p>
            <w:pPr>
              <w:pStyle w:val="Compact"/>
            </w:pPr>
            <w:r>
              <w:rPr>
                <w:rFonts w:hint="eastAsia"/>
              </w:rPr>
              <w:t xml:space="preserve">中长期偏利好</w:t>
            </w:r>
          </w:p>
        </w:tc>
        <w:tc>
          <w:tcPr/>
          <w:p>
            <w:pPr>
              <w:pStyle w:val="Compact"/>
            </w:pPr>
            <w:r>
              <w:rPr>
                <w:rFonts w:hint="eastAsia"/>
              </w:rPr>
              <w:t xml:space="preserve">三条国道贯通及标准提升</w:t>
            </w:r>
          </w:p>
        </w:tc>
        <w:tc>
          <w:tcPr/>
          <w:p>
            <w:pPr>
              <w:pStyle w:val="Compact"/>
              <w:jc w:val="right"/>
            </w:pPr>
            <w:r>
              <w:t xml:space="preserve">★★★☆</w:t>
            </w:r>
          </w:p>
        </w:tc>
        <w:tc>
          <w:tcPr/>
          <w:p>
            <w:pPr>
              <w:pStyle w:val="Compact"/>
            </w:pPr>
            <w:r>
              <w:rPr>
                <w:rFonts w:hint="eastAsia"/>
              </w:rPr>
              <w:t xml:space="preserve">数字交通采购、检测与养护合同</w:t>
            </w:r>
          </w:p>
        </w:tc>
      </w:tr>
      <w:tr>
        <w:tc>
          <w:tcPr/>
          <w:p>
            <w:pPr>
              <w:pStyle w:val="Compact"/>
            </w:pPr>
            <w:r>
              <w:rPr>
                <w:rFonts w:hint="eastAsia"/>
              </w:rPr>
              <w:t xml:space="preserve">新型储能全产业链</w:t>
            </w:r>
          </w:p>
        </w:tc>
        <w:tc>
          <w:tcPr/>
          <w:p>
            <w:pPr>
              <w:pStyle w:val="Compact"/>
            </w:pPr>
            <w:r>
              <w:rPr>
                <w:rFonts w:hint="eastAsia"/>
              </w:rPr>
              <w:t xml:space="preserve">长期偏利好、竞争分化</w:t>
            </w:r>
          </w:p>
        </w:tc>
        <w:tc>
          <w:tcPr/>
          <w:p>
            <w:pPr>
              <w:pStyle w:val="Compact"/>
            </w:pPr>
            <w:r>
              <w:rPr>
                <w:rFonts w:hint="eastAsia"/>
              </w:rPr>
              <w:t xml:space="preserve">装机超1.53亿千瓦、完整产业链</w:t>
            </w:r>
          </w:p>
        </w:tc>
        <w:tc>
          <w:tcPr/>
          <w:p>
            <w:pPr>
              <w:pStyle w:val="Compact"/>
              <w:jc w:val="right"/>
            </w:pPr>
            <w:r>
              <w:t xml:space="preserve">★★★★</w:t>
            </w:r>
          </w:p>
        </w:tc>
        <w:tc>
          <w:tcPr/>
          <w:p>
            <w:pPr>
              <w:pStyle w:val="Compact"/>
            </w:pPr>
            <w:r>
              <w:rPr>
                <w:rFonts w:hint="eastAsia"/>
              </w:rPr>
              <w:t xml:space="preserve">新增招标、利用率、价差机制、安全和毛利</w:t>
            </w:r>
          </w:p>
        </w:tc>
      </w:tr>
      <w:tr>
        <w:tc>
          <w:tcPr/>
          <w:p>
            <w:pPr>
              <w:pStyle w:val="Compact"/>
            </w:pPr>
            <w:r>
              <w:rPr>
                <w:rFonts w:hint="eastAsia"/>
              </w:rPr>
              <w:t xml:space="preserve">机械/石化设备更新</w:t>
            </w:r>
          </w:p>
        </w:tc>
        <w:tc>
          <w:tcPr/>
          <w:p>
            <w:pPr>
              <w:pStyle w:val="Compact"/>
            </w:pPr>
            <w:r>
              <w:rPr>
                <w:rFonts w:hint="eastAsia"/>
              </w:rPr>
              <w:t xml:space="preserve">标准驱动结构机会</w:t>
            </w:r>
          </w:p>
        </w:tc>
        <w:tc>
          <w:tcPr/>
          <w:p>
            <w:pPr>
              <w:pStyle w:val="Compact"/>
            </w:pPr>
            <w:r>
              <w:rPr>
                <w:rFonts w:hint="eastAsia"/>
              </w:rPr>
              <w:t xml:space="preserve">687项国家标准</w:t>
            </w:r>
          </w:p>
        </w:tc>
        <w:tc>
          <w:tcPr/>
          <w:p>
            <w:pPr>
              <w:pStyle w:val="Compact"/>
              <w:jc w:val="right"/>
            </w:pPr>
            <w:r>
              <w:t xml:space="preserve">★★★★</w:t>
            </w:r>
          </w:p>
        </w:tc>
        <w:tc>
          <w:tcPr/>
          <w:p>
            <w:pPr>
              <w:pStyle w:val="Compact"/>
            </w:pPr>
            <w:r>
              <w:rPr>
                <w:rFonts w:hint="eastAsia"/>
              </w:rPr>
              <w:t xml:space="preserve">标准属性、生效时间、整改和资本开支</w:t>
            </w:r>
          </w:p>
        </w:tc>
      </w:tr>
      <w:tr>
        <w:tc>
          <w:tcPr/>
          <w:p>
            <w:pPr>
              <w:pStyle w:val="Compact"/>
            </w:pPr>
            <w:r>
              <w:rPr>
                <w:rFonts w:hint="eastAsia"/>
              </w:rPr>
              <w:t xml:space="preserve">检测认证/工业安全</w:t>
            </w:r>
          </w:p>
        </w:tc>
        <w:tc>
          <w:tcPr/>
          <w:p>
            <w:pPr>
              <w:pStyle w:val="Compact"/>
            </w:pPr>
            <w:r>
              <w:rPr>
                <w:rFonts w:hint="eastAsia"/>
              </w:rPr>
              <w:t xml:space="preserve">结构性利好</w:t>
            </w:r>
          </w:p>
        </w:tc>
        <w:tc>
          <w:tcPr/>
          <w:p>
            <w:pPr>
              <w:pStyle w:val="Compact"/>
            </w:pPr>
            <w:r>
              <w:rPr>
                <w:rFonts w:hint="eastAsia"/>
              </w:rPr>
              <w:t xml:space="preserve">传统产业标准、储能安全需求</w:t>
            </w:r>
          </w:p>
        </w:tc>
        <w:tc>
          <w:tcPr/>
          <w:p>
            <w:pPr>
              <w:pStyle w:val="Compact"/>
              <w:jc w:val="right"/>
            </w:pPr>
            <w:r>
              <w:t xml:space="preserve">★★★★</w:t>
            </w:r>
          </w:p>
        </w:tc>
        <w:tc>
          <w:tcPr/>
          <w:p>
            <w:pPr>
              <w:pStyle w:val="Compact"/>
            </w:pPr>
            <w:r>
              <w:rPr>
                <w:rFonts w:hint="eastAsia"/>
              </w:rPr>
              <w:t xml:space="preserve">强制执行、检测频次、认证与订单</w:t>
            </w:r>
          </w:p>
        </w:tc>
      </w:tr>
      <w:tr>
        <w:tc>
          <w:tcPr/>
          <w:p>
            <w:pPr>
              <w:pStyle w:val="Compact"/>
            </w:pPr>
            <w:r>
              <w:rPr>
                <w:rFonts w:hint="eastAsia"/>
              </w:rPr>
              <w:t xml:space="preserve">金融IT/监管科技</w:t>
            </w:r>
          </w:p>
        </w:tc>
        <w:tc>
          <w:tcPr/>
          <w:p>
            <w:pPr>
              <w:pStyle w:val="Compact"/>
            </w:pPr>
            <w:r>
              <w:rPr>
                <w:rFonts w:hint="eastAsia"/>
              </w:rPr>
              <w:t xml:space="preserve">预期偏利好</w:t>
            </w:r>
          </w:p>
        </w:tc>
        <w:tc>
          <w:tcPr/>
          <w:p>
            <w:pPr>
              <w:pStyle w:val="Compact"/>
            </w:pPr>
            <w:r>
              <w:rPr>
                <w:rFonts w:hint="eastAsia"/>
              </w:rPr>
              <w:t xml:space="preserve">金融街论坛系列政策及百余项成果</w:t>
            </w:r>
          </w:p>
        </w:tc>
        <w:tc>
          <w:tcPr/>
          <w:p>
            <w:pPr>
              <w:pStyle w:val="Compact"/>
              <w:jc w:val="right"/>
            </w:pPr>
            <w:r>
              <w:t xml:space="preserve">★★★★</w:t>
            </w:r>
          </w:p>
        </w:tc>
        <w:tc>
          <w:tcPr/>
          <w:p>
            <w:pPr>
              <w:pStyle w:val="Compact"/>
            </w:pPr>
            <w:r>
              <w:rPr>
                <w:rFonts w:hint="eastAsia"/>
              </w:rPr>
              <w:t xml:space="preserve">正式政策文本、技术改造范围和采购</w:t>
            </w:r>
          </w:p>
        </w:tc>
      </w:tr>
      <w:tr>
        <w:tc>
          <w:tcPr/>
          <w:p>
            <w:pPr>
              <w:pStyle w:val="Compact"/>
            </w:pPr>
            <w:r>
              <w:rPr>
                <w:rFonts w:hint="eastAsia"/>
              </w:rPr>
              <w:t xml:space="preserve">券商及资本市场服务</w:t>
            </w:r>
          </w:p>
        </w:tc>
        <w:tc>
          <w:tcPr/>
          <w:p>
            <w:pPr>
              <w:pStyle w:val="Compact"/>
            </w:pPr>
            <w:r>
              <w:rPr>
                <w:rFonts w:hint="eastAsia"/>
              </w:rPr>
              <w:t xml:space="preserve">方向待确认</w:t>
            </w:r>
          </w:p>
        </w:tc>
        <w:tc>
          <w:tcPr/>
          <w:p>
            <w:pPr>
              <w:pStyle w:val="Compact"/>
            </w:pPr>
            <w:r>
              <w:rPr>
                <w:rFonts w:hint="eastAsia"/>
              </w:rPr>
              <w:t xml:space="preserve">金融改革发展政策集中发布</w:t>
            </w:r>
          </w:p>
        </w:tc>
        <w:tc>
          <w:tcPr/>
          <w:p>
            <w:pPr>
              <w:pStyle w:val="Compact"/>
              <w:jc w:val="right"/>
            </w:pPr>
            <w:r>
              <w:t xml:space="preserve">★★★★</w:t>
            </w:r>
          </w:p>
        </w:tc>
        <w:tc>
          <w:tcPr/>
          <w:p>
            <w:pPr>
              <w:pStyle w:val="Compact"/>
            </w:pPr>
            <w:r>
              <w:rPr>
                <w:rFonts w:hint="eastAsia"/>
              </w:rPr>
              <w:t xml:space="preserve">具体业务规则、资本约束和市场活跃度</w:t>
            </w:r>
          </w:p>
        </w:tc>
      </w:tr>
      <w:tr>
        <w:tc>
          <w:tcPr/>
          <w:p>
            <w:pPr>
              <w:pStyle w:val="Compact"/>
            </w:pPr>
            <w:r>
              <w:rPr>
                <w:rFonts w:hint="eastAsia"/>
              </w:rPr>
              <w:t xml:space="preserve">户外装备/冰雪运动</w:t>
            </w:r>
          </w:p>
        </w:tc>
        <w:tc>
          <w:tcPr/>
          <w:p>
            <w:pPr>
              <w:pStyle w:val="Compact"/>
            </w:pPr>
            <w:r>
              <w:rPr>
                <w:rFonts w:hint="eastAsia"/>
              </w:rPr>
              <w:t xml:space="preserve">消费数据偏利好</w:t>
            </w:r>
          </w:p>
        </w:tc>
        <w:tc>
          <w:tcPr/>
          <w:p>
            <w:pPr>
              <w:pStyle w:val="Compact"/>
            </w:pPr>
            <w:r>
              <w:rPr>
                <w:rFonts w:hint="eastAsia"/>
              </w:rPr>
              <w:t xml:space="preserve">冰雪消费约2050亿元、增长约9.3%</w:t>
            </w:r>
          </w:p>
        </w:tc>
        <w:tc>
          <w:tcPr/>
          <w:p>
            <w:pPr>
              <w:pStyle w:val="Compact"/>
              <w:jc w:val="right"/>
            </w:pPr>
            <w:r>
              <w:t xml:space="preserve">★★★☆</w:t>
            </w:r>
          </w:p>
        </w:tc>
        <w:tc>
          <w:tcPr/>
          <w:p>
            <w:pPr>
              <w:pStyle w:val="Compact"/>
            </w:pPr>
            <w:r>
              <w:rPr>
                <w:rFonts w:hint="eastAsia"/>
              </w:rPr>
              <w:t xml:space="preserve">销量、库存、客流、客单价和复购</w:t>
            </w:r>
          </w:p>
        </w:tc>
      </w:tr>
      <w:tr>
        <w:tc>
          <w:tcPr/>
          <w:p>
            <w:pPr>
              <w:pStyle w:val="Compact"/>
            </w:pPr>
            <w:r>
              <w:rPr>
                <w:rFonts w:hint="eastAsia"/>
              </w:rPr>
              <w:t xml:space="preserve">路跑赛事/体育文旅</w:t>
            </w:r>
          </w:p>
        </w:tc>
        <w:tc>
          <w:tcPr/>
          <w:p>
            <w:pPr>
              <w:pStyle w:val="Compact"/>
            </w:pPr>
            <w:r>
              <w:rPr>
                <w:rFonts w:hint="eastAsia"/>
              </w:rPr>
              <w:t xml:space="preserve">中期偏利好</w:t>
            </w:r>
          </w:p>
        </w:tc>
        <w:tc>
          <w:tcPr/>
          <w:p>
            <w:pPr>
              <w:pStyle w:val="Compact"/>
            </w:pPr>
            <w:r>
              <w:rPr>
                <w:rFonts w:hint="eastAsia"/>
              </w:rPr>
              <w:t xml:space="preserve">人均年度消费超1.44万元、“电影+体育”</w:t>
            </w:r>
          </w:p>
        </w:tc>
        <w:tc>
          <w:tcPr/>
          <w:p>
            <w:pPr>
              <w:pStyle w:val="Compact"/>
              <w:jc w:val="right"/>
            </w:pPr>
            <w:r>
              <w:t xml:space="preserve">★★★</w:t>
            </w:r>
          </w:p>
        </w:tc>
        <w:tc>
          <w:tcPr/>
          <w:p>
            <w:pPr>
              <w:pStyle w:val="Compact"/>
            </w:pPr>
            <w:r>
              <w:rPr>
                <w:rFonts w:hint="eastAsia"/>
              </w:rPr>
              <w:t xml:space="preserve">赛事数量、赞助、报名、目的地转化</w:t>
            </w:r>
          </w:p>
        </w:tc>
      </w:tr>
      <w:tr>
        <w:tc>
          <w:tcPr/>
          <w:p>
            <w:pPr>
              <w:pStyle w:val="Compact"/>
            </w:pPr>
            <w:r>
              <w:rPr>
                <w:rFonts w:hint="eastAsia"/>
              </w:rPr>
              <w:t xml:space="preserve">核电/海上风电送出</w:t>
            </w:r>
          </w:p>
        </w:tc>
        <w:tc>
          <w:tcPr/>
          <w:p>
            <w:pPr>
              <w:pStyle w:val="Compact"/>
            </w:pPr>
            <w:r>
              <w:rPr>
                <w:rFonts w:hint="eastAsia"/>
              </w:rPr>
              <w:t xml:space="preserve">长期工程线索</w:t>
            </w:r>
          </w:p>
        </w:tc>
        <w:tc>
          <w:tcPr/>
          <w:p>
            <w:pPr>
              <w:pStyle w:val="Compact"/>
            </w:pPr>
            <w:r>
              <w:rPr>
                <w:rFonts w:hint="eastAsia"/>
              </w:rPr>
              <w:t xml:space="preserve">田湾核电并网、海上换流站安装</w:t>
            </w:r>
          </w:p>
        </w:tc>
        <w:tc>
          <w:tcPr/>
          <w:p>
            <w:pPr>
              <w:pStyle w:val="Compact"/>
              <w:jc w:val="right"/>
            </w:pPr>
            <w:r>
              <w:t xml:space="preserve">★★★</w:t>
            </w:r>
          </w:p>
        </w:tc>
        <w:tc>
          <w:tcPr/>
          <w:p>
            <w:pPr>
              <w:pStyle w:val="Compact"/>
            </w:pPr>
            <w:r>
              <w:rPr>
                <w:rFonts w:hint="eastAsia"/>
              </w:rPr>
              <w:t xml:space="preserve">新项目核准、设备订单、并网和回款</w:t>
            </w:r>
          </w:p>
        </w:tc>
      </w:tr>
      <w:tr>
        <w:tc>
          <w:tcPr/>
          <w:p>
            <w:pPr>
              <w:pStyle w:val="Compact"/>
            </w:pPr>
            <w:r>
              <w:rPr>
                <w:rFonts w:hint="eastAsia"/>
              </w:rPr>
              <w:t xml:space="preserve">水运工程/港航建设</w:t>
            </w:r>
          </w:p>
        </w:tc>
        <w:tc>
          <w:tcPr/>
          <w:p>
            <w:pPr>
              <w:pStyle w:val="Compact"/>
            </w:pPr>
            <w:r>
              <w:rPr>
                <w:rFonts w:hint="eastAsia"/>
              </w:rPr>
              <w:t xml:space="preserve">长期偏利好</w:t>
            </w:r>
          </w:p>
        </w:tc>
        <w:tc>
          <w:tcPr/>
          <w:p>
            <w:pPr>
              <w:pStyle w:val="Compact"/>
            </w:pPr>
            <w:r>
              <w:rPr>
                <w:rFonts w:hint="eastAsia"/>
              </w:rPr>
              <w:t xml:space="preserve">平陆运河、三峡水运新通道</w:t>
            </w:r>
          </w:p>
        </w:tc>
        <w:tc>
          <w:tcPr/>
          <w:p>
            <w:pPr>
              <w:pStyle w:val="Compact"/>
              <w:jc w:val="right"/>
            </w:pPr>
            <w:r>
              <w:t xml:space="preserve">★★★☆</w:t>
            </w:r>
          </w:p>
        </w:tc>
        <w:tc>
          <w:tcPr/>
          <w:p>
            <w:pPr>
              <w:pStyle w:val="Compact"/>
            </w:pPr>
            <w:r>
              <w:rPr>
                <w:rFonts w:hint="eastAsia"/>
              </w:rPr>
              <w:t xml:space="preserve">后续标段、设备采购、建设进度和回款</w:t>
            </w:r>
          </w:p>
        </w:tc>
      </w:tr>
      <w:tr>
        <w:tc>
          <w:tcPr/>
          <w:p>
            <w:pPr>
              <w:pStyle w:val="Compact"/>
            </w:pPr>
            <w:r>
              <w:rPr>
                <w:rFonts w:hint="eastAsia"/>
              </w:rPr>
              <w:t xml:space="preserve">航天/深海科研装备</w:t>
            </w:r>
          </w:p>
        </w:tc>
        <w:tc>
          <w:tcPr/>
          <w:p>
            <w:pPr>
              <w:pStyle w:val="Compact"/>
            </w:pPr>
            <w:r>
              <w:rPr>
                <w:rFonts w:hint="eastAsia"/>
              </w:rPr>
              <w:t xml:space="preserve">长期战略关注</w:t>
            </w:r>
          </w:p>
        </w:tc>
        <w:tc>
          <w:tcPr/>
          <w:p>
            <w:pPr>
              <w:pStyle w:val="Compact"/>
            </w:pPr>
            <w:r>
              <w:rPr>
                <w:rFonts w:hint="eastAsia"/>
              </w:rPr>
              <w:t xml:space="preserve">可回收火箭、深海中微子望远镜海试</w:t>
            </w:r>
          </w:p>
        </w:tc>
        <w:tc>
          <w:tcPr/>
          <w:p>
            <w:pPr>
              <w:pStyle w:val="Compact"/>
              <w:jc w:val="right"/>
            </w:pPr>
            <w:r>
              <w:t xml:space="preserve">★★★</w:t>
            </w:r>
          </w:p>
        </w:tc>
        <w:tc>
          <w:tcPr/>
          <w:p>
            <w:pPr>
              <w:pStyle w:val="Compact"/>
            </w:pPr>
            <w:r>
              <w:rPr>
                <w:rFonts w:hint="eastAsia"/>
              </w:rPr>
              <w:t xml:space="preserve">试验里程碑、科研预算、采购与商业化</w:t>
            </w:r>
          </w:p>
        </w:tc>
      </w:tr>
      <w:tr>
        <w:tc>
          <w:tcPr/>
          <w:p>
            <w:pPr>
              <w:pStyle w:val="Compact"/>
            </w:pPr>
            <w:r>
              <w:rPr>
                <w:rFonts w:hint="eastAsia"/>
              </w:rPr>
              <w:t xml:space="preserve">中亚基建/矿产/清洁能源</w:t>
            </w:r>
          </w:p>
        </w:tc>
        <w:tc>
          <w:tcPr/>
          <w:p>
            <w:pPr>
              <w:pStyle w:val="Compact"/>
            </w:pPr>
            <w:r>
              <w:rPr>
                <w:rFonts w:hint="eastAsia"/>
              </w:rPr>
              <w:t xml:space="preserve">中长期合作预期</w:t>
            </w:r>
          </w:p>
        </w:tc>
        <w:tc>
          <w:tcPr/>
          <w:p>
            <w:pPr>
              <w:pStyle w:val="Compact"/>
            </w:pPr>
            <w:r>
              <w:rPr>
                <w:rFonts w:hint="eastAsia"/>
              </w:rPr>
              <w:t xml:space="preserve">中塔会谈及多项合作文件</w:t>
            </w:r>
          </w:p>
        </w:tc>
        <w:tc>
          <w:tcPr/>
          <w:p>
            <w:pPr>
              <w:pStyle w:val="Compact"/>
              <w:jc w:val="right"/>
            </w:pPr>
            <w:r>
              <w:t xml:space="preserve">★★★★</w:t>
            </w:r>
          </w:p>
        </w:tc>
        <w:tc>
          <w:tcPr/>
          <w:p>
            <w:pPr>
              <w:pStyle w:val="Compact"/>
            </w:pPr>
            <w:r>
              <w:rPr>
                <w:rFonts w:hint="eastAsia"/>
              </w:rPr>
              <w:t xml:space="preserve">项目清单、许可、融资、合同、开工与回款</w:t>
            </w:r>
          </w:p>
        </w:tc>
      </w:tr>
      <w:tr>
        <w:tc>
          <w:tcPr/>
          <w:p>
            <w:pPr>
              <w:pStyle w:val="Compact"/>
            </w:pPr>
            <w:r>
              <w:rPr>
                <w:rFonts w:hint="eastAsia"/>
              </w:rPr>
              <w:t xml:space="preserve">数控机床/机器人/3D打印</w:t>
            </w:r>
          </w:p>
        </w:tc>
        <w:tc>
          <w:tcPr/>
          <w:p>
            <w:pPr>
              <w:pStyle w:val="Compact"/>
            </w:pPr>
            <w:r>
              <w:rPr>
                <w:rFonts w:hint="eastAsia"/>
              </w:rPr>
              <w:t xml:space="preserve">出海预期偏利好</w:t>
            </w:r>
          </w:p>
        </w:tc>
        <w:tc>
          <w:tcPr/>
          <w:p>
            <w:pPr>
              <w:pStyle w:val="Compact"/>
            </w:pPr>
            <w:r>
              <w:rPr>
                <w:rFonts w:hint="eastAsia"/>
              </w:rPr>
              <w:t xml:space="preserve">广交会先进制造与整线交付</w:t>
            </w:r>
          </w:p>
        </w:tc>
        <w:tc>
          <w:tcPr/>
          <w:p>
            <w:pPr>
              <w:pStyle w:val="Compact"/>
              <w:jc w:val="right"/>
            </w:pPr>
            <w:r>
              <w:t xml:space="preserve">★★★☆</w:t>
            </w:r>
          </w:p>
        </w:tc>
        <w:tc>
          <w:tcPr/>
          <w:p>
            <w:pPr>
              <w:pStyle w:val="Compact"/>
            </w:pPr>
            <w:r>
              <w:rPr>
                <w:rFonts w:hint="eastAsia"/>
              </w:rPr>
              <w:t xml:space="preserve">海外订单、产能爬坡、贸易政策和利润率</w:t>
            </w:r>
          </w:p>
        </w:tc>
      </w:tr>
      <w:tr>
        <w:tc>
          <w:tcPr/>
          <w:p>
            <w:pPr>
              <w:pStyle w:val="Compact"/>
            </w:pPr>
            <w:r>
              <w:rPr>
                <w:rFonts w:hint="eastAsia"/>
              </w:rPr>
              <w:t xml:space="preserve">消费质量与追溯服务</w:t>
            </w:r>
          </w:p>
        </w:tc>
        <w:tc>
          <w:tcPr/>
          <w:p>
            <w:pPr>
              <w:pStyle w:val="Compact"/>
            </w:pPr>
            <w:r>
              <w:rPr>
                <w:rFonts w:hint="eastAsia"/>
              </w:rPr>
              <w:t xml:space="preserve">温和利好</w:t>
            </w:r>
          </w:p>
        </w:tc>
        <w:tc>
          <w:tcPr/>
          <w:p>
            <w:pPr>
              <w:pStyle w:val="Compact"/>
            </w:pPr>
            <w:r>
              <w:rPr>
                <w:rFonts w:hint="eastAsia"/>
              </w:rPr>
              <w:t xml:space="preserve">16部门优化消费环境月</w:t>
            </w:r>
          </w:p>
        </w:tc>
        <w:tc>
          <w:tcPr/>
          <w:p>
            <w:pPr>
              <w:pStyle w:val="Compact"/>
              <w:jc w:val="right"/>
            </w:pPr>
            <w:r>
              <w:t xml:space="preserve">★★★</w:t>
            </w:r>
          </w:p>
        </w:tc>
        <w:tc>
          <w:tcPr/>
          <w:p>
            <w:pPr>
              <w:pStyle w:val="Compact"/>
            </w:pPr>
            <w:r>
              <w:rPr>
                <w:rFonts w:hint="eastAsia"/>
              </w:rPr>
              <w:t xml:space="preserve">活动细则、合规投入、投诉与销售改善</w:t>
            </w:r>
          </w:p>
        </w:tc>
      </w:tr>
      <w:tr>
        <w:tc>
          <w:tcPr/>
          <w:p>
            <w:pPr>
              <w:pStyle w:val="Compact"/>
            </w:pPr>
            <w:r>
              <w:rPr>
                <w:rFonts w:hint="eastAsia"/>
              </w:rPr>
              <w:t xml:space="preserve">陶瓷/会展/区域文旅</w:t>
            </w:r>
          </w:p>
        </w:tc>
        <w:tc>
          <w:tcPr/>
          <w:p>
            <w:pPr>
              <w:pStyle w:val="Compact"/>
            </w:pPr>
            <w:r>
              <w:rPr>
                <w:rFonts w:hint="eastAsia"/>
              </w:rPr>
              <w:t xml:space="preserve">事件性温和利好</w:t>
            </w:r>
          </w:p>
        </w:tc>
        <w:tc>
          <w:tcPr/>
          <w:p>
            <w:pPr>
              <w:pStyle w:val="Compact"/>
            </w:pPr>
            <w:r>
              <w:rPr>
                <w:rFonts w:hint="eastAsia"/>
              </w:rPr>
              <w:t xml:space="preserve">景德镇陶博会</w:t>
            </w:r>
          </w:p>
        </w:tc>
        <w:tc>
          <w:tcPr/>
          <w:p>
            <w:pPr>
              <w:pStyle w:val="Compact"/>
              <w:jc w:val="right"/>
            </w:pPr>
            <w:r>
              <w:t xml:space="preserve">★★★</w:t>
            </w:r>
          </w:p>
        </w:tc>
        <w:tc>
          <w:tcPr/>
          <w:p>
            <w:pPr>
              <w:pStyle w:val="Compact"/>
            </w:pPr>
            <w:r>
              <w:rPr>
                <w:rFonts w:hint="eastAsia"/>
              </w:rPr>
              <w:t xml:space="preserve">成交、出口、客流和消费转化</w:t>
            </w:r>
          </w:p>
        </w:tc>
      </w:tr>
      <w:tr>
        <w:tc>
          <w:tcPr/>
          <w:p>
            <w:pPr>
              <w:pStyle w:val="Compact"/>
            </w:pPr>
            <w:r>
              <w:rPr>
                <w:rFonts w:hint="eastAsia"/>
              </w:rPr>
              <w:t xml:space="preserve">能源安全/黄金</w:t>
            </w:r>
          </w:p>
        </w:tc>
        <w:tc>
          <w:tcPr/>
          <w:p>
            <w:pPr>
              <w:pStyle w:val="Compact"/>
            </w:pPr>
            <w:r>
              <w:rPr>
                <w:rFonts w:hint="eastAsia"/>
              </w:rPr>
              <w:t xml:space="preserve">风险溢价可能上升</w:t>
            </w:r>
          </w:p>
        </w:tc>
        <w:tc>
          <w:tcPr/>
          <w:p>
            <w:pPr>
              <w:pStyle w:val="Compact"/>
            </w:pPr>
            <w:r>
              <w:rPr>
                <w:rFonts w:hint="eastAsia"/>
              </w:rPr>
              <w:t xml:space="preserve">俄乌、中东安全局势</w:t>
            </w:r>
          </w:p>
        </w:tc>
        <w:tc>
          <w:tcPr/>
          <w:p>
            <w:pPr>
              <w:pStyle w:val="Compact"/>
              <w:jc w:val="right"/>
            </w:pPr>
            <w:r>
              <w:t xml:space="preserve">★★★★</w:t>
            </w:r>
          </w:p>
        </w:tc>
        <w:tc>
          <w:tcPr/>
          <w:p>
            <w:pPr>
              <w:pStyle w:val="Compact"/>
            </w:pPr>
            <w:r>
              <w:rPr>
                <w:rFonts w:hint="eastAsia"/>
              </w:rPr>
              <w:t xml:space="preserve">油价、供应扰动、制裁和避险需求</w:t>
            </w:r>
          </w:p>
        </w:tc>
      </w:tr>
      <w:tr>
        <w:tc>
          <w:tcPr/>
          <w:p>
            <w:pPr>
              <w:pStyle w:val="Compact"/>
            </w:pPr>
            <w:r>
              <w:rPr>
                <w:rFonts w:hint="eastAsia"/>
              </w:rPr>
              <w:t xml:space="preserve">防空反无人机/军工电子</w:t>
            </w:r>
          </w:p>
        </w:tc>
        <w:tc>
          <w:tcPr/>
          <w:p>
            <w:pPr>
              <w:pStyle w:val="Compact"/>
            </w:pPr>
            <w:r>
              <w:rPr>
                <w:rFonts w:hint="eastAsia"/>
              </w:rPr>
              <w:t xml:space="preserve">事件性关注</w:t>
            </w:r>
          </w:p>
        </w:tc>
        <w:tc>
          <w:tcPr/>
          <w:p>
            <w:pPr>
              <w:pStyle w:val="Compact"/>
            </w:pPr>
            <w:r>
              <w:rPr>
                <w:rFonts w:hint="eastAsia"/>
              </w:rPr>
              <w:t xml:space="preserve">俄乌打击、中东强硬表态</w:t>
            </w:r>
          </w:p>
        </w:tc>
        <w:tc>
          <w:tcPr/>
          <w:p>
            <w:pPr>
              <w:pStyle w:val="Compact"/>
              <w:jc w:val="right"/>
            </w:pPr>
            <w:r>
              <w:t xml:space="preserve">★★★★</w:t>
            </w:r>
          </w:p>
        </w:tc>
        <w:tc>
          <w:tcPr/>
          <w:p>
            <w:pPr>
              <w:pStyle w:val="Compact"/>
            </w:pPr>
            <w:r>
              <w:rPr>
                <w:rFonts w:hint="eastAsia"/>
              </w:rPr>
              <w:t xml:space="preserve">冲突持续性与真实订单</w:t>
            </w:r>
          </w:p>
        </w:tc>
      </w:tr>
      <w:tr>
        <w:tc>
          <w:tcPr/>
          <w:p>
            <w:pPr>
              <w:pStyle w:val="Compact"/>
            </w:pPr>
            <w:r>
              <w:rPr>
                <w:rFonts w:hint="eastAsia"/>
              </w:rPr>
              <w:t xml:space="preserve">航空/国际物流/成本敏感制造</w:t>
            </w:r>
          </w:p>
        </w:tc>
        <w:tc>
          <w:tcPr/>
          <w:p>
            <w:pPr>
              <w:pStyle w:val="Compact"/>
            </w:pPr>
            <w:r>
              <w:rPr>
                <w:rFonts w:hint="eastAsia"/>
              </w:rPr>
              <w:t xml:space="preserve">潜在承压</w:t>
            </w:r>
          </w:p>
        </w:tc>
        <w:tc>
          <w:tcPr/>
          <w:p>
            <w:pPr>
              <w:pStyle w:val="Compact"/>
            </w:pPr>
            <w:r>
              <w:rPr>
                <w:rFonts w:hint="eastAsia"/>
              </w:rPr>
              <w:t xml:space="preserve">中东、俄乌及跨境烟霾</w:t>
            </w:r>
          </w:p>
        </w:tc>
        <w:tc>
          <w:tcPr/>
          <w:p>
            <w:pPr>
              <w:pStyle w:val="Compact"/>
              <w:jc w:val="right"/>
            </w:pPr>
            <w:r>
              <w:t xml:space="preserve">★★★★</w:t>
            </w:r>
          </w:p>
        </w:tc>
        <w:tc>
          <w:tcPr/>
          <w:p>
            <w:pPr>
              <w:pStyle w:val="Compact"/>
            </w:pPr>
            <w:r>
              <w:rPr>
                <w:rFonts w:hint="eastAsia"/>
              </w:rPr>
              <w:t xml:space="preserve">航线、燃料价格、保险与运价</w:t>
            </w:r>
          </w:p>
        </w:tc>
      </w:tr>
      <w:tr>
        <w:tc>
          <w:tcPr/>
          <w:p>
            <w:pPr>
              <w:pStyle w:val="Compact"/>
            </w:pPr>
            <w:r>
              <w:rPr>
                <w:rFonts w:hint="eastAsia"/>
              </w:rPr>
              <w:t xml:space="preserve">环保监测/消防防护</w:t>
            </w:r>
          </w:p>
        </w:tc>
        <w:tc>
          <w:tcPr/>
          <w:p>
            <w:pPr>
              <w:pStyle w:val="Compact"/>
            </w:pPr>
            <w:r>
              <w:rPr>
                <w:rFonts w:hint="eastAsia"/>
              </w:rPr>
              <w:t xml:space="preserve">条件性需求</w:t>
            </w:r>
          </w:p>
        </w:tc>
        <w:tc>
          <w:tcPr/>
          <w:p>
            <w:pPr>
              <w:pStyle w:val="Compact"/>
            </w:pPr>
            <w:r>
              <w:rPr>
                <w:rFonts w:hint="eastAsia"/>
              </w:rPr>
              <w:t xml:space="preserve">印尼林火烟霾、加拿大基地火灾</w:t>
            </w:r>
          </w:p>
        </w:tc>
        <w:tc>
          <w:tcPr/>
          <w:p>
            <w:pPr>
              <w:pStyle w:val="Compact"/>
              <w:jc w:val="right"/>
            </w:pPr>
            <w:r>
              <w:t xml:space="preserve">★★★</w:t>
            </w:r>
          </w:p>
        </w:tc>
        <w:tc>
          <w:tcPr/>
          <w:p>
            <w:pPr>
              <w:pStyle w:val="Compact"/>
            </w:pPr>
            <w:r>
              <w:rPr>
                <w:rFonts w:hint="eastAsia"/>
              </w:rPr>
              <w:t xml:space="preserve">真实采购、灾情持续与治理投入</w:t>
            </w:r>
          </w:p>
        </w:tc>
      </w:tr>
    </w:tbl>
    <w:bookmarkEnd w:id="39"/>
    <w:bookmarkStart w:id="43" w:name="八操作框架"/>
    <w:p>
      <w:pPr>
        <w:pStyle w:val="Heading2"/>
      </w:pPr>
      <w:r>
        <w:rPr>
          <w:rFonts w:hint="eastAsia"/>
        </w:rPr>
        <w:t xml:space="preserve">八、操作框架</w:t>
      </w:r>
    </w:p>
    <w:bookmarkStart w:id="40" w:name="短线优先级"/>
    <w:p>
      <w:pPr>
        <w:pStyle w:val="Heading3"/>
      </w:pPr>
      <w:r>
        <w:t xml:space="preserve">1. </w:t>
      </w:r>
      <w:r>
        <w:rPr>
          <w:rFonts w:hint="eastAsia"/>
        </w:rPr>
        <w:t xml:space="preserve">短线优先级</w:t>
      </w:r>
    </w:p>
    <w:p>
      <w:pPr>
        <w:pStyle w:val="Compact"/>
        <w:numPr>
          <w:ilvl w:val="0"/>
          <w:numId w:val="1027"/>
        </w:numPr>
      </w:pPr>
      <w:r>
        <w:rPr>
          <w:rFonts w:hint="eastAsia"/>
          <w:b/>
          <w:bCs/>
        </w:rPr>
        <w:t xml:space="preserve">优先观察政策与数字最明确的三条线。</w:t>
      </w:r>
      <w:r>
        <w:t xml:space="preserve"> </w:t>
      </w:r>
      <w:r>
        <w:rPr>
          <w:rFonts w:hint="eastAsia"/>
        </w:rPr>
        <w:t xml:space="preserve">科技兴商有18项举措和明确的“人工智能+制造”；“黄金大外环”有约3700亿元投资与约7400公里改造里程；新型储能有超1.53亿千瓦装机和50倍增幅。三者均应等待量价、成交和订单确认，标题高开但无承接时不追。</w:t>
      </w:r>
    </w:p>
    <w:p>
      <w:pPr>
        <w:pStyle w:val="Compact"/>
        <w:numPr>
          <w:ilvl w:val="0"/>
          <w:numId w:val="1027"/>
        </w:numPr>
      </w:pPr>
      <w:r>
        <w:rPr>
          <w:rFonts w:hint="eastAsia"/>
          <w:b/>
          <w:bCs/>
        </w:rPr>
        <w:t xml:space="preserve">金融改革线先等正式文本。</w:t>
      </w:r>
      <w:r>
        <w:t xml:space="preserve"> </w:t>
      </w:r>
      <w:r>
        <w:rPr>
          <w:rFonts w:hint="eastAsia"/>
        </w:rPr>
        <w:t xml:space="preserve">“系列政策”和“百余项成果”信号较强，但底稿未披露具体内容。在政策名称、适用范围和生效时间明确前，不预设降准、交易制度改革或单一金融子行业受益。</w:t>
      </w:r>
    </w:p>
    <w:p>
      <w:pPr>
        <w:pStyle w:val="Compact"/>
        <w:numPr>
          <w:ilvl w:val="0"/>
          <w:numId w:val="1027"/>
        </w:numPr>
      </w:pPr>
      <w:r>
        <w:rPr>
          <w:rFonts w:hint="eastAsia"/>
          <w:b/>
          <w:bCs/>
        </w:rPr>
        <w:t xml:space="preserve">传统产业标准线关注设备更新与检测。</w:t>
      </w:r>
      <w:r>
        <w:t xml:space="preserve"> </w:t>
      </w:r>
      <w:r>
        <w:rPr>
          <w:rFonts w:hint="eastAsia"/>
        </w:rPr>
        <w:t xml:space="preserve">687项国家标准可能形成机械、石化的升级改造需求，但要先区分强制性与推荐性标准，并观察企业资本开支，而不是简单按标准数量交易。</w:t>
      </w:r>
    </w:p>
    <w:p>
      <w:pPr>
        <w:pStyle w:val="Compact"/>
        <w:numPr>
          <w:ilvl w:val="0"/>
          <w:numId w:val="1027"/>
        </w:numPr>
      </w:pPr>
      <w:r>
        <w:rPr>
          <w:rFonts w:hint="eastAsia"/>
          <w:b/>
          <w:bCs/>
        </w:rPr>
        <w:t xml:space="preserve">先进制造出海看订单而非展会热度。</w:t>
      </w:r>
      <w:r>
        <w:t xml:space="preserve"> </w:t>
      </w:r>
      <w:r>
        <w:rPr>
          <w:rFonts w:hint="eastAsia"/>
        </w:rPr>
        <w:t xml:space="preserve">数控机床、机器人、3D打印和整线交付方向具备产业逻辑，但广交会展示与海外投资比例不能替代成交额、海外收入和利润率。</w:t>
      </w:r>
    </w:p>
    <w:p>
      <w:pPr>
        <w:pStyle w:val="Compact"/>
        <w:numPr>
          <w:ilvl w:val="0"/>
          <w:numId w:val="1027"/>
        </w:numPr>
      </w:pPr>
      <w:r>
        <w:rPr>
          <w:rFonts w:hint="eastAsia"/>
          <w:b/>
          <w:bCs/>
        </w:rPr>
        <w:t xml:space="preserve">地缘线只作风险对冲。</w:t>
      </w:r>
      <w:r>
        <w:t xml:space="preserve"> </w:t>
      </w:r>
      <w:r>
        <w:rPr>
          <w:rFonts w:hint="eastAsia"/>
        </w:rPr>
        <w:t xml:space="preserve">俄乌和中东消息包含冲突方或媒体口径，只有油价、航运、保险和真实订单同步确认时才提高权重；停火或局势缓和会快速压缩风险溢价。</w:t>
      </w:r>
    </w:p>
    <w:bookmarkEnd w:id="40"/>
    <w:bookmarkStart w:id="41" w:name="中线跟踪框架"/>
    <w:p>
      <w:pPr>
        <w:pStyle w:val="Heading3"/>
      </w:pPr>
      <w:r>
        <w:t xml:space="preserve">2. </w:t>
      </w:r>
      <w:r>
        <w:rPr>
          <w:rFonts w:hint="eastAsia"/>
        </w:rPr>
        <w:t xml:space="preserve">中线跟踪框架</w:t>
      </w:r>
    </w:p>
    <w:p>
      <w:pPr>
        <w:pStyle w:val="Compact"/>
        <w:numPr>
          <w:ilvl w:val="0"/>
          <w:numId w:val="1028"/>
        </w:numPr>
      </w:pPr>
      <w:r>
        <w:rPr>
          <w:rFonts w:hint="eastAsia"/>
          <w:b/>
          <w:bCs/>
        </w:rPr>
        <w:t xml:space="preserve">制造升级：</w:t>
      </w:r>
      <w:r>
        <w:t xml:space="preserve"> </w:t>
      </w:r>
      <w:r>
        <w:rPr>
          <w:rFonts w:hint="eastAsia"/>
        </w:rPr>
        <w:t xml:space="preserve">沿“高技术制造增速—AI制造专项—服务商培育—终端产品—客户付费”跟踪，重点核验订单、交付、续费和研发费用效率。</w:t>
      </w:r>
    </w:p>
    <w:p>
      <w:pPr>
        <w:pStyle w:val="Compact"/>
        <w:numPr>
          <w:ilvl w:val="0"/>
          <w:numId w:val="1028"/>
        </w:numPr>
      </w:pPr>
      <w:r>
        <w:rPr>
          <w:rFonts w:hint="eastAsia"/>
          <w:b/>
          <w:bCs/>
        </w:rPr>
        <w:t xml:space="preserve">公路大外环：</w:t>
      </w:r>
      <w:r>
        <w:t xml:space="preserve"> </w:t>
      </w:r>
      <w:r>
        <w:rPr>
          <w:rFonts w:hint="eastAsia"/>
        </w:rPr>
        <w:t xml:space="preserve">沿“规划—核准—资金—招标—开工—施工—回款”跟踪，区分施工、材料、机械和信息化不同受益时点。</w:t>
      </w:r>
    </w:p>
    <w:p>
      <w:pPr>
        <w:pStyle w:val="Compact"/>
        <w:numPr>
          <w:ilvl w:val="0"/>
          <w:numId w:val="1028"/>
        </w:numPr>
      </w:pPr>
      <w:r>
        <w:rPr>
          <w:rFonts w:hint="eastAsia"/>
          <w:b/>
          <w:bCs/>
        </w:rPr>
        <w:t xml:space="preserve">新型储能：</w:t>
      </w:r>
      <w:r>
        <w:t xml:space="preserve"> </w:t>
      </w:r>
      <w:r>
        <w:rPr>
          <w:rFonts w:hint="eastAsia"/>
        </w:rPr>
        <w:t xml:space="preserve">沿“招标规模—系统价格—并网—调用—利用率—收益机制—安全”跟踪，警惕产业链完备后的价格竞争和低利用率。</w:t>
      </w:r>
    </w:p>
    <w:p>
      <w:pPr>
        <w:pStyle w:val="Compact"/>
        <w:numPr>
          <w:ilvl w:val="0"/>
          <w:numId w:val="1028"/>
        </w:numPr>
      </w:pPr>
      <w:r>
        <w:rPr>
          <w:rFonts w:hint="eastAsia"/>
          <w:b/>
          <w:bCs/>
        </w:rPr>
        <w:t xml:space="preserve">户外消费：</w:t>
      </w:r>
      <w:r>
        <w:t xml:space="preserve"> </w:t>
      </w:r>
      <w:r>
        <w:rPr>
          <w:rFonts w:hint="eastAsia"/>
        </w:rPr>
        <w:t xml:space="preserve">区分参与人数、消费规模与上市公司收入，关注品牌份额、库存、场地客流、赛事商业化和目的地复购。</w:t>
      </w:r>
    </w:p>
    <w:p>
      <w:pPr>
        <w:pStyle w:val="Compact"/>
        <w:numPr>
          <w:ilvl w:val="0"/>
          <w:numId w:val="1028"/>
        </w:numPr>
      </w:pPr>
      <w:r>
        <w:rPr>
          <w:rFonts w:hint="eastAsia"/>
          <w:b/>
          <w:bCs/>
        </w:rPr>
        <w:t xml:space="preserve">重大工程与清洁能源：</w:t>
      </w:r>
      <w:r>
        <w:t xml:space="preserve"> </w:t>
      </w:r>
      <w:r>
        <w:rPr>
          <w:rFonts w:hint="eastAsia"/>
        </w:rPr>
        <w:t xml:space="preserve">平陆运河、三峡水运新通道、核电、海上换流站均属长期方向，需以新增核准、分标段订单、设备交付和回款确认。</w:t>
      </w:r>
    </w:p>
    <w:p>
      <w:pPr>
        <w:pStyle w:val="Compact"/>
        <w:numPr>
          <w:ilvl w:val="0"/>
          <w:numId w:val="1028"/>
        </w:numPr>
      </w:pPr>
      <w:r>
        <w:rPr>
          <w:rFonts w:hint="eastAsia"/>
          <w:b/>
          <w:bCs/>
        </w:rPr>
        <w:t xml:space="preserve">中塔合作：</w:t>
      </w:r>
      <w:r>
        <w:t xml:space="preserve"> </w:t>
      </w:r>
      <w:r>
        <w:rPr>
          <w:rFonts w:hint="eastAsia"/>
        </w:rPr>
        <w:t xml:space="preserve">绿色矿产、基础设施、清洁能源和人工智能仅作为项目储备观察，出现项目金额、融资方、施工主体和开工节点后再提升确定性。</w:t>
      </w:r>
    </w:p>
    <w:bookmarkEnd w:id="41"/>
    <w:bookmarkStart w:id="42" w:name="仓位与节奏原则"/>
    <w:p>
      <w:pPr>
        <w:pStyle w:val="Heading3"/>
      </w:pPr>
      <w:r>
        <w:t xml:space="preserve">3. </w:t>
      </w:r>
      <w:r>
        <w:rPr>
          <w:rFonts w:hint="eastAsia"/>
        </w:rPr>
        <w:t xml:space="preserve">仓位与节奏原则</w:t>
      </w:r>
    </w:p>
    <w:p>
      <w:pPr>
        <w:pStyle w:val="Compact"/>
        <w:numPr>
          <w:ilvl w:val="0"/>
          <w:numId w:val="1029"/>
        </w:numPr>
      </w:pPr>
      <w:r>
        <w:rPr>
          <w:rFonts w:hint="eastAsia"/>
        </w:rPr>
        <w:t xml:space="preserve">本文没有引入当日指数、成交额、资金流、估值和技术形态，因此不对总仓位给出机械比例。</w:t>
      </w:r>
    </w:p>
    <w:p>
      <w:pPr>
        <w:pStyle w:val="Compact"/>
        <w:numPr>
          <w:ilvl w:val="0"/>
          <w:numId w:val="1029"/>
        </w:numPr>
      </w:pPr>
      <w:r>
        <w:rPr>
          <w:rFonts w:hint="eastAsia"/>
        </w:rPr>
        <w:t xml:space="preserve">在没有正式细则或订单前，将金融政策、AI文旅、中塔合作定义为“预期线”；将约3700亿元公路投资、储能装机和宏观产业数据定义为“可跟踪线”，但仍不是企业业绩确认。</w:t>
      </w:r>
    </w:p>
    <w:p>
      <w:pPr>
        <w:pStyle w:val="Compact"/>
        <w:numPr>
          <w:ilvl w:val="0"/>
          <w:numId w:val="1029"/>
        </w:numPr>
      </w:pPr>
      <w:r>
        <w:rPr>
          <w:rFonts w:hint="eastAsia"/>
        </w:rPr>
        <w:t xml:space="preserve">同一主题若由多条新闻重复出现，不重复累加政策强度。例如中塔总理会谈与总统会见共同提高合作确定性，但不等于产生两份商业合同。</w:t>
      </w:r>
    </w:p>
    <w:p>
      <w:pPr>
        <w:pStyle w:val="Compact"/>
        <w:numPr>
          <w:ilvl w:val="0"/>
          <w:numId w:val="1029"/>
        </w:numPr>
      </w:pPr>
      <w:r>
        <w:rPr>
          <w:rFonts w:hint="eastAsia"/>
        </w:rPr>
        <w:t xml:space="preserve">短线只在板块强度、成交承接与后续信息形成共振时参与；中线以基本面兑现替代单日新闻热度。</w:t>
      </w:r>
    </w:p>
    <w:bookmarkEnd w:id="42"/>
    <w:bookmarkEnd w:id="43"/>
    <w:bookmarkStart w:id="44" w:name="九风险与证伪条件"/>
    <w:p>
      <w:pPr>
        <w:pStyle w:val="Heading2"/>
      </w:pPr>
      <w:r>
        <w:rPr>
          <w:rFonts w:hint="eastAsia"/>
        </w:rPr>
        <w:t xml:space="preserve">九、风险与证伪条件</w:t>
      </w:r>
    </w:p>
    <w:p>
      <w:pPr>
        <w:pStyle w:val="Compact"/>
        <w:numPr>
          <w:ilvl w:val="0"/>
          <w:numId w:val="1030"/>
        </w:numPr>
      </w:pPr>
      <w:r>
        <w:rPr>
          <w:rFonts w:hint="eastAsia"/>
          <w:b/>
          <w:bCs/>
        </w:rPr>
        <w:t xml:space="preserve">宏观传导风险：</w:t>
      </w:r>
      <w:r>
        <w:t xml:space="preserve"> </w:t>
      </w:r>
      <w:r>
        <w:rPr>
          <w:rFonts w:hint="eastAsia"/>
        </w:rPr>
        <w:t xml:space="preserve">GDP、工业与内需数据改善不保证所有上市公司收入和利润同步改善。若后续工业利润、订单或消费持续性不足，结构性利好会弱化。</w:t>
      </w:r>
    </w:p>
    <w:p>
      <w:pPr>
        <w:pStyle w:val="Compact"/>
        <w:numPr>
          <w:ilvl w:val="0"/>
          <w:numId w:val="1030"/>
        </w:numPr>
      </w:pPr>
      <w:r>
        <w:rPr>
          <w:rFonts w:hint="eastAsia"/>
          <w:b/>
          <w:bCs/>
        </w:rPr>
        <w:t xml:space="preserve">科技兴商落地风险：</w:t>
      </w:r>
      <w:r>
        <w:t xml:space="preserve"> </w:t>
      </w:r>
      <w:r>
        <w:rPr>
          <w:rFonts w:hint="eastAsia"/>
        </w:rPr>
        <w:t xml:space="preserve">18项举措和14个文旅试点仍需配套预算、客户付费和规模复制；若仅停留在示范，业绩弹性有限。</w:t>
      </w:r>
    </w:p>
    <w:p>
      <w:pPr>
        <w:pStyle w:val="Compact"/>
        <w:numPr>
          <w:ilvl w:val="0"/>
          <w:numId w:val="1030"/>
        </w:numPr>
      </w:pPr>
      <w:r>
        <w:rPr>
          <w:rFonts w:hint="eastAsia"/>
          <w:b/>
          <w:bCs/>
        </w:rPr>
        <w:t xml:space="preserve">基建资金与回款风险：</w:t>
      </w:r>
      <w:r>
        <w:t xml:space="preserve"> </w:t>
      </w:r>
      <w:r>
        <w:rPr>
          <w:rFonts w:hint="eastAsia"/>
        </w:rPr>
        <w:t xml:space="preserve">约3700亿元为“十五五”总投资，跨地区项目可能受资本金、审批、施工难度和回款周期约束。</w:t>
      </w:r>
    </w:p>
    <w:p>
      <w:pPr>
        <w:pStyle w:val="Compact"/>
        <w:numPr>
          <w:ilvl w:val="0"/>
          <w:numId w:val="1030"/>
        </w:numPr>
      </w:pPr>
      <w:r>
        <w:rPr>
          <w:rFonts w:hint="eastAsia"/>
          <w:b/>
          <w:bCs/>
        </w:rPr>
        <w:t xml:space="preserve">储能竞争风险：</w:t>
      </w:r>
      <w:r>
        <w:t xml:space="preserve"> </w:t>
      </w:r>
      <w:r>
        <w:rPr>
          <w:rFonts w:hint="eastAsia"/>
        </w:rPr>
        <w:t xml:space="preserve">装机增长与全产业链完备可能伴随系统价格下行、产能过剩、利用率不足和安全成本上升；若收益机制不清晰，装机不必然转化为利润。</w:t>
      </w:r>
    </w:p>
    <w:p>
      <w:pPr>
        <w:pStyle w:val="Compact"/>
        <w:numPr>
          <w:ilvl w:val="0"/>
          <w:numId w:val="1030"/>
        </w:numPr>
      </w:pPr>
      <w:r>
        <w:rPr>
          <w:rFonts w:hint="eastAsia"/>
          <w:b/>
          <w:bCs/>
        </w:rPr>
        <w:t xml:space="preserve">标准双刃剑风险：</w:t>
      </w:r>
      <w:r>
        <w:t xml:space="preserve"> </w:t>
      </w:r>
      <w:r>
        <w:rPr>
          <w:rFonts w:hint="eastAsia"/>
        </w:rPr>
        <w:t xml:space="preserve">687项国家标准可能推动设备更新，也可能增加企业认证、改造与合规成本。若标准多为推荐性或执行缓慢，需求释放会低于预期。</w:t>
      </w:r>
    </w:p>
    <w:p>
      <w:pPr>
        <w:pStyle w:val="Compact"/>
        <w:numPr>
          <w:ilvl w:val="0"/>
          <w:numId w:val="1030"/>
        </w:numPr>
      </w:pPr>
      <w:r>
        <w:rPr>
          <w:rFonts w:hint="eastAsia"/>
          <w:b/>
          <w:bCs/>
        </w:rPr>
        <w:t xml:space="preserve">金融政策误读风险：</w:t>
      </w:r>
      <w:r>
        <w:t xml:space="preserve"> </w:t>
      </w:r>
      <w:r>
        <w:rPr>
          <w:rFonts w:hint="eastAsia"/>
        </w:rPr>
        <w:t xml:space="preserve">底稿未列具体政策，不得把“集中发布”扩写成未经确认的货币、资本市场或房地产措施；正式文件若低于预期，主题可能回落。</w:t>
      </w:r>
    </w:p>
    <w:p>
      <w:pPr>
        <w:pStyle w:val="Compact"/>
        <w:numPr>
          <w:ilvl w:val="0"/>
          <w:numId w:val="1030"/>
        </w:numPr>
      </w:pPr>
      <w:r>
        <w:rPr>
          <w:rFonts w:hint="eastAsia"/>
          <w:b/>
          <w:bCs/>
        </w:rPr>
        <w:t xml:space="preserve">出口与海外经营风险：</w:t>
      </w:r>
      <w:r>
        <w:t xml:space="preserve"> </w:t>
      </w:r>
      <w:r>
        <w:rPr>
          <w:rFonts w:hint="eastAsia"/>
        </w:rPr>
        <w:t xml:space="preserve">广交会的产业链能力和海外建厂趋势仍面临贸易壁垒、汇率、地缘、当地合规和产能爬坡风险。</w:t>
      </w:r>
    </w:p>
    <w:p>
      <w:pPr>
        <w:pStyle w:val="Compact"/>
        <w:numPr>
          <w:ilvl w:val="0"/>
          <w:numId w:val="1030"/>
        </w:numPr>
      </w:pPr>
      <w:r>
        <w:rPr>
          <w:rFonts w:hint="eastAsia"/>
          <w:b/>
          <w:bCs/>
        </w:rPr>
        <w:t xml:space="preserve">消费数据外推风险：</w:t>
      </w:r>
      <w:r>
        <w:t xml:space="preserve"> </w:t>
      </w:r>
      <w:r>
        <w:rPr>
          <w:rFonts w:hint="eastAsia"/>
        </w:rPr>
        <w:t xml:space="preserve">3.08亿冰雪参与人数、2050亿元消费和路跑人均支出均是行业数据，不能直接等同于单一企业收入。</w:t>
      </w:r>
    </w:p>
    <w:p>
      <w:pPr>
        <w:pStyle w:val="Compact"/>
        <w:numPr>
          <w:ilvl w:val="0"/>
          <w:numId w:val="1030"/>
        </w:numPr>
      </w:pPr>
      <w:r>
        <w:rPr>
          <w:rFonts w:hint="eastAsia"/>
          <w:b/>
          <w:bCs/>
        </w:rPr>
        <w:t xml:space="preserve">外交合作兑现风险：</w:t>
      </w:r>
      <w:r>
        <w:t xml:space="preserve"> </w:t>
      </w:r>
      <w:r>
        <w:rPr>
          <w:rFonts w:hint="eastAsia"/>
        </w:rPr>
        <w:t xml:space="preserve">中塔会谈与合作文件不等于商业合同。项目若缺乏融资、许可、物流条件或回款保障，行业映射将被证伪。</w:t>
      </w:r>
    </w:p>
    <w:p>
      <w:pPr>
        <w:pStyle w:val="Compact"/>
        <w:numPr>
          <w:ilvl w:val="0"/>
          <w:numId w:val="1030"/>
        </w:numPr>
      </w:pPr>
      <w:r>
        <w:rPr>
          <w:rFonts w:hint="eastAsia"/>
          <w:b/>
          <w:bCs/>
        </w:rPr>
        <w:t xml:space="preserve">地缘冲突反转风险：</w:t>
      </w:r>
      <w:r>
        <w:t xml:space="preserve"> </w:t>
      </w:r>
      <w:r>
        <w:rPr>
          <w:rFonts w:hint="eastAsia"/>
        </w:rPr>
        <w:t xml:space="preserve">俄乌与中东事件包含各方口径，若停火、冲突降温或未影响供应，能源、防务和避险溢价可能快速回吐。</w:t>
      </w:r>
    </w:p>
    <w:p>
      <w:pPr>
        <w:pStyle w:val="Compact"/>
        <w:numPr>
          <w:ilvl w:val="0"/>
          <w:numId w:val="1030"/>
        </w:numPr>
      </w:pPr>
      <w:r>
        <w:rPr>
          <w:rFonts w:hint="eastAsia"/>
          <w:b/>
          <w:bCs/>
        </w:rPr>
        <w:t xml:space="preserve">灾害事件伦理与持续性风险：</w:t>
      </w:r>
      <w:r>
        <w:t xml:space="preserve"> </w:t>
      </w:r>
      <w:r>
        <w:rPr>
          <w:rFonts w:hint="eastAsia"/>
        </w:rPr>
        <w:t xml:space="preserve">林火、烟霾和基地火灾首先是公共安全事件；没有采购和业绩证据时，不应将灾害本身包装为确定性利好。</w:t>
      </w:r>
    </w:p>
    <w:p>
      <w:pPr>
        <w:pStyle w:val="Compact"/>
        <w:numPr>
          <w:ilvl w:val="0"/>
          <w:numId w:val="1030"/>
        </w:numPr>
      </w:pPr>
      <w:r>
        <w:rPr>
          <w:rFonts w:hint="eastAsia"/>
          <w:b/>
          <w:bCs/>
        </w:rPr>
        <w:t xml:space="preserve">天气短周期风险：</w:t>
      </w:r>
      <w:r>
        <w:t xml:space="preserve"> </w:t>
      </w:r>
      <w:r>
        <w:rPr>
          <w:rFonts w:hint="eastAsia"/>
        </w:rPr>
        <w:t xml:space="preserve">10月19日至21日冷空气属于短期事件，若降温幅度、持续时间或需求增量低于预期，供暖与保暖消费主题缺乏持续性。</w:t>
      </w:r>
    </w:p>
    <w:p>
      <w:pPr>
        <w:pStyle w:val="Compact"/>
        <w:numPr>
          <w:ilvl w:val="0"/>
          <w:numId w:val="1030"/>
        </w:numPr>
      </w:pPr>
      <w:r>
        <w:rPr>
          <w:rFonts w:hint="eastAsia"/>
          <w:b/>
          <w:bCs/>
        </w:rPr>
        <w:t xml:space="preserve">交易拥挤风险：</w:t>
      </w:r>
      <w:r>
        <w:t xml:space="preserve"> </w:t>
      </w:r>
      <w:r>
        <w:rPr>
          <w:rFonts w:hint="eastAsia"/>
        </w:rPr>
        <w:t xml:space="preserve">AI、储能、基建、军工与户外消费若脱离订单和盈利快速上涨，新闻催化消退后波动可能放大。</w:t>
      </w:r>
    </w:p>
    <w:p>
      <w:pPr>
        <w:pStyle w:val="Compact"/>
        <w:numPr>
          <w:ilvl w:val="0"/>
          <w:numId w:val="1030"/>
        </w:numPr>
      </w:pPr>
      <w:r>
        <w:rPr>
          <w:rFonts w:hint="eastAsia"/>
          <w:b/>
          <w:bCs/>
        </w:rPr>
        <w:t xml:space="preserve">信息边界风险：</w:t>
      </w:r>
      <w:r>
        <w:t xml:space="preserve"> </w:t>
      </w:r>
      <w:r>
        <w:rPr>
          <w:rFonts w:hint="eastAsia"/>
        </w:rPr>
        <w:t xml:space="preserve">本文未使用实时行情、资金流、估值、公司公告及底稿之外的新闻；实盘决策前必须另行核验这些信息。</w:t>
      </w:r>
    </w:p>
    <w:bookmarkEnd w:id="44"/>
    <w:bookmarkStart w:id="49" w:name="十事实核验与覆盖清单"/>
    <w:p>
      <w:pPr>
        <w:pStyle w:val="Heading2"/>
      </w:pPr>
      <w:r>
        <w:rPr>
          <w:rFonts w:hint="eastAsia"/>
        </w:rPr>
        <w:t xml:space="preserve">十、事实核验与覆盖清单</w:t>
      </w:r>
    </w:p>
    <w:bookmarkStart w:id="45" w:name="一级条目覆盖"/>
    <w:p>
      <w:pPr>
        <w:pStyle w:val="Heading3"/>
      </w:pPr>
      <w:r>
        <w:t xml:space="preserve">1. </w:t>
      </w:r>
      <w:r>
        <w:rPr>
          <w:rFonts w:hint="eastAsia"/>
        </w:rPr>
        <w:t xml:space="preserve">一级条目覆盖</w:t>
      </w:r>
    </w:p>
    <w:p>
      <w:pPr>
        <w:pStyle w:val="FirstParagraph"/>
      </w:pPr>
      <w:r>
        <w:rPr>
          <w:rFonts w:hint="eastAsia"/>
        </w:rPr>
        <w:t xml:space="preserve">已按指定底稿原顺序覆盖全部13个一级条目：</w:t>
      </w:r>
    </w:p>
    <w:p>
      <w:pPr>
        <w:pStyle w:val="Compact"/>
        <w:numPr>
          <w:ilvl w:val="0"/>
          <w:numId w:val="1031"/>
        </w:numPr>
      </w:pPr>
      <w:r>
        <w:rPr>
          <w:rFonts w:hint="eastAsia"/>
        </w:rPr>
        <w:t xml:space="preserve">长征胜利90周年头条；</w:t>
      </w:r>
    </w:p>
    <w:p>
      <w:pPr>
        <w:pStyle w:val="Compact"/>
        <w:numPr>
          <w:ilvl w:val="0"/>
          <w:numId w:val="1031"/>
        </w:numPr>
      </w:pPr>
      <w:r>
        <w:rPr>
          <w:rFonts w:hint="eastAsia"/>
        </w:rPr>
        <w:t xml:space="preserve">李强同塔吉克斯坦总理会谈；</w:t>
      </w:r>
    </w:p>
    <w:p>
      <w:pPr>
        <w:pStyle w:val="Compact"/>
        <w:numPr>
          <w:ilvl w:val="0"/>
          <w:numId w:val="1031"/>
        </w:numPr>
      </w:pPr>
      <w:r>
        <w:rPr>
          <w:rFonts w:hint="eastAsia"/>
        </w:rPr>
        <w:t xml:space="preserve">李强会见塔吉克斯坦总统；</w:t>
      </w:r>
    </w:p>
    <w:p>
      <w:pPr>
        <w:pStyle w:val="Compact"/>
        <w:numPr>
          <w:ilvl w:val="0"/>
          <w:numId w:val="1031"/>
        </w:numPr>
      </w:pPr>
      <w:r>
        <w:rPr>
          <w:rFonts w:hint="eastAsia"/>
        </w:rPr>
        <w:t xml:space="preserve">前三季度GDP同比增长4.6%；</w:t>
      </w:r>
    </w:p>
    <w:p>
      <w:pPr>
        <w:pStyle w:val="Compact"/>
        <w:numPr>
          <w:ilvl w:val="0"/>
          <w:numId w:val="1031"/>
        </w:numPr>
      </w:pPr>
      <w:r>
        <w:rPr>
          <w:rFonts w:hint="eastAsia"/>
        </w:rPr>
        <w:t xml:space="preserve">中央档案馆开放5000余件长征专题档案；</w:t>
      </w:r>
    </w:p>
    <w:p>
      <w:pPr>
        <w:pStyle w:val="Compact"/>
        <w:numPr>
          <w:ilvl w:val="0"/>
          <w:numId w:val="1031"/>
        </w:numPr>
      </w:pPr>
      <w:r>
        <w:rPr>
          <w:rFonts w:hint="eastAsia"/>
        </w:rPr>
        <w:t xml:space="preserve">科技兴商18项举措；</w:t>
      </w:r>
    </w:p>
    <w:p>
      <w:pPr>
        <w:pStyle w:val="Compact"/>
        <w:numPr>
          <w:ilvl w:val="0"/>
          <w:numId w:val="1031"/>
        </w:numPr>
      </w:pPr>
      <w:r>
        <w:rPr>
          <w:rFonts w:hint="eastAsia"/>
        </w:rPr>
        <w:t xml:space="preserve">第140届广交会首期闭展；</w:t>
      </w:r>
    </w:p>
    <w:p>
      <w:pPr>
        <w:pStyle w:val="Compact"/>
        <w:numPr>
          <w:ilvl w:val="0"/>
          <w:numId w:val="1031"/>
        </w:numPr>
      </w:pPr>
      <w:r>
        <w:rPr>
          <w:rFonts w:hint="eastAsia"/>
        </w:rPr>
        <w:t xml:space="preserve">“黄金大外环”建设；</w:t>
      </w:r>
    </w:p>
    <w:p>
      <w:pPr>
        <w:pStyle w:val="Compact"/>
        <w:numPr>
          <w:ilvl w:val="0"/>
          <w:numId w:val="1031"/>
        </w:numPr>
      </w:pPr>
      <w:r>
        <w:rPr>
          <w:rFonts w:hint="eastAsia"/>
        </w:rPr>
        <w:t xml:space="preserve">户外运动产业发展；</w:t>
      </w:r>
    </w:p>
    <w:p>
      <w:pPr>
        <w:pStyle w:val="Compact"/>
        <w:numPr>
          <w:ilvl w:val="0"/>
          <w:numId w:val="1031"/>
        </w:numPr>
      </w:pPr>
      <w:r>
        <w:rPr>
          <w:rFonts w:hint="eastAsia"/>
        </w:rPr>
        <w:t xml:space="preserve">国内联播快讯；</w:t>
      </w:r>
    </w:p>
    <w:p>
      <w:pPr>
        <w:pStyle w:val="Compact"/>
        <w:numPr>
          <w:ilvl w:val="0"/>
          <w:numId w:val="1031"/>
        </w:numPr>
      </w:pPr>
      <w:r>
        <w:rPr>
          <w:rFonts w:hint="eastAsia"/>
        </w:rPr>
        <w:t xml:space="preserve">俄乌相互打击；</w:t>
      </w:r>
    </w:p>
    <w:p>
      <w:pPr>
        <w:pStyle w:val="Compact"/>
        <w:numPr>
          <w:ilvl w:val="0"/>
          <w:numId w:val="1031"/>
        </w:numPr>
      </w:pPr>
      <w:r>
        <w:rPr>
          <w:rFonts w:hint="eastAsia"/>
        </w:rPr>
        <w:t xml:space="preserve">也门与沙特冲突；</w:t>
      </w:r>
    </w:p>
    <w:p>
      <w:pPr>
        <w:pStyle w:val="Compact"/>
        <w:numPr>
          <w:ilvl w:val="0"/>
          <w:numId w:val="1031"/>
        </w:numPr>
      </w:pPr>
      <w:r>
        <w:rPr>
          <w:rFonts w:hint="eastAsia"/>
        </w:rPr>
        <w:t xml:space="preserve">国际联播快讯。</w:t>
      </w:r>
    </w:p>
    <w:bookmarkEnd w:id="45"/>
    <w:bookmarkStart w:id="46" w:name="快讯子项覆盖"/>
    <w:p>
      <w:pPr>
        <w:pStyle w:val="Heading3"/>
      </w:pPr>
      <w:r>
        <w:t xml:space="preserve">2. </w:t>
      </w:r>
      <w:r>
        <w:rPr>
          <w:rFonts w:hint="eastAsia"/>
        </w:rPr>
        <w:t xml:space="preserve">快讯子项覆盖</w:t>
      </w:r>
    </w:p>
    <w:p>
      <w:pPr>
        <w:pStyle w:val="Compact"/>
        <w:numPr>
          <w:ilvl w:val="0"/>
          <w:numId w:val="1032"/>
        </w:numPr>
      </w:pPr>
      <w:r>
        <w:rPr>
          <w:rFonts w:hint="eastAsia"/>
          <w:b/>
          <w:bCs/>
        </w:rPr>
        <w:t xml:space="preserve">国内联播快讯8个子项已逐项展开：</w:t>
      </w:r>
      <w:r>
        <w:t xml:space="preserve"> </w:t>
      </w:r>
      <w:r>
        <w:rPr>
          <w:rFonts w:hint="eastAsia"/>
        </w:rPr>
        <w:t xml:space="preserve">金融街论坛、新型储能、传统产业687项国家标准、16部门优化消费环境月、亚残运会金牌、景德镇陶瓷博览会、CMG全国中短剧大会、冷空气降温。</w:t>
      </w:r>
    </w:p>
    <w:p>
      <w:pPr>
        <w:pStyle w:val="Compact"/>
        <w:numPr>
          <w:ilvl w:val="0"/>
          <w:numId w:val="1032"/>
        </w:numPr>
      </w:pPr>
      <w:r>
        <w:rPr>
          <w:rFonts w:hint="eastAsia"/>
          <w:b/>
          <w:bCs/>
        </w:rPr>
        <w:t xml:space="preserve">国际联播快讯5个子项已逐项展开：</w:t>
      </w:r>
      <w:r>
        <w:t xml:space="preserve"> </w:t>
      </w:r>
      <w:r>
        <w:rPr>
          <w:rFonts w:hint="eastAsia"/>
        </w:rPr>
        <w:t xml:space="preserve">法国抗议、伊朗安全表态、以色列新版安全原则、加拿大军事基地火灾、印尼林火与跨境烟霾。</w:t>
      </w:r>
    </w:p>
    <w:bookmarkEnd w:id="46"/>
    <w:bookmarkStart w:id="47" w:name="关键数字核对"/>
    <w:p>
      <w:pPr>
        <w:pStyle w:val="Heading3"/>
      </w:pPr>
      <w:r>
        <w:t xml:space="preserve">3. </w:t>
      </w:r>
      <w:r>
        <w:rPr>
          <w:rFonts w:hint="eastAsia"/>
        </w:rPr>
        <w:t xml:space="preserve">关键数字核对</w:t>
      </w:r>
    </w:p>
    <w:p>
      <w:pPr>
        <w:pStyle w:val="Compact"/>
        <w:numPr>
          <w:ilvl w:val="0"/>
          <w:numId w:val="1033"/>
        </w:numPr>
      </w:pPr>
      <w:r>
        <w:rPr>
          <w:rFonts w:hint="eastAsia"/>
          <w:b/>
          <w:bCs/>
        </w:rPr>
        <w:t xml:space="preserve">宏观数据：</w:t>
      </w:r>
      <w:r>
        <w:t xml:space="preserve"> </w:t>
      </w:r>
      <w:r>
        <w:rPr>
          <w:rFonts w:hint="eastAsia"/>
        </w:rPr>
        <w:t xml:space="preserve">前三季度GDP</w:t>
      </w:r>
      <w:r>
        <w:t xml:space="preserve"> </w:t>
      </w:r>
      <w:r>
        <w:rPr>
          <w:rFonts w:hint="eastAsia"/>
        </w:rPr>
        <w:t xml:space="preserve">1071071亿元、同比增长4.6%，增量5.7万亿元；三季度规上工业增加值增长5.1%、较二季度加快0.4个百分点；制造业增加值占GDP</w:t>
      </w:r>
      <w:r>
        <w:t xml:space="preserve"> </w:t>
      </w:r>
      <w:r>
        <w:rPr>
          <w:rFonts w:hint="eastAsia"/>
        </w:rPr>
        <w:t xml:space="preserve">25.7%、提高0.6个百分点；知识产权产品投资占比提高2.4个百分点；内需贡献率超过七成，最终消费贡献率接近五成；装备制造业和高技术制造业增速分别快4.9和9.0个百分点；新动能贡献率保持40%以上。</w:t>
      </w:r>
    </w:p>
    <w:p>
      <w:pPr>
        <w:pStyle w:val="Compact"/>
        <w:numPr>
          <w:ilvl w:val="0"/>
          <w:numId w:val="1033"/>
        </w:numPr>
      </w:pPr>
      <w:r>
        <w:rPr>
          <w:rFonts w:hint="eastAsia"/>
          <w:b/>
          <w:bCs/>
        </w:rPr>
        <w:t xml:space="preserve">重大工程：</w:t>
      </w:r>
      <w:r>
        <w:t xml:space="preserve"> </w:t>
      </w:r>
      <w:r>
        <w:rPr>
          <w:rFonts w:hint="eastAsia"/>
        </w:rPr>
        <w:t xml:space="preserve">三峡水运新通道今年6月开工、施工期100个月；深海中微子望远镜海试水深约3500米；百坭村产业路22公里。</w:t>
      </w:r>
    </w:p>
    <w:p>
      <w:pPr>
        <w:pStyle w:val="Compact"/>
        <w:numPr>
          <w:ilvl w:val="0"/>
          <w:numId w:val="1033"/>
        </w:numPr>
      </w:pPr>
      <w:r>
        <w:rPr>
          <w:rFonts w:hint="eastAsia"/>
          <w:b/>
          <w:bCs/>
        </w:rPr>
        <w:t xml:space="preserve">科技兴商：</w:t>
      </w:r>
      <w:r>
        <w:t xml:space="preserve"> </w:t>
      </w:r>
      <w:r>
        <w:rPr>
          <w:rFonts w:hint="eastAsia"/>
        </w:rPr>
        <w:t xml:space="preserve">18项具体举措；14个“人工智能+文化和旅游”试点。</w:t>
      </w:r>
    </w:p>
    <w:p>
      <w:pPr>
        <w:pStyle w:val="Compact"/>
        <w:numPr>
          <w:ilvl w:val="0"/>
          <w:numId w:val="1033"/>
        </w:numPr>
      </w:pPr>
      <w:r>
        <w:rPr>
          <w:rFonts w:hint="eastAsia"/>
          <w:b/>
          <w:bCs/>
        </w:rPr>
        <w:t xml:space="preserve">广交会：</w:t>
      </w:r>
      <w:r>
        <w:t xml:space="preserve"> </w:t>
      </w:r>
      <w:r>
        <w:rPr>
          <w:rFonts w:hint="eastAsia"/>
        </w:rPr>
        <w:t xml:space="preserve">3.2万家参展企业，近20%开展对外投资，为当地贡献超过20万个就业岗位；第二期10月23日至27日举行。</w:t>
      </w:r>
    </w:p>
    <w:p>
      <w:pPr>
        <w:pStyle w:val="Compact"/>
        <w:numPr>
          <w:ilvl w:val="0"/>
          <w:numId w:val="1033"/>
        </w:numPr>
      </w:pPr>
      <w:r>
        <w:rPr>
          <w:rFonts w:hint="eastAsia"/>
          <w:b/>
          <w:bCs/>
        </w:rPr>
        <w:t xml:space="preserve">黄金大外环：</w:t>
      </w:r>
      <w:r>
        <w:t xml:space="preserve"> </w:t>
      </w:r>
      <w:r>
        <w:rPr>
          <w:rFonts w:hint="eastAsia"/>
        </w:rPr>
        <w:t xml:space="preserve">国道228约7400公里、串联10个沿海省区市；国道219约10000公里；国道331约9200公里；“十五五”建设改造约7400公里、总投资约3700亿元；福清东港特大桥3920米。</w:t>
      </w:r>
    </w:p>
    <w:p>
      <w:pPr>
        <w:pStyle w:val="Compact"/>
        <w:numPr>
          <w:ilvl w:val="0"/>
          <w:numId w:val="1033"/>
        </w:numPr>
      </w:pPr>
      <w:r>
        <w:rPr>
          <w:rFonts w:hint="eastAsia"/>
          <w:b/>
          <w:bCs/>
        </w:rPr>
        <w:t xml:space="preserve">户外运动：</w:t>
      </w:r>
      <w:r>
        <w:t xml:space="preserve"> </w:t>
      </w:r>
      <w:r>
        <w:rPr>
          <w:rFonts w:hint="eastAsia"/>
        </w:rPr>
        <w:t xml:space="preserve">49个高质量目的地；健身步道18.2万个、43.03万公里；冰雪场地2626个；冰雪参与人数3.08亿、消费约2050亿元、增长约9.3%；路跑参与者人均年度支出超1.44万元、增长约7.1%。</w:t>
      </w:r>
    </w:p>
    <w:p>
      <w:pPr>
        <w:pStyle w:val="Compact"/>
        <w:numPr>
          <w:ilvl w:val="0"/>
          <w:numId w:val="1033"/>
        </w:numPr>
      </w:pPr>
      <w:r>
        <w:rPr>
          <w:rFonts w:hint="eastAsia"/>
          <w:b/>
          <w:bCs/>
        </w:rPr>
        <w:t xml:space="preserve">国内快讯：</w:t>
      </w:r>
      <w:r>
        <w:t xml:space="preserve"> </w:t>
      </w:r>
      <w:r>
        <w:rPr>
          <w:rFonts w:hint="eastAsia"/>
        </w:rPr>
        <w:t xml:space="preserve">金融街论坛覆盖40多个国家和地区、400多位嘉宾、21场议题活动、百余项成果；新型储能累计装机超1.53亿千瓦、较“十四五”初期增长50倍；传统产业国家标准687项；陶博会450多家参展商、800多名境外嘉宾；中短剧20余部；降温4—6℃、局地超过8℃、局地阵风9级。</w:t>
      </w:r>
    </w:p>
    <w:p>
      <w:pPr>
        <w:pStyle w:val="Compact"/>
        <w:numPr>
          <w:ilvl w:val="0"/>
          <w:numId w:val="1033"/>
        </w:numPr>
      </w:pPr>
      <w:r>
        <w:rPr>
          <w:rFonts w:hint="eastAsia"/>
          <w:b/>
          <w:bCs/>
        </w:rPr>
        <w:t xml:space="preserve">国际事件：</w:t>
      </w:r>
      <w:r>
        <w:t xml:space="preserve"> </w:t>
      </w:r>
      <w:r>
        <w:rPr>
          <w:rFonts w:hint="eastAsia"/>
        </w:rPr>
        <w:t xml:space="preserve">也门报道伤亡10人死亡、23人受伤，沙特居民区6人受伤；法国近2400人被捕；加拿大基地火灾4人死亡、39人受伤、基地超过600平方公里。</w:t>
      </w:r>
    </w:p>
    <w:bookmarkEnd w:id="47"/>
    <w:bookmarkStart w:id="48" w:name="口径与边界核验"/>
    <w:p>
      <w:pPr>
        <w:pStyle w:val="Heading3"/>
      </w:pPr>
      <w:r>
        <w:t xml:space="preserve">4. </w:t>
      </w:r>
      <w:r>
        <w:rPr>
          <w:rFonts w:hint="eastAsia"/>
        </w:rPr>
        <w:t xml:space="preserve">口径与边界核验</w:t>
      </w:r>
    </w:p>
    <w:p>
      <w:pPr>
        <w:pStyle w:val="Compact"/>
        <w:numPr>
          <w:ilvl w:val="0"/>
          <w:numId w:val="1034"/>
        </w:numPr>
      </w:pPr>
      <w:r>
        <w:rPr>
          <w:rFonts w:hint="eastAsia"/>
        </w:rPr>
        <w:t xml:space="preserve">已保留俄罗斯、乌克兰、胡塞武装、沙特、伊朗、美国媒体及以色列媒体等报道主体，未将冲突方或媒体说法改写为独立核验事实。</w:t>
      </w:r>
    </w:p>
    <w:p>
      <w:pPr>
        <w:pStyle w:val="Compact"/>
        <w:numPr>
          <w:ilvl w:val="0"/>
          <w:numId w:val="1034"/>
        </w:numPr>
      </w:pPr>
      <w:r>
        <w:rPr>
          <w:rFonts w:hint="eastAsia"/>
        </w:rPr>
        <w:t xml:space="preserve">已明确区分头条精神叙事中的既有工程案例与当天新增政策，未将案例集中报道误写成新订单。</w:t>
      </w:r>
    </w:p>
    <w:p>
      <w:pPr>
        <w:pStyle w:val="Compact"/>
        <w:numPr>
          <w:ilvl w:val="0"/>
          <w:numId w:val="1034"/>
        </w:numPr>
      </w:pPr>
      <w:r>
        <w:rPr>
          <w:rFonts w:hint="eastAsia"/>
        </w:rPr>
        <w:t xml:space="preserve">已明确指出金融街论坛底稿未披露具体金融政策内容，未自行补写政策名称或措施。</w:t>
      </w:r>
    </w:p>
    <w:p>
      <w:pPr>
        <w:pStyle w:val="Compact"/>
        <w:numPr>
          <w:ilvl w:val="0"/>
          <w:numId w:val="1034"/>
        </w:numPr>
      </w:pPr>
      <w:r>
        <w:rPr>
          <w:rFonts w:hint="eastAsia"/>
        </w:rPr>
        <w:t xml:space="preserve">已将会谈、规划、装机、参展、试点、标准、消费规模与上市公司订单和利润分开，不作确定性收益承诺。</w:t>
      </w:r>
    </w:p>
    <w:p>
      <w:pPr>
        <w:pStyle w:val="Compact"/>
        <w:numPr>
          <w:ilvl w:val="0"/>
          <w:numId w:val="1034"/>
        </w:numPr>
      </w:pPr>
      <w:r>
        <w:rPr>
          <w:rFonts w:hint="eastAsia"/>
        </w:rPr>
        <w:t xml:space="preserve">全文未列任何个股，未写入底稿未披露的企业名单、订单金额、实时行情、资金流、估值或外部新闻事实。</w:t>
      </w:r>
    </w:p>
    <w:p>
      <w:r>
        <w:pict>
          <v:rect style="width:0;height:1.5pt" o:hralign="center" o:hrstd="t" o:hr="t"/>
        </w:pict>
      </w:r>
    </w:p>
    <w:p>
      <w:pPr>
        <w:pStyle w:val="FirstParagraph"/>
      </w:pPr>
      <w:r>
        <w:rPr>
          <w:rFonts w:hint="eastAsia"/>
          <w:i/>
          <w:iCs/>
        </w:rPr>
        <w:t xml:space="preserve">分析和写稿模型：GPT-5.6</w:t>
      </w:r>
      <w:r>
        <w:rPr>
          <w:i/>
          <w:iCs/>
        </w:rPr>
        <w:t xml:space="preserve"> Sol (openai-codex)</w:t>
      </w:r>
    </w:p>
    <w:bookmarkEnd w:id="48"/>
    <w:bookmarkEnd w:id="49"/>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2026-10-19T12:38:09Z</dcterms:created>
  <dcterms:modified xsi:type="dcterms:W3CDTF">2026-10-19T12:38:09Z</dcterms:modified>
</cp:coreProperties>
</file>

<file path=docProps/custom.xml><?xml version="1.0" encoding="utf-8"?>
<Properties xmlns="http://schemas.openxmlformats.org/officeDocument/2006/custom-properties" xmlns:vt="http://schemas.openxmlformats.org/officeDocument/2006/docPropsVTypes"/>
</file>