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9" w:name="年10月18日新闻联播a股影响深度解读"/>
    <w:p>
      <w:pPr>
        <w:pStyle w:val="Heading1"/>
      </w:pPr>
      <w:r>
        <w:rPr>
          <w:rFonts w:hint="eastAsia"/>
        </w:rPr>
        <w:t xml:space="preserve">2026年10月18日《新闻联播》A股影响深度解读</w:t>
      </w:r>
    </w:p>
    <w:p>
      <w:pPr>
        <w:pStyle w:val="BlockText"/>
      </w:pPr>
      <w:r>
        <w:rPr>
          <w:rFonts w:hint="eastAsia"/>
        </w:rPr>
        <w:t xml:space="preserve">数据边界：本文唯一事实底稿为</w:t>
      </w:r>
      <w:r>
        <w:t xml:space="preserve"> </w:t>
      </w:r>
      <w:r>
        <w:rPr>
          <w:rStyle w:val="VerbatimChar"/>
        </w:rPr>
        <w:t xml:space="preserve">/Users/qiji/.hermes/skills/finance/qiji-morning-know/memory/xinwenlianbo/2026-10-18.md</w:t>
      </w:r>
      <w:r>
        <w:rPr>
          <w:rFonts w:hint="eastAsia"/>
        </w:rPr>
        <w:t xml:space="preserve">。文中“受益”“承压”均为依据底稿政策与事件所作的条件性行业映射，不代表政策已经转化为上市公司订单、利润或资金流，也不构成投资建议。</w:t>
      </w:r>
    </w:p>
    <w:bookmarkStart w:id="9" w:name="一今日联播总评"/>
    <w:p>
      <w:pPr>
        <w:pStyle w:val="Heading2"/>
      </w:pPr>
      <w:r>
        <w:rPr>
          <w:rFonts w:hint="eastAsia"/>
        </w:rPr>
        <w:t xml:space="preserve">一、今日联播总评</w:t>
      </w:r>
    </w:p>
    <w:p>
      <w:pPr>
        <w:pStyle w:val="Compact"/>
        <w:numPr>
          <w:ilvl w:val="0"/>
          <w:numId w:val="1001"/>
        </w:numPr>
      </w:pPr>
      <w:r>
        <w:rPr>
          <w:rFonts w:hint="eastAsia"/>
          <w:b/>
          <w:bCs/>
        </w:rPr>
        <w:t xml:space="preserve">整体基调：国内民生扩容与产业建设偏积极，外部安全风险升温。</w:t>
      </w:r>
      <w:r>
        <w:t xml:space="preserve"> </w:t>
      </w:r>
      <w:r>
        <w:rPr>
          <w:rFonts w:hint="eastAsia"/>
        </w:rPr>
        <w:t xml:space="preserve">头条围绕养老服务扩容提质、城乡三级网络、医养结合与银发经济展开；供热管网改造、铁路系统升级、超长期特别国债、秋粮收储信贷和氢能标准提供更直接的政策与产业线索。国际部分则集中呈现也门、俄乌、约旦河西岸等安全事件以及火灾、疫情风险。</w:t>
      </w:r>
    </w:p>
    <w:p>
      <w:pPr>
        <w:pStyle w:val="Compact"/>
        <w:numPr>
          <w:ilvl w:val="0"/>
          <w:numId w:val="1001"/>
        </w:numPr>
      </w:pPr>
      <w:r>
        <w:rPr>
          <w:rFonts w:hint="eastAsia"/>
          <w:b/>
          <w:bCs/>
        </w:rPr>
        <w:t xml:space="preserve">政策信号强度：中强。</w:t>
      </w:r>
      <w:r>
        <w:t xml:space="preserve"> </w:t>
      </w:r>
      <w:r>
        <w:rPr>
          <w:rFonts w:hint="eastAsia"/>
        </w:rPr>
        <w:t xml:space="preserve">最高信号来自总书记关于养老服务的要求及头条编排；六部门供热三年行动、1.3万亿元超长期特别国债发行完毕、15项氢能国家标准、2000亿元秋粮收购信贷均具有明确的政策、资金或标准载体。</w:t>
      </w:r>
    </w:p>
    <w:p>
      <w:pPr>
        <w:pStyle w:val="Compact"/>
        <w:numPr>
          <w:ilvl w:val="0"/>
          <w:numId w:val="1001"/>
        </w:numPr>
      </w:pPr>
      <w:r>
        <w:rPr>
          <w:rFonts w:hint="eastAsia"/>
          <w:b/>
          <w:bCs/>
        </w:rPr>
        <w:t xml:space="preserve">对A股总体影响：结构性利好。</w:t>
      </w:r>
      <w:r>
        <w:t xml:space="preserve"> </w:t>
      </w:r>
      <w:r>
        <w:rPr>
          <w:rFonts w:hint="eastAsia"/>
        </w:rPr>
        <w:t xml:space="preserve">银发经济、养老服务、康复辅具、供热管网与热力站改造、热电机组升级、氢能全链条装备、铁路信息系统、航天育种、粮食收储和中亚合作方向获得正向映射；地缘冲突、海外设施受损、林火与埃博拉疫情则压制风险偏好并带来能源、物流和公共卫生不确定性。</w:t>
      </w:r>
    </w:p>
    <w:p>
      <w:pPr>
        <w:pStyle w:val="Compact"/>
        <w:numPr>
          <w:ilvl w:val="0"/>
          <w:numId w:val="1001"/>
        </w:numPr>
      </w:pPr>
      <w:r>
        <w:rPr>
          <w:rFonts w:hint="eastAsia"/>
          <w:b/>
          <w:bCs/>
        </w:rPr>
        <w:t xml:space="preserve">一句话结论：</w:t>
      </w:r>
      <w:r>
        <w:t xml:space="preserve"> </w:t>
      </w:r>
      <w:r>
        <w:rPr>
          <w:rFonts w:hint="eastAsia"/>
        </w:rPr>
        <w:t xml:space="preserve">优先跟踪有明确期限、资金或标准的供热改造、积极财政、氢能标准和秋粮收储线，中期观察养老网络、铁路升级、银发消费及中亚合作，所有主题均需以预算、招标、订单、客流和盈利兑现确认。</w:t>
      </w:r>
    </w:p>
    <w:bookmarkEnd w:id="9"/>
    <w:bookmarkStart w:id="10" w:name="二核心政策与市场信号"/>
    <w:p>
      <w:pPr>
        <w:pStyle w:val="Heading2"/>
      </w:pPr>
      <w:r>
        <w:rPr>
          <w:rFonts w:hint="eastAsia"/>
        </w:rPr>
        <w:t xml:space="preserve">二、核心政策与市场信号</w:t>
      </w:r>
    </w:p>
    <w:p>
      <w:pPr>
        <w:pStyle w:val="Compact"/>
        <w:numPr>
          <w:ilvl w:val="0"/>
          <w:numId w:val="1002"/>
        </w:numPr>
      </w:pPr>
      <w:r>
        <w:rPr>
          <w:rFonts w:hint="eastAsia"/>
          <w:b/>
          <w:bCs/>
        </w:rPr>
        <w:t xml:space="preserve">养老服务与银发经济获头条级强化（★★★★★）</w:t>
      </w:r>
      <w:r>
        <w:rPr>
          <w:rFonts w:hint="eastAsia"/>
        </w:rPr>
        <w:t xml:space="preserve">：报道同时给出扩容提质、普惠养老、医养结合、长护险、城乡三级网络、适老化产品和康养旅居等多层次方向，并明确2029年、2035年目标。</w:t>
      </w:r>
    </w:p>
    <w:p>
      <w:pPr>
        <w:pStyle w:val="Compact"/>
        <w:numPr>
          <w:ilvl w:val="0"/>
          <w:numId w:val="1002"/>
        </w:numPr>
      </w:pPr>
      <w:r>
        <w:rPr>
          <w:rFonts w:hint="eastAsia"/>
          <w:b/>
          <w:bCs/>
        </w:rPr>
        <w:t xml:space="preserve">城镇供热“温暖工程”进入三年行动期（★★★★）</w:t>
      </w:r>
      <w:r>
        <w:rPr>
          <w:rFonts w:hint="eastAsia"/>
        </w:rPr>
        <w:t xml:space="preserve">：六部门明确到2028年底前推动存量老化管网改造，运行满20年或存在突出风险的管网、热力站及配套设施纳入计划，并推动热电机组建设投产和改造升级。</w:t>
      </w:r>
    </w:p>
    <w:p>
      <w:pPr>
        <w:pStyle w:val="Compact"/>
        <w:numPr>
          <w:ilvl w:val="0"/>
          <w:numId w:val="1002"/>
        </w:numPr>
      </w:pPr>
      <w:r>
        <w:rPr>
          <w:rFonts w:hint="eastAsia"/>
          <w:b/>
          <w:bCs/>
        </w:rPr>
        <w:t xml:space="preserve">积极财政与促内需资金落地（★★★★）</w:t>
      </w:r>
      <w:r>
        <w:rPr>
          <w:rFonts w:hint="eastAsia"/>
        </w:rPr>
        <w:t xml:space="preserve">：1.3万亿元超长期特别国债发行完毕，投向“两重”“两新”及财政金融协同促内需专项资金，但底稿未给出细分项目和行业分配。</w:t>
      </w:r>
    </w:p>
    <w:p>
      <w:pPr>
        <w:pStyle w:val="Compact"/>
        <w:numPr>
          <w:ilvl w:val="0"/>
          <w:numId w:val="1002"/>
        </w:numPr>
      </w:pPr>
      <w:r>
        <w:rPr>
          <w:rFonts w:hint="eastAsia"/>
          <w:b/>
          <w:bCs/>
        </w:rPr>
        <w:t xml:space="preserve">氢能全链条标准提升产业门槛（★★★★）</w:t>
      </w:r>
      <w:r>
        <w:rPr>
          <w:rFonts w:hint="eastAsia"/>
        </w:rPr>
        <w:t xml:space="preserve">：15项国家标准覆盖制氢、储运、加氢站和氢气安全检测，有利于规范装备和安全体系，也意味着不达标产能面临升级压力。</w:t>
      </w:r>
    </w:p>
    <w:p>
      <w:pPr>
        <w:pStyle w:val="Compact"/>
        <w:numPr>
          <w:ilvl w:val="0"/>
          <w:numId w:val="1002"/>
        </w:numPr>
      </w:pPr>
      <w:r>
        <w:rPr>
          <w:rFonts w:hint="eastAsia"/>
          <w:b/>
          <w:bCs/>
        </w:rPr>
        <w:t xml:space="preserve">中亚合作从外交表态走向多领域文件与项目推进（★★★★）</w:t>
      </w:r>
      <w:r>
        <w:rPr>
          <w:rFonts w:hint="eastAsia"/>
        </w:rPr>
        <w:t xml:space="preserve">：中乌合作覆盖能源资源、人工智能、现代农业、基础设施、金融、中吉乌铁路等方向，并签署经贸、教育、海关、卫生、减贫、电商、气候、媒体等文件。</w:t>
      </w:r>
    </w:p>
    <w:bookmarkEnd w:id="10"/>
    <w:bookmarkStart w:id="21" w:name="三逐条a股影响分析"/>
    <w:p>
      <w:pPr>
        <w:pStyle w:val="Heading2"/>
      </w:pPr>
      <w:r>
        <w:rPr>
          <w:rFonts w:hint="eastAsia"/>
        </w:rPr>
        <w:t xml:space="preserve">三、逐条A股影响分析</w:t>
      </w:r>
    </w:p>
    <w:bookmarkStart w:id="11" w:name="养老服务扩容提质城乡网络医养结合与银发经济形成头条主线"/>
    <w:p>
      <w:pPr>
        <w:pStyle w:val="Heading3"/>
      </w:pPr>
      <w:r>
        <w:t xml:space="preserve">1. </w:t>
      </w:r>
      <w:r>
        <w:rPr>
          <w:rFonts w:hint="eastAsia"/>
        </w:rPr>
        <w:t xml:space="preserve">养老服务扩容提质：城乡网络、医养结合与银发经济形成头条主线</w:t>
      </w:r>
    </w:p>
    <w:p>
      <w:pPr>
        <w:pStyle w:val="Compact"/>
        <w:numPr>
          <w:ilvl w:val="0"/>
          <w:numId w:val="1003"/>
        </w:numPr>
      </w:pPr>
      <w:r>
        <w:rPr>
          <w:rFonts w:hint="eastAsia"/>
          <w:b/>
          <w:bCs/>
        </w:rPr>
        <w:t xml:space="preserve">信号强度：★★★★★</w:t>
      </w:r>
    </w:p>
    <w:p>
      <w:pPr>
        <w:pStyle w:val="Compact"/>
        <w:numPr>
          <w:ilvl w:val="0"/>
          <w:numId w:val="1003"/>
        </w:numPr>
      </w:pPr>
      <w:r>
        <w:rPr>
          <w:rFonts w:hint="eastAsia"/>
          <w:b/>
          <w:bCs/>
        </w:rPr>
        <w:t xml:space="preserve">A股影响：中长期结构性利好，短期需防主题拥挤</w:t>
      </w:r>
    </w:p>
    <w:p>
      <w:pPr>
        <w:pStyle w:val="Compact"/>
        <w:numPr>
          <w:ilvl w:val="0"/>
          <w:numId w:val="1003"/>
        </w:numPr>
      </w:pPr>
      <w:r>
        <w:rPr>
          <w:rFonts w:hint="eastAsia"/>
          <w:b/>
          <w:bCs/>
        </w:rPr>
        <w:t xml:space="preserve">影响时效：短期形成关注；中期1—4周看政策与项目；长期看2029年、2035年目标兑现</w:t>
      </w:r>
    </w:p>
    <w:p>
      <w:pPr>
        <w:pStyle w:val="Compact"/>
        <w:numPr>
          <w:ilvl w:val="0"/>
          <w:numId w:val="1003"/>
        </w:numPr>
      </w:pPr>
      <w:r>
        <w:rPr>
          <w:rFonts w:hint="eastAsia"/>
          <w:b/>
          <w:bCs/>
        </w:rPr>
        <w:t xml:space="preserve">受益映射：</w:t>
      </w:r>
      <w:r>
        <w:t xml:space="preserve"> </w:t>
      </w:r>
      <w:r>
        <w:rPr>
          <w:rFonts w:hint="eastAsia"/>
        </w:rPr>
        <w:t xml:space="preserve">养老服务运营、护理服务、康复设备、适老化改造、社区助餐、医疗信息化、长护险服务、无障碍出行工具、康养旅居。</w:t>
      </w:r>
    </w:p>
    <w:p>
      <w:pPr>
        <w:pStyle w:val="Compact"/>
        <w:numPr>
          <w:ilvl w:val="0"/>
          <w:numId w:val="1003"/>
        </w:numPr>
      </w:pPr>
      <w:r>
        <w:rPr>
          <w:rFonts w:hint="eastAsia"/>
          <w:b/>
          <w:bCs/>
        </w:rPr>
        <w:t xml:space="preserve">约束方向：</w:t>
      </w:r>
      <w:r>
        <w:t xml:space="preserve"> </w:t>
      </w:r>
      <w:r>
        <w:rPr>
          <w:rFonts w:hint="eastAsia"/>
        </w:rPr>
        <w:t xml:space="preserve">服务质量、护理人员供给、支付能力和项目现金流不足的经营主体。</w:t>
      </w:r>
    </w:p>
    <w:p>
      <w:pPr>
        <w:pStyle w:val="FirstParagraph"/>
      </w:pPr>
      <w:r>
        <w:rPr>
          <w:rFonts w:hint="eastAsia"/>
          <w:b/>
          <w:bCs/>
        </w:rPr>
        <w:t xml:space="preserve">原文事实：</w:t>
      </w:r>
      <w:r>
        <w:t xml:space="preserve"> </w:t>
      </w:r>
      <w:r>
        <w:rPr>
          <w:rFonts w:hint="eastAsia"/>
        </w:rPr>
        <w:t xml:space="preserve">报道援引习近平总书记关于养老服务的要求，强调统筹资源、推动扩容提质、发展公办养老机构和普惠型养老服务。北京已建成168家街道（乡镇）区域养老服务中心、1500多个社区养老服务驿站和近3000个老年助餐点；银龄老年公寓配备全科医生，并与三级综合医院结成医联体。</w:t>
      </w:r>
    </w:p>
    <w:p>
      <w:pPr>
        <w:pStyle w:val="BodyText"/>
      </w:pPr>
      <w:r>
        <w:rPr>
          <w:rFonts w:hint="eastAsia"/>
        </w:rPr>
        <w:t xml:space="preserve">截至2025年底，我国60岁及以上老年人超过3.2亿，养老机构和设施达39.6万个，护理型床位占比67.5%，县级公办养老机构基本实现全覆盖。今年发布的管理指引明确，到2029年基本建成县级—乡镇（街道）—村（社区）三级养老服务网络；到2035年，养老服务体系成熟定型。</w:t>
      </w:r>
    </w:p>
    <w:p>
      <w:pPr>
        <w:pStyle w:val="BodyText"/>
      </w:pPr>
      <w:r>
        <w:rPr>
          <w:rFonts w:hint="eastAsia"/>
          <w:b/>
          <w:bCs/>
        </w:rPr>
        <w:t xml:space="preserve">产业解读：</w:t>
      </w:r>
      <w:r>
        <w:t xml:space="preserve"> </w:t>
      </w:r>
      <w:r>
        <w:rPr>
          <w:rFonts w:hint="eastAsia"/>
        </w:rPr>
        <w:t xml:space="preserve">头条信号不是单一养老院概念，而是“公共服务网络+居家社区服务+医养结合+支付支持+产品消费”的组合。广西案例显示长护险基金可承担上门医护费用，社区平台记录900多户签约老人身体情况和服务轨迹；福建则利用闲置校舍、办公楼和空地补农村短板。成都温江区聚集80多家银发经济企业、提供4000多款适老化产品；黄山以门票、食宿、交通优惠推动旅居消费。A股映射应分别核验运营床位、入住率、护理人员、医保或长护险结算、设备订单、复购和现金流，不把人口规模直接等同于企业利润。</w:t>
      </w:r>
    </w:p>
    <w:bookmarkEnd w:id="11"/>
    <w:bookmarkStart w:id="12" w:name="李强同乌兹别克斯坦总理会谈中吉乌铁路与多领域合作进入成果观察期"/>
    <w:p>
      <w:pPr>
        <w:pStyle w:val="Heading3"/>
      </w:pPr>
      <w:r>
        <w:t xml:space="preserve">2. </w:t>
      </w:r>
      <w:r>
        <w:rPr>
          <w:rFonts w:hint="eastAsia"/>
        </w:rPr>
        <w:t xml:space="preserve">李强同乌兹别克斯坦总理会谈：中吉乌铁路与多领域合作进入成果观察期</w:t>
      </w:r>
    </w:p>
    <w:p>
      <w:pPr>
        <w:pStyle w:val="Compact"/>
        <w:numPr>
          <w:ilvl w:val="0"/>
          <w:numId w:val="1004"/>
        </w:numPr>
      </w:pPr>
      <w:r>
        <w:rPr>
          <w:rFonts w:hint="eastAsia"/>
          <w:b/>
          <w:bCs/>
        </w:rPr>
        <w:t xml:space="preserve">信号强度：★★★★</w:t>
      </w:r>
    </w:p>
    <w:p>
      <w:pPr>
        <w:pStyle w:val="Compact"/>
        <w:numPr>
          <w:ilvl w:val="0"/>
          <w:numId w:val="1004"/>
        </w:numPr>
      </w:pPr>
      <w:r>
        <w:rPr>
          <w:rFonts w:hint="eastAsia"/>
          <w:b/>
          <w:bCs/>
        </w:rPr>
        <w:t xml:space="preserve">A股影响：中长期合作预期偏利好，短期取决于项目和合同披露</w:t>
      </w:r>
    </w:p>
    <w:p>
      <w:pPr>
        <w:pStyle w:val="Compact"/>
        <w:numPr>
          <w:ilvl w:val="0"/>
          <w:numId w:val="1004"/>
        </w:numPr>
      </w:pPr>
      <w:r>
        <w:rPr>
          <w:rFonts w:hint="eastAsia"/>
          <w:b/>
          <w:bCs/>
        </w:rPr>
        <w:t xml:space="preserve">影响时效：中期至长期</w:t>
      </w:r>
    </w:p>
    <w:p>
      <w:pPr>
        <w:pStyle w:val="Compact"/>
        <w:numPr>
          <w:ilvl w:val="0"/>
          <w:numId w:val="1004"/>
        </w:numPr>
      </w:pPr>
      <w:r>
        <w:rPr>
          <w:rFonts w:hint="eastAsia"/>
          <w:b/>
          <w:bCs/>
        </w:rPr>
        <w:t xml:space="preserve">受益映射：</w:t>
      </w:r>
      <w:r>
        <w:t xml:space="preserve"> </w:t>
      </w:r>
      <w:r>
        <w:rPr>
          <w:rFonts w:hint="eastAsia"/>
        </w:rPr>
        <w:t xml:space="preserve">中亚跨境铁路与物流、工程装备、能源资源合作、现代农业、人工智能、金融服务、电商和特色商品进口服务。</w:t>
      </w:r>
    </w:p>
    <w:p>
      <w:pPr>
        <w:pStyle w:val="FirstParagraph"/>
      </w:pPr>
      <w:r>
        <w:rPr>
          <w:rFonts w:hint="eastAsia"/>
          <w:b/>
          <w:bCs/>
        </w:rPr>
        <w:t xml:space="preserve">原文事实：</w:t>
      </w:r>
      <w:r>
        <w:t xml:space="preserve"> </w:t>
      </w:r>
      <w:r>
        <w:rPr>
          <w:rFonts w:hint="eastAsia"/>
        </w:rPr>
        <w:t xml:space="preserve">李强表示愿加强发展战略对接，深化能源资源、人工智能、现代农业合作，推进基础设施、金融互联互通，并进口乌方更多优质特色商品。乌方表示将推进中吉乌铁路等“一带一路”项目，深化经贸投资、农业、能矿、海关和金融合作。双方见证签署经贸、教育、海关、卫生、减贫等合作文件；访问期间还签署电商、气候、媒体等文件。</w:t>
      </w:r>
    </w:p>
    <w:p>
      <w:pPr>
        <w:pStyle w:val="BodyText"/>
      </w:pPr>
      <w:r>
        <w:rPr>
          <w:rFonts w:hint="eastAsia"/>
          <w:b/>
          <w:bCs/>
        </w:rPr>
        <w:t xml:space="preserve">分析：</w:t>
      </w:r>
      <w:r>
        <w:t xml:space="preserve"> </w:t>
      </w:r>
      <w:r>
        <w:rPr>
          <w:rFonts w:hint="eastAsia"/>
        </w:rPr>
        <w:t xml:space="preserve">相比单纯礼节性访问，本条给出了合作领域、重点铁路项目和文件成果，信号更实。但底稿没有项目金额、建设进度、融资安排、企业名单或合同规模，不能据此确认上市公司受益。后续应跟踪项目开工、设备采购、跨境运量、结算和回款。</w:t>
      </w:r>
    </w:p>
    <w:bookmarkEnd w:id="12"/>
    <w:bookmarkStart w:id="13" w:name="李强会见乌兹别克斯坦总统战略关系继续巩固"/>
    <w:p>
      <w:pPr>
        <w:pStyle w:val="Heading3"/>
      </w:pPr>
      <w:r>
        <w:t xml:space="preserve">3. </w:t>
      </w:r>
      <w:r>
        <w:rPr>
          <w:rFonts w:hint="eastAsia"/>
        </w:rPr>
        <w:t xml:space="preserve">李强会见乌兹别克斯坦总统：战略关系继续巩固</w:t>
      </w:r>
    </w:p>
    <w:p>
      <w:pPr>
        <w:pStyle w:val="Compact"/>
        <w:numPr>
          <w:ilvl w:val="0"/>
          <w:numId w:val="1005"/>
        </w:numPr>
      </w:pPr>
      <w:r>
        <w:rPr>
          <w:rFonts w:hint="eastAsia"/>
          <w:b/>
          <w:bCs/>
        </w:rPr>
        <w:t xml:space="preserve">信号强度：★★★</w:t>
      </w:r>
    </w:p>
    <w:p>
      <w:pPr>
        <w:pStyle w:val="Compact"/>
        <w:numPr>
          <w:ilvl w:val="0"/>
          <w:numId w:val="1005"/>
        </w:numPr>
      </w:pPr>
      <w:r>
        <w:rPr>
          <w:rFonts w:hint="eastAsia"/>
          <w:b/>
          <w:bCs/>
        </w:rPr>
        <w:t xml:space="preserve">A股影响：外交预期偏正面，新增产业催化有限</w:t>
      </w:r>
    </w:p>
    <w:p>
      <w:pPr>
        <w:pStyle w:val="Compact"/>
        <w:numPr>
          <w:ilvl w:val="0"/>
          <w:numId w:val="1005"/>
        </w:numPr>
      </w:pPr>
      <w:r>
        <w:rPr>
          <w:rFonts w:hint="eastAsia"/>
          <w:b/>
          <w:bCs/>
        </w:rPr>
        <w:t xml:space="preserve">影响时效：中长期</w:t>
      </w:r>
    </w:p>
    <w:p>
      <w:pPr>
        <w:pStyle w:val="Compact"/>
        <w:numPr>
          <w:ilvl w:val="0"/>
          <w:numId w:val="1005"/>
        </w:numPr>
      </w:pPr>
      <w:r>
        <w:rPr>
          <w:rFonts w:hint="eastAsia"/>
          <w:b/>
          <w:bCs/>
        </w:rPr>
        <w:t xml:space="preserve">关联方向：</w:t>
      </w:r>
      <w:r>
        <w:t xml:space="preserve"> </w:t>
      </w:r>
      <w:r>
        <w:rPr>
          <w:rFonts w:hint="eastAsia"/>
        </w:rPr>
        <w:t xml:space="preserve">对乌贸易、能源、互联互通、中国—中亚机制和上合组织合作。</w:t>
      </w:r>
    </w:p>
    <w:p>
      <w:pPr>
        <w:pStyle w:val="FirstParagraph"/>
      </w:pPr>
      <w:r>
        <w:rPr>
          <w:rFonts w:hint="eastAsia"/>
          <w:b/>
          <w:bCs/>
        </w:rPr>
        <w:t xml:space="preserve">原文事实：</w:t>
      </w:r>
      <w:r>
        <w:t xml:space="preserve"> </w:t>
      </w:r>
      <w:r>
        <w:rPr>
          <w:rFonts w:hint="eastAsia"/>
        </w:rPr>
        <w:t xml:space="preserve">双方强调加强战略沟通、支持彼此核心利益，拓展经贸、能源、互联互通等合作；乌方表示恪守一个中国原则，支持四大全球倡议，并推动新时代全天候全面战略伙伴关系发展。</w:t>
      </w:r>
    </w:p>
    <w:p>
      <w:pPr>
        <w:pStyle w:val="BodyText"/>
      </w:pPr>
      <w:r>
        <w:rPr>
          <w:rFonts w:hint="eastAsia"/>
          <w:b/>
          <w:bCs/>
        </w:rPr>
        <w:t xml:space="preserve">分析：</w:t>
      </w:r>
      <w:r>
        <w:t xml:space="preserve"> </w:t>
      </w:r>
      <w:r>
        <w:rPr>
          <w:rFonts w:hint="eastAsia"/>
        </w:rPr>
        <w:t xml:space="preserve">本条提高了前述务实合作的政治确定性，但没有新增协议、金额或产业项目。交易上应避免把关系表述重复计算为新增订单，真正的验证点仍是会谈成果的执行、项目建设和贸易数据。</w:t>
      </w:r>
    </w:p>
    <w:bookmarkEnd w:id="13"/>
    <w:bookmarkStart w:id="14" w:name="李强赴塔吉克斯坦访问并出席上合组织总理会议"/>
    <w:p>
      <w:pPr>
        <w:pStyle w:val="Heading3"/>
      </w:pPr>
      <w:r>
        <w:t xml:space="preserve">4. </w:t>
      </w:r>
      <w:r>
        <w:rPr>
          <w:rFonts w:hint="eastAsia"/>
        </w:rPr>
        <w:t xml:space="preserve">李强赴塔吉克斯坦访问并出席上合组织总理会议</w:t>
      </w:r>
    </w:p>
    <w:p>
      <w:pPr>
        <w:pStyle w:val="Compact"/>
        <w:numPr>
          <w:ilvl w:val="0"/>
          <w:numId w:val="1006"/>
        </w:numPr>
      </w:pPr>
      <w:r>
        <w:rPr>
          <w:rFonts w:hint="eastAsia"/>
          <w:b/>
          <w:bCs/>
        </w:rPr>
        <w:t xml:space="preserve">信号强度：★★★</w:t>
      </w:r>
    </w:p>
    <w:p>
      <w:pPr>
        <w:pStyle w:val="Compact"/>
        <w:numPr>
          <w:ilvl w:val="0"/>
          <w:numId w:val="1006"/>
        </w:numPr>
      </w:pPr>
      <w:r>
        <w:rPr>
          <w:rFonts w:hint="eastAsia"/>
          <w:b/>
          <w:bCs/>
        </w:rPr>
        <w:t xml:space="preserve">A股影响：区域合作中长期偏正面，短期直接催化弱</w:t>
      </w:r>
    </w:p>
    <w:p>
      <w:pPr>
        <w:pStyle w:val="Compact"/>
        <w:numPr>
          <w:ilvl w:val="0"/>
          <w:numId w:val="1006"/>
        </w:numPr>
      </w:pPr>
      <w:r>
        <w:rPr>
          <w:rFonts w:hint="eastAsia"/>
          <w:b/>
          <w:bCs/>
        </w:rPr>
        <w:t xml:space="preserve">影响时效：中长期</w:t>
      </w:r>
    </w:p>
    <w:p>
      <w:pPr>
        <w:pStyle w:val="Compact"/>
        <w:numPr>
          <w:ilvl w:val="0"/>
          <w:numId w:val="1006"/>
        </w:numPr>
      </w:pPr>
      <w:r>
        <w:rPr>
          <w:rFonts w:hint="eastAsia"/>
          <w:b/>
          <w:bCs/>
        </w:rPr>
        <w:t xml:space="preserve">关联方向：</w:t>
      </w:r>
      <w:r>
        <w:t xml:space="preserve"> </w:t>
      </w:r>
      <w:r>
        <w:rPr>
          <w:rFonts w:hint="eastAsia"/>
        </w:rPr>
        <w:t xml:space="preserve">“一带一路”、中亚基础设施、区域物流、工程服务和多边合作。</w:t>
      </w:r>
    </w:p>
    <w:p>
      <w:pPr>
        <w:pStyle w:val="FirstParagraph"/>
      </w:pPr>
      <w:r>
        <w:rPr>
          <w:rFonts w:hint="eastAsia"/>
          <w:b/>
          <w:bCs/>
        </w:rPr>
        <w:t xml:space="preserve">原文事实：</w:t>
      </w:r>
      <w:r>
        <w:t xml:space="preserve"> </w:t>
      </w:r>
      <w:r>
        <w:rPr>
          <w:rFonts w:hint="eastAsia"/>
        </w:rPr>
        <w:t xml:space="preserve">李强抵达杜尚别，对塔吉克斯坦进行正式访问，并将出席上海合作组织成员国政府首脑理事会第二十五次会议。中方表示愿加强互利合作、共促发展繁荣，并同上合组织各方落实比什凯克峰会成果。</w:t>
      </w:r>
    </w:p>
    <w:p>
      <w:pPr>
        <w:pStyle w:val="BodyText"/>
      </w:pPr>
      <w:r>
        <w:rPr>
          <w:rFonts w:hint="eastAsia"/>
          <w:b/>
          <w:bCs/>
        </w:rPr>
        <w:t xml:space="preserve">分析：</w:t>
      </w:r>
      <w:r>
        <w:t xml:space="preserve"> </w:t>
      </w:r>
      <w:r>
        <w:rPr>
          <w:rFonts w:hint="eastAsia"/>
        </w:rPr>
        <w:t xml:space="preserve">该条是访问与会议预告，底稿未披露新项目、合作文件或金额，产业映射只能作为观察线索。后续若出现联合文件、项目清单和融资安排，才可提高受益确定性。</w:t>
      </w:r>
    </w:p>
    <w:bookmarkEnd w:id="14"/>
    <w:bookmarkStart w:id="15" w:name="甘肃十五五产业规划先进制造新能源外送与寒旱农业并进"/>
    <w:p>
      <w:pPr>
        <w:pStyle w:val="Heading3"/>
      </w:pPr>
      <w:r>
        <w:t xml:space="preserve">5. </w:t>
      </w:r>
      <w:r>
        <w:rPr>
          <w:rFonts w:hint="eastAsia"/>
        </w:rPr>
        <w:t xml:space="preserve">甘肃“十五五”产业规划：先进制造、新能源外送与寒旱农业并进</w:t>
      </w:r>
    </w:p>
    <w:p>
      <w:pPr>
        <w:pStyle w:val="Compact"/>
        <w:numPr>
          <w:ilvl w:val="0"/>
          <w:numId w:val="1007"/>
        </w:numPr>
      </w:pPr>
      <w:r>
        <w:rPr>
          <w:rFonts w:hint="eastAsia"/>
          <w:b/>
          <w:bCs/>
        </w:rPr>
        <w:t xml:space="preserve">信号强度：★★★★</w:t>
      </w:r>
    </w:p>
    <w:p>
      <w:pPr>
        <w:pStyle w:val="Compact"/>
        <w:numPr>
          <w:ilvl w:val="0"/>
          <w:numId w:val="1007"/>
        </w:numPr>
      </w:pPr>
      <w:r>
        <w:rPr>
          <w:rFonts w:hint="eastAsia"/>
          <w:b/>
          <w:bCs/>
        </w:rPr>
        <w:t xml:space="preserve">A股影响：区域先进制造、新能源通道和特色农业中长期偏利好</w:t>
      </w:r>
    </w:p>
    <w:p>
      <w:pPr>
        <w:pStyle w:val="Compact"/>
        <w:numPr>
          <w:ilvl w:val="0"/>
          <w:numId w:val="1007"/>
        </w:numPr>
      </w:pPr>
      <w:r>
        <w:rPr>
          <w:rFonts w:hint="eastAsia"/>
          <w:b/>
          <w:bCs/>
        </w:rPr>
        <w:t xml:space="preserve">影响时效：中长期</w:t>
      </w:r>
    </w:p>
    <w:p>
      <w:pPr>
        <w:pStyle w:val="Compact"/>
        <w:numPr>
          <w:ilvl w:val="0"/>
          <w:numId w:val="1007"/>
        </w:numPr>
      </w:pPr>
      <w:r>
        <w:rPr>
          <w:rFonts w:hint="eastAsia"/>
          <w:b/>
          <w:bCs/>
        </w:rPr>
        <w:t xml:space="preserve">受益映射：</w:t>
      </w:r>
      <w:r>
        <w:t xml:space="preserve"> </w:t>
      </w:r>
      <w:r>
        <w:rPr>
          <w:rFonts w:hint="eastAsia"/>
        </w:rPr>
        <w:t xml:space="preserve">先进制造、电网与输电设备、新能源开发、现代寒旱农业、节水工程、红色研学和区域文旅。</w:t>
      </w:r>
    </w:p>
    <w:p>
      <w:pPr>
        <w:pStyle w:val="FirstParagraph"/>
      </w:pPr>
      <w:r>
        <w:rPr>
          <w:rFonts w:hint="eastAsia"/>
          <w:b/>
          <w:bCs/>
        </w:rPr>
        <w:t xml:space="preserve">原文事实：</w:t>
      </w:r>
      <w:r>
        <w:t xml:space="preserve"> </w:t>
      </w:r>
      <w:r>
        <w:rPr>
          <w:rFonts w:hint="eastAsia"/>
        </w:rPr>
        <w:t xml:space="preserve">引洮工程已稳定供水，覆盖沿线近600万群众；会宁约11公里红色研学线路串联多个景点，今年以来接待游客超过800万人次，同比增长9%。“十五五”时期，甘肃将打造4个国家先进制造业集群、6个千亿级产业集群，实施“新能源+”十大行动，建设“陇电入鄂”“陇电入赣”两条新能源外送通道，并力争到2030年使牛、羊、菜、果等八大产业集群产值达到8000亿元以上。</w:t>
      </w:r>
    </w:p>
    <w:p>
      <w:pPr>
        <w:pStyle w:val="BodyText"/>
      </w:pPr>
      <w:r>
        <w:rPr>
          <w:rFonts w:hint="eastAsia"/>
          <w:b/>
          <w:bCs/>
        </w:rPr>
        <w:t xml:space="preserve">分析：</w:t>
      </w:r>
      <w:r>
        <w:t xml:space="preserve"> </w:t>
      </w:r>
      <w:r>
        <w:rPr>
          <w:rFonts w:hint="eastAsia"/>
        </w:rPr>
        <w:t xml:space="preserve">本条同时包含明确的产业数量、外送通道和农业产值目标，方向性强于一般地方宣传。兑现仍需看规划细则、核准、资本金、招标、送受端消纳和产业项目落地；游客数量与产业目标也不能直接等同于上市公司收入。</w:t>
      </w:r>
    </w:p>
    <w:bookmarkEnd w:id="15"/>
    <w:bookmarkStart w:id="16" w:name="项全国性跨地区社保服务公共服务数字化继续推进"/>
    <w:p>
      <w:pPr>
        <w:pStyle w:val="Heading3"/>
      </w:pPr>
      <w:r>
        <w:t xml:space="preserve">6. </w:t>
      </w:r>
      <w:r>
        <w:rPr>
          <w:rFonts w:hint="eastAsia"/>
        </w:rPr>
        <w:t xml:space="preserve">104项全国性跨地区社保服务：公共服务数字化继续推进</w:t>
      </w:r>
    </w:p>
    <w:p>
      <w:pPr>
        <w:pStyle w:val="Compact"/>
        <w:numPr>
          <w:ilvl w:val="0"/>
          <w:numId w:val="1008"/>
        </w:numPr>
      </w:pPr>
      <w:r>
        <w:rPr>
          <w:rFonts w:hint="eastAsia"/>
          <w:b/>
          <w:bCs/>
        </w:rPr>
        <w:t xml:space="preserve">信号强度：★★★</w:t>
      </w:r>
    </w:p>
    <w:p>
      <w:pPr>
        <w:pStyle w:val="Compact"/>
        <w:numPr>
          <w:ilvl w:val="0"/>
          <w:numId w:val="1008"/>
        </w:numPr>
      </w:pPr>
      <w:r>
        <w:rPr>
          <w:rFonts w:hint="eastAsia"/>
          <w:b/>
          <w:bCs/>
        </w:rPr>
        <w:t xml:space="preserve">A股影响：政务信息化和人力资源数字服务长期偏利好，短线催化有限</w:t>
      </w:r>
    </w:p>
    <w:p>
      <w:pPr>
        <w:pStyle w:val="Compact"/>
        <w:numPr>
          <w:ilvl w:val="0"/>
          <w:numId w:val="1008"/>
        </w:numPr>
      </w:pPr>
      <w:r>
        <w:rPr>
          <w:rFonts w:hint="eastAsia"/>
          <w:b/>
          <w:bCs/>
        </w:rPr>
        <w:t xml:space="preserve">影响时效：中长期</w:t>
      </w:r>
    </w:p>
    <w:p>
      <w:pPr>
        <w:pStyle w:val="Compact"/>
        <w:numPr>
          <w:ilvl w:val="0"/>
          <w:numId w:val="1008"/>
        </w:numPr>
      </w:pPr>
      <w:r>
        <w:rPr>
          <w:rFonts w:hint="eastAsia"/>
          <w:b/>
          <w:bCs/>
        </w:rPr>
        <w:t xml:space="preserve">受益映射：</w:t>
      </w:r>
      <w:r>
        <w:t xml:space="preserve"> </w:t>
      </w:r>
      <w:r>
        <w:rPr>
          <w:rFonts w:hint="eastAsia"/>
        </w:rPr>
        <w:t xml:space="preserve">社保信息系统、政务云、数据互联、企业人力资源系统、身份认证与安全运维。</w:t>
      </w:r>
    </w:p>
    <w:p>
      <w:pPr>
        <w:pStyle w:val="FirstParagraph"/>
      </w:pPr>
      <w:r>
        <w:rPr>
          <w:rFonts w:hint="eastAsia"/>
          <w:b/>
          <w:bCs/>
        </w:rPr>
        <w:t xml:space="preserve">原文事实：</w:t>
      </w:r>
      <w:r>
        <w:t xml:space="preserve"> </w:t>
      </w:r>
      <w:r>
        <w:rPr>
          <w:rFonts w:hint="eastAsia"/>
        </w:rPr>
        <w:t xml:space="preserve">国家社保公共服务平台已开通104项全国性跨地区服务，累计服务113.53亿人次，全国社保业务线上办理量超过80%。青岛打通企业人力系统与社保经办系统，并联办医保、公积金；秦皇岛完成与全国所有省份社保系统对接，养老关系转移由至少两周压缩至5个工作日内，最快当天完成。京津冀今年新增9项跨省通办业务，通办事项达到42项。</w:t>
      </w:r>
    </w:p>
    <w:p>
      <w:pPr>
        <w:pStyle w:val="BodyText"/>
      </w:pPr>
      <w:r>
        <w:rPr>
          <w:rFonts w:hint="eastAsia"/>
          <w:b/>
          <w:bCs/>
        </w:rPr>
        <w:t xml:space="preserve">分析：</w:t>
      </w:r>
      <w:r>
        <w:t xml:space="preserve"> </w:t>
      </w:r>
      <w:r>
        <w:rPr>
          <w:rFonts w:hint="eastAsia"/>
        </w:rPr>
        <w:t xml:space="preserve">数据表明跨地区、跨部门的数据协同已经形成规模，利好系统改造、接口互联和长期运维需求。但本条没有新增采购金额或供应商信息，不能把办理量直接映射为软件企业收入。</w:t>
      </w:r>
    </w:p>
    <w:bookmarkEnd w:id="16"/>
    <w:bookmarkStart w:id="17" w:name="城镇供热温暖工程三年行动老化管网热力站与热电机组升级"/>
    <w:p>
      <w:pPr>
        <w:pStyle w:val="Heading3"/>
      </w:pPr>
      <w:r>
        <w:t xml:space="preserve">7. </w:t>
      </w:r>
      <w:r>
        <w:rPr>
          <w:rFonts w:hint="eastAsia"/>
        </w:rPr>
        <w:t xml:space="preserve">城镇供热“温暖工程”三年行动：老化管网、热力站与热电机组升级</w:t>
      </w:r>
    </w:p>
    <w:p>
      <w:pPr>
        <w:pStyle w:val="Compact"/>
        <w:numPr>
          <w:ilvl w:val="0"/>
          <w:numId w:val="1009"/>
        </w:numPr>
      </w:pPr>
      <w:r>
        <w:rPr>
          <w:rFonts w:hint="eastAsia"/>
          <w:b/>
          <w:bCs/>
        </w:rPr>
        <w:t xml:space="preserve">信号强度：★★★★</w:t>
      </w:r>
    </w:p>
    <w:p>
      <w:pPr>
        <w:pStyle w:val="Compact"/>
        <w:numPr>
          <w:ilvl w:val="0"/>
          <w:numId w:val="1009"/>
        </w:numPr>
      </w:pPr>
      <w:r>
        <w:rPr>
          <w:rFonts w:hint="eastAsia"/>
          <w:b/>
          <w:bCs/>
        </w:rPr>
        <w:t xml:space="preserve">A股影响：供热基础设施、设备更新和智慧运维方向中期偏利好</w:t>
      </w:r>
    </w:p>
    <w:p>
      <w:pPr>
        <w:pStyle w:val="Compact"/>
        <w:numPr>
          <w:ilvl w:val="0"/>
          <w:numId w:val="1009"/>
        </w:numPr>
      </w:pPr>
      <w:r>
        <w:rPr>
          <w:rFonts w:hint="eastAsia"/>
          <w:b/>
          <w:bCs/>
        </w:rPr>
        <w:t xml:space="preserve">影响时效：短期形成政策催化；中期看2028年底前投资和招标</w:t>
      </w:r>
    </w:p>
    <w:p>
      <w:pPr>
        <w:pStyle w:val="Compact"/>
        <w:numPr>
          <w:ilvl w:val="0"/>
          <w:numId w:val="1009"/>
        </w:numPr>
      </w:pPr>
      <w:r>
        <w:rPr>
          <w:rFonts w:hint="eastAsia"/>
          <w:b/>
          <w:bCs/>
        </w:rPr>
        <w:t xml:space="preserve">受益映射：</w:t>
      </w:r>
      <w:r>
        <w:t xml:space="preserve"> </w:t>
      </w:r>
      <w:r>
        <w:rPr>
          <w:rFonts w:hint="eastAsia"/>
        </w:rPr>
        <w:t xml:space="preserve">供热管材、泵阀、换热设备、热力站改造、管网检测、自动控制、热电机组升级和供暖服务。</w:t>
      </w:r>
    </w:p>
    <w:p>
      <w:pPr>
        <w:pStyle w:val="FirstParagraph"/>
      </w:pPr>
      <w:r>
        <w:rPr>
          <w:rFonts w:hint="eastAsia"/>
          <w:b/>
          <w:bCs/>
        </w:rPr>
        <w:t xml:space="preserve">原文事实：</w:t>
      </w:r>
      <w:r>
        <w:t xml:space="preserve"> </w:t>
      </w:r>
      <w:r>
        <w:rPr>
          <w:rFonts w:hint="eastAsia"/>
        </w:rPr>
        <w:t xml:space="preserve">住房城乡建设部、国家发展改革委等六部门联合印发三年行动方案，明确到2028年底前，存量供热老化管网更新改造取得明显进展。运行年限满20年或存在突出风险隐患的供热管网、热力站及配套设施将纳入计划；鼓励优化改造单个供热系统供热面积大于5万平方米的热力站，并推动热电机组建设投产和改造升级。</w:t>
      </w:r>
    </w:p>
    <w:p>
      <w:pPr>
        <w:pStyle w:val="BodyText"/>
      </w:pPr>
      <w:r>
        <w:rPr>
          <w:rFonts w:hint="eastAsia"/>
          <w:b/>
          <w:bCs/>
        </w:rPr>
        <w:t xml:space="preserve">分析：</w:t>
      </w:r>
      <w:r>
        <w:t xml:space="preserve"> </w:t>
      </w:r>
      <w:r>
        <w:rPr>
          <w:rFonts w:hint="eastAsia"/>
        </w:rPr>
        <w:t xml:space="preserve">明确期限、设备范围和改造条件提高了产业可跟踪性，但底稿没有全国投资总额、年度任务或地区清单。设备端受益要看地方财政和企业资本开支、招标、项目回款与节能效果；热电机组建设也涉及燃料价格和运营成本，不能只看建设需求。</w:t>
      </w:r>
    </w:p>
    <w:bookmarkEnd w:id="17"/>
    <w:bookmarkStart w:id="18" w:name="全国铁路车次编排改革运力标识与信息系统同步升级"/>
    <w:p>
      <w:pPr>
        <w:pStyle w:val="Heading3"/>
      </w:pPr>
      <w:r>
        <w:t xml:space="preserve">8. </w:t>
      </w:r>
      <w:r>
        <w:rPr>
          <w:rFonts w:hint="eastAsia"/>
        </w:rPr>
        <w:t xml:space="preserve">全国铁路车次编排改革：运力标识与信息系统同步升级</w:t>
      </w:r>
    </w:p>
    <w:p>
      <w:pPr>
        <w:pStyle w:val="Compact"/>
        <w:numPr>
          <w:ilvl w:val="0"/>
          <w:numId w:val="1010"/>
        </w:numPr>
      </w:pPr>
      <w:r>
        <w:rPr>
          <w:rFonts w:hint="eastAsia"/>
          <w:b/>
          <w:bCs/>
        </w:rPr>
        <w:t xml:space="preserve">信号强度：★★★</w:t>
      </w:r>
    </w:p>
    <w:p>
      <w:pPr>
        <w:pStyle w:val="Compact"/>
        <w:numPr>
          <w:ilvl w:val="0"/>
          <w:numId w:val="1010"/>
        </w:numPr>
      </w:pPr>
      <w:r>
        <w:rPr>
          <w:rFonts w:hint="eastAsia"/>
          <w:b/>
          <w:bCs/>
        </w:rPr>
        <w:t xml:space="preserve">A股影响：铁路信息系统和运营效率方向偏利好，设备增量需进一步确认</w:t>
      </w:r>
    </w:p>
    <w:p>
      <w:pPr>
        <w:pStyle w:val="Compact"/>
        <w:numPr>
          <w:ilvl w:val="0"/>
          <w:numId w:val="1010"/>
        </w:numPr>
      </w:pPr>
      <w:r>
        <w:rPr>
          <w:rFonts w:hint="eastAsia"/>
          <w:b/>
          <w:bCs/>
        </w:rPr>
        <w:t xml:space="preserve">影响时效：短期系统升级；长期看路网和新装备投用</w:t>
      </w:r>
    </w:p>
    <w:p>
      <w:pPr>
        <w:pStyle w:val="Compact"/>
        <w:numPr>
          <w:ilvl w:val="0"/>
          <w:numId w:val="1010"/>
        </w:numPr>
      </w:pPr>
      <w:r>
        <w:rPr>
          <w:rFonts w:hint="eastAsia"/>
          <w:b/>
          <w:bCs/>
        </w:rPr>
        <w:t xml:space="preserve">受益映射：</w:t>
      </w:r>
      <w:r>
        <w:t xml:space="preserve"> </w:t>
      </w:r>
      <w:r>
        <w:rPr>
          <w:rFonts w:hint="eastAsia"/>
        </w:rPr>
        <w:t xml:space="preserve">铁路信号软件、票务与货运信息系统、调度系统、列控与运维服务。</w:t>
      </w:r>
    </w:p>
    <w:p>
      <w:pPr>
        <w:pStyle w:val="FirstParagraph"/>
      </w:pPr>
      <w:r>
        <w:rPr>
          <w:rFonts w:hint="eastAsia"/>
          <w:b/>
          <w:bCs/>
        </w:rPr>
        <w:t xml:space="preserve">原文事实：</w:t>
      </w:r>
      <w:r>
        <w:t xml:space="preserve"> </w:t>
      </w:r>
      <w:r>
        <w:rPr>
          <w:rFonts w:hint="eastAsia"/>
        </w:rPr>
        <w:t xml:space="preserve">新版规定将动车组旅客列车字头由4个增至7个，可编排车次数量增长近40%；新增X字头用于未来最高运行时速350公里以上的复兴号动车组列车。车次变更将在11月下旬、12月下旬分两批进行，12306和95306将在预售、预订期内同步更新，相关规章、信号软件和信息系统升级正在推进。</w:t>
      </w:r>
    </w:p>
    <w:p>
      <w:pPr>
        <w:pStyle w:val="BodyText"/>
      </w:pPr>
      <w:r>
        <w:rPr>
          <w:rFonts w:hint="eastAsia"/>
          <w:b/>
          <w:bCs/>
        </w:rPr>
        <w:t xml:space="preserve">分析：</w:t>
      </w:r>
      <w:r>
        <w:t xml:space="preserve"> </w:t>
      </w:r>
      <w:r>
        <w:rPr>
          <w:rFonts w:hint="eastAsia"/>
        </w:rPr>
        <w:t xml:space="preserve">本条明确指向软件、信息系统和运营规则改造，但“可编排数量增长”不等于实际列车或设备采购同步增长。应区分存量系统升级与新增车辆、线路投资，后者仍需订单和资本开支确认。</w:t>
      </w:r>
    </w:p>
    <w:bookmarkEnd w:id="18"/>
    <w:bookmarkStart w:id="19" w:name="首次太空培育两代水稻取得突破空间生命科学与育种研究深化"/>
    <w:p>
      <w:pPr>
        <w:pStyle w:val="Heading3"/>
      </w:pPr>
      <w:r>
        <w:t xml:space="preserve">9. </w:t>
      </w:r>
      <w:r>
        <w:rPr>
          <w:rFonts w:hint="eastAsia"/>
        </w:rPr>
        <w:t xml:space="preserve">首次太空培育两代水稻取得突破：空间生命科学与育种研究深化</w:t>
      </w:r>
    </w:p>
    <w:p>
      <w:pPr>
        <w:pStyle w:val="Compact"/>
        <w:numPr>
          <w:ilvl w:val="0"/>
          <w:numId w:val="1011"/>
        </w:numPr>
      </w:pPr>
      <w:r>
        <w:rPr>
          <w:rFonts w:hint="eastAsia"/>
          <w:b/>
          <w:bCs/>
        </w:rPr>
        <w:t xml:space="preserve">信号强度：★★★</w:t>
      </w:r>
    </w:p>
    <w:p>
      <w:pPr>
        <w:pStyle w:val="Compact"/>
        <w:numPr>
          <w:ilvl w:val="0"/>
          <w:numId w:val="1011"/>
        </w:numPr>
      </w:pPr>
      <w:r>
        <w:rPr>
          <w:rFonts w:hint="eastAsia"/>
          <w:b/>
          <w:bCs/>
        </w:rPr>
        <w:t xml:space="preserve">A股影响：航天育种和空间生命科学长期偏利好，短期商业化有限</w:t>
      </w:r>
    </w:p>
    <w:p>
      <w:pPr>
        <w:pStyle w:val="Compact"/>
        <w:numPr>
          <w:ilvl w:val="0"/>
          <w:numId w:val="1011"/>
        </w:numPr>
      </w:pPr>
      <w:r>
        <w:rPr>
          <w:rFonts w:hint="eastAsia"/>
          <w:b/>
          <w:bCs/>
        </w:rPr>
        <w:t xml:space="preserve">影响时效：长期</w:t>
      </w:r>
    </w:p>
    <w:p>
      <w:pPr>
        <w:pStyle w:val="Compact"/>
        <w:numPr>
          <w:ilvl w:val="0"/>
          <w:numId w:val="1011"/>
        </w:numPr>
      </w:pPr>
      <w:r>
        <w:rPr>
          <w:rFonts w:hint="eastAsia"/>
          <w:b/>
          <w:bCs/>
        </w:rPr>
        <w:t xml:space="preserve">关联方向：</w:t>
      </w:r>
      <w:r>
        <w:t xml:space="preserve"> </w:t>
      </w:r>
      <w:r>
        <w:rPr>
          <w:rFonts w:hint="eastAsia"/>
        </w:rPr>
        <w:t xml:space="preserve">航天育种、种业研发、空间实验设备、生命科学检测和载人航天科研服务。</w:t>
      </w:r>
    </w:p>
    <w:p>
      <w:pPr>
        <w:pStyle w:val="FirstParagraph"/>
      </w:pPr>
      <w:r>
        <w:rPr>
          <w:rFonts w:hint="eastAsia"/>
          <w:b/>
          <w:bCs/>
        </w:rPr>
        <w:t xml:space="preserve">原文事实：</w:t>
      </w:r>
      <w:r>
        <w:t xml:space="preserve"> </w:t>
      </w:r>
      <w:r>
        <w:rPr>
          <w:rFonts w:hint="eastAsia"/>
        </w:rPr>
        <w:t xml:space="preserve">神舟二十三号航天员在轨超过4个月，完成新一批水稻实验样品采集、存储，并播种部分收获的“太空种子”。实验设置4个单元、每个单元6粒种子，对比有性繁殖和营养繁殖在空间环境下的适应性；样品将随返回舱下行，进行表型和分子层面分析，以研究长期微重力对遗传稳定性的作用机制。</w:t>
      </w:r>
    </w:p>
    <w:p>
      <w:pPr>
        <w:pStyle w:val="BodyText"/>
      </w:pPr>
      <w:r>
        <w:rPr>
          <w:rFonts w:hint="eastAsia"/>
          <w:b/>
          <w:bCs/>
        </w:rPr>
        <w:t xml:space="preserve">分析：</w:t>
      </w:r>
      <w:r>
        <w:t xml:space="preserve"> </w:t>
      </w:r>
      <w:r>
        <w:rPr>
          <w:rFonts w:hint="eastAsia"/>
        </w:rPr>
        <w:t xml:space="preserve">这是科研突破和长期战略储备，面向未来地外粮食原位生产，不是当期农业产能扩张或商业订单。A股映射应以新品种审定、地面验证、科研合同和设备采购为准，不能把实验进展直接等同于种业利润。</w:t>
      </w:r>
    </w:p>
    <w:bookmarkEnd w:id="19"/>
    <w:bookmarkStart w:id="20" w:name="第五届亚残运会开幕体育与无障碍主题关注度提升"/>
    <w:p>
      <w:pPr>
        <w:pStyle w:val="Heading3"/>
      </w:pPr>
      <w:r>
        <w:t xml:space="preserve">10. </w:t>
      </w:r>
      <w:r>
        <w:rPr>
          <w:rFonts w:hint="eastAsia"/>
        </w:rPr>
        <w:t xml:space="preserve">第五届亚残运会开幕：体育与无障碍主题关注度提升</w:t>
      </w:r>
    </w:p>
    <w:p>
      <w:pPr>
        <w:pStyle w:val="Compact"/>
        <w:numPr>
          <w:ilvl w:val="0"/>
          <w:numId w:val="1012"/>
        </w:numPr>
      </w:pPr>
      <w:r>
        <w:rPr>
          <w:rFonts w:hint="eastAsia"/>
          <w:b/>
          <w:bCs/>
        </w:rPr>
        <w:t xml:space="preserve">信号强度：★★</w:t>
      </w:r>
    </w:p>
    <w:p>
      <w:pPr>
        <w:pStyle w:val="Compact"/>
        <w:numPr>
          <w:ilvl w:val="0"/>
          <w:numId w:val="1012"/>
        </w:numPr>
      </w:pPr>
      <w:r>
        <w:rPr>
          <w:rFonts w:hint="eastAsia"/>
          <w:b/>
          <w:bCs/>
        </w:rPr>
        <w:t xml:space="preserve">A股影响：直接产业催化较弱，关联体育服务与无障碍产品</w:t>
      </w:r>
    </w:p>
    <w:p>
      <w:pPr>
        <w:pStyle w:val="Compact"/>
        <w:numPr>
          <w:ilvl w:val="0"/>
          <w:numId w:val="1012"/>
        </w:numPr>
      </w:pPr>
      <w:r>
        <w:rPr>
          <w:rFonts w:hint="eastAsia"/>
          <w:b/>
          <w:bCs/>
        </w:rPr>
        <w:t xml:space="preserve">影响时效：短期赛事关注、长期社会价值</w:t>
      </w:r>
    </w:p>
    <w:p>
      <w:pPr>
        <w:pStyle w:val="Compact"/>
        <w:numPr>
          <w:ilvl w:val="0"/>
          <w:numId w:val="1012"/>
        </w:numPr>
      </w:pPr>
      <w:r>
        <w:rPr>
          <w:rFonts w:hint="eastAsia"/>
          <w:b/>
          <w:bCs/>
        </w:rPr>
        <w:t xml:space="preserve">关联方向：</w:t>
      </w:r>
      <w:r>
        <w:t xml:space="preserve"> </w:t>
      </w:r>
      <w:r>
        <w:rPr>
          <w:rFonts w:hint="eastAsia"/>
        </w:rPr>
        <w:t xml:space="preserve">体育赛事服务、康复训练、残障辅助器具和无障碍设施。</w:t>
      </w:r>
    </w:p>
    <w:p>
      <w:pPr>
        <w:pStyle w:val="FirstParagraph"/>
      </w:pPr>
      <w:r>
        <w:rPr>
          <w:rFonts w:hint="eastAsia"/>
          <w:b/>
          <w:bCs/>
        </w:rPr>
        <w:t xml:space="preserve">原文事实：</w:t>
      </w:r>
      <w:r>
        <w:t xml:space="preserve"> </w:t>
      </w:r>
      <w:r>
        <w:rPr>
          <w:rFonts w:hint="eastAsia"/>
        </w:rPr>
        <w:t xml:space="preserve">中国体育代表团派出312名运动员，参加17个大项、335个小项；赛事共设18个大项、502个小项，亚洲45个国家和地区3000多名运动员参赛。</w:t>
      </w:r>
    </w:p>
    <w:p>
      <w:pPr>
        <w:pStyle w:val="BodyText"/>
      </w:pPr>
      <w:r>
        <w:rPr>
          <w:rFonts w:hint="eastAsia"/>
          <w:b/>
          <w:bCs/>
        </w:rPr>
        <w:t xml:space="preserve">分析：</w:t>
      </w:r>
      <w:r>
        <w:t xml:space="preserve"> </w:t>
      </w:r>
      <w:r>
        <w:rPr>
          <w:rFonts w:hint="eastAsia"/>
        </w:rPr>
        <w:t xml:space="preserve">本条主要是体育赛事和社会文化报道，没有采购、赞助、转播或消费数据。除非后续出现明确商业合作和销售数据，否则不宜作为短线体育概念的确定性催化。</w:t>
      </w:r>
    </w:p>
    <w:bookmarkEnd w:id="20"/>
    <w:bookmarkEnd w:id="21"/>
    <w:bookmarkStart w:id="33" w:name="四国内联播快讯逐项分析"/>
    <w:p>
      <w:pPr>
        <w:pStyle w:val="Heading2"/>
      </w:pPr>
      <w:r>
        <w:rPr>
          <w:rFonts w:hint="eastAsia"/>
        </w:rPr>
        <w:t xml:space="preserve">四、国内联播快讯逐项分析</w:t>
      </w:r>
    </w:p>
    <w:bookmarkStart w:id="22" w:name="万亿元超长期特别国债发行完毕"/>
    <w:p>
      <w:pPr>
        <w:pStyle w:val="Heading3"/>
      </w:pPr>
      <w:r>
        <w:t xml:space="preserve">11.1 </w:t>
      </w:r>
      <w:r>
        <w:rPr>
          <w:rFonts w:hint="eastAsia"/>
        </w:rPr>
        <w:t xml:space="preserve">1.3万亿元超长期特别国债发行完毕</w:t>
      </w:r>
    </w:p>
    <w:p>
      <w:pPr>
        <w:pStyle w:val="Compact"/>
        <w:numPr>
          <w:ilvl w:val="0"/>
          <w:numId w:val="1013"/>
        </w:numPr>
      </w:pPr>
      <w:r>
        <w:rPr>
          <w:rFonts w:hint="eastAsia"/>
          <w:b/>
          <w:bCs/>
        </w:rPr>
        <w:t xml:space="preserve">信号强度：★★★★</w:t>
      </w:r>
    </w:p>
    <w:p>
      <w:pPr>
        <w:pStyle w:val="Compact"/>
        <w:numPr>
          <w:ilvl w:val="0"/>
          <w:numId w:val="1013"/>
        </w:numPr>
      </w:pPr>
      <w:r>
        <w:rPr>
          <w:rFonts w:hint="eastAsia"/>
          <w:b/>
          <w:bCs/>
        </w:rPr>
        <w:t xml:space="preserve">A股影响：积极财政预期偏利好“两重”“两新”和促内需方向</w:t>
      </w:r>
    </w:p>
    <w:p>
      <w:pPr>
        <w:pStyle w:val="Compact"/>
        <w:numPr>
          <w:ilvl w:val="0"/>
          <w:numId w:val="1013"/>
        </w:numPr>
      </w:pPr>
      <w:r>
        <w:rPr>
          <w:rFonts w:hint="eastAsia"/>
          <w:b/>
          <w:bCs/>
        </w:rPr>
        <w:t xml:space="preserve">关联方向：</w:t>
      </w:r>
      <w:r>
        <w:t xml:space="preserve"> </w:t>
      </w:r>
      <w:r>
        <w:rPr>
          <w:rFonts w:hint="eastAsia"/>
        </w:rPr>
        <w:t xml:space="preserve">重大工程、设备更新、消费品以旧换新、财政金融协同促内需。</w:t>
      </w:r>
    </w:p>
    <w:p>
      <w:pPr>
        <w:pStyle w:val="FirstParagraph"/>
      </w:pPr>
      <w:r>
        <w:rPr>
          <w:rFonts w:hint="eastAsia"/>
        </w:rPr>
        <w:t xml:space="preserve">底稿明确今年1.3万亿元超长期特别国债已发行完毕，主要支持“两重”“两新”并设立财政金融协同促内需专项资金，且我国已连续三年发行。资金到位强化政策执行能力，但底稿没有行业分配、项目清单和拨付进度，需继续跟踪实物工作量、设备订单和消费转化。</w:t>
      </w:r>
    </w:p>
    <w:bookmarkEnd w:id="22"/>
    <w:bookmarkStart w:id="23" w:name="第四届良渚论坛开幕"/>
    <w:p>
      <w:pPr>
        <w:pStyle w:val="Heading3"/>
      </w:pPr>
      <w:r>
        <w:t xml:space="preserve">11.2 </w:t>
      </w:r>
      <w:r>
        <w:rPr>
          <w:rFonts w:hint="eastAsia"/>
        </w:rPr>
        <w:t xml:space="preserve">第四届“良渚论坛”开幕</w:t>
      </w:r>
    </w:p>
    <w:p>
      <w:pPr>
        <w:pStyle w:val="Compact"/>
        <w:numPr>
          <w:ilvl w:val="0"/>
          <w:numId w:val="1014"/>
        </w:numPr>
      </w:pPr>
      <w:r>
        <w:rPr>
          <w:rFonts w:hint="eastAsia"/>
          <w:b/>
          <w:bCs/>
        </w:rPr>
        <w:t xml:space="preserve">信号强度：★★</w:t>
      </w:r>
    </w:p>
    <w:p>
      <w:pPr>
        <w:pStyle w:val="Compact"/>
        <w:numPr>
          <w:ilvl w:val="0"/>
          <w:numId w:val="1014"/>
        </w:numPr>
      </w:pPr>
      <w:r>
        <w:rPr>
          <w:rFonts w:hint="eastAsia"/>
          <w:b/>
          <w:bCs/>
        </w:rPr>
        <w:t xml:space="preserve">A股影响：文化遗产保护和文旅方向长期弱利好</w:t>
      </w:r>
    </w:p>
    <w:p>
      <w:pPr>
        <w:pStyle w:val="Compact"/>
        <w:numPr>
          <w:ilvl w:val="0"/>
          <w:numId w:val="1014"/>
        </w:numPr>
      </w:pPr>
      <w:r>
        <w:rPr>
          <w:rFonts w:hint="eastAsia"/>
          <w:b/>
          <w:bCs/>
        </w:rPr>
        <w:t xml:space="preserve">关联方向：</w:t>
      </w:r>
      <w:r>
        <w:t xml:space="preserve"> </w:t>
      </w:r>
      <w:r>
        <w:rPr>
          <w:rFonts w:hint="eastAsia"/>
        </w:rPr>
        <w:t xml:space="preserve">遗址保护、考古数字化、博物馆服务和文化交流。</w:t>
      </w:r>
    </w:p>
    <w:p>
      <w:pPr>
        <w:pStyle w:val="FirstParagraph"/>
      </w:pPr>
      <w:r>
        <w:rPr>
          <w:rFonts w:hint="eastAsia"/>
        </w:rPr>
        <w:t xml:space="preserve">论坛吸引近60个国家和地区嘉宾，围绕早期文明、城址考古和大遗址保护利用研讨。其主要价值是文化交流和遗产保护，底稿未给出预算、项目或客流收入，不构成确定性业绩催化。</w:t>
      </w:r>
    </w:p>
    <w:bookmarkEnd w:id="23"/>
    <w:bookmarkStart w:id="24" w:name="深圳对apec经济体进出口同比增长40"/>
    <w:p>
      <w:pPr>
        <w:pStyle w:val="Heading3"/>
      </w:pPr>
      <w:r>
        <w:t xml:space="preserve">11.3 </w:t>
      </w:r>
      <w:r>
        <w:rPr>
          <w:rFonts w:hint="eastAsia"/>
        </w:rPr>
        <w:t xml:space="preserve">深圳对APEC经济体进出口同比增长40%</w:t>
      </w:r>
    </w:p>
    <w:p>
      <w:pPr>
        <w:pStyle w:val="Compact"/>
        <w:numPr>
          <w:ilvl w:val="0"/>
          <w:numId w:val="1015"/>
        </w:numPr>
      </w:pPr>
      <w:r>
        <w:rPr>
          <w:rFonts w:hint="eastAsia"/>
          <w:b/>
          <w:bCs/>
        </w:rPr>
        <w:t xml:space="preserve">信号强度：★★★★</w:t>
      </w:r>
    </w:p>
    <w:p>
      <w:pPr>
        <w:pStyle w:val="Compact"/>
        <w:numPr>
          <w:ilvl w:val="0"/>
          <w:numId w:val="1015"/>
        </w:numPr>
      </w:pPr>
      <w:r>
        <w:rPr>
          <w:rFonts w:hint="eastAsia"/>
          <w:b/>
          <w:bCs/>
        </w:rPr>
        <w:t xml:space="preserve">A股影响：区域外贸、集成电路和电脑产业链预期偏利好</w:t>
      </w:r>
    </w:p>
    <w:p>
      <w:pPr>
        <w:pStyle w:val="Compact"/>
        <w:numPr>
          <w:ilvl w:val="0"/>
          <w:numId w:val="1015"/>
        </w:numPr>
      </w:pPr>
      <w:r>
        <w:rPr>
          <w:rFonts w:hint="eastAsia"/>
          <w:b/>
          <w:bCs/>
        </w:rPr>
        <w:t xml:space="preserve">关联方向：</w:t>
      </w:r>
      <w:r>
        <w:t xml:space="preserve"> </w:t>
      </w:r>
      <w:r>
        <w:rPr>
          <w:rFonts w:hint="eastAsia"/>
        </w:rPr>
        <w:t xml:space="preserve">集成电路、电脑及零部件、跨境物流和外贸服务。</w:t>
      </w:r>
    </w:p>
    <w:p>
      <w:pPr>
        <w:pStyle w:val="FirstParagraph"/>
      </w:pPr>
      <w:r>
        <w:rPr>
          <w:rFonts w:hint="eastAsia"/>
        </w:rPr>
        <w:t xml:space="preserve">前三季度深圳对APEC经济体进出口3.23万亿元，同比增长40%，创历史同期新高，居内地城市首位，占全国同期相关进出口总值13.4%。数据体现深圳外贸韧性，但城市总量不能直接外推到单家企业；需核验企业出口地区、产品结构、利润率、汇率和回款。</w:t>
      </w:r>
    </w:p>
    <w:bookmarkEnd w:id="24"/>
    <w:bookmarkStart w:id="25" w:name="农发行安排2000亿元专项信贷用于秋粮收购"/>
    <w:p>
      <w:pPr>
        <w:pStyle w:val="Heading3"/>
      </w:pPr>
      <w:r>
        <w:t xml:space="preserve">11.4 </w:t>
      </w:r>
      <w:r>
        <w:rPr>
          <w:rFonts w:hint="eastAsia"/>
        </w:rPr>
        <w:t xml:space="preserve">农发行安排2000亿元专项信贷用于秋粮收购</w:t>
      </w:r>
    </w:p>
    <w:p>
      <w:pPr>
        <w:pStyle w:val="Compact"/>
        <w:numPr>
          <w:ilvl w:val="0"/>
          <w:numId w:val="1016"/>
        </w:numPr>
      </w:pPr>
      <w:r>
        <w:rPr>
          <w:rFonts w:hint="eastAsia"/>
          <w:b/>
          <w:bCs/>
        </w:rPr>
        <w:t xml:space="preserve">信号强度：★★★★</w:t>
      </w:r>
    </w:p>
    <w:p>
      <w:pPr>
        <w:pStyle w:val="Compact"/>
        <w:numPr>
          <w:ilvl w:val="0"/>
          <w:numId w:val="1016"/>
        </w:numPr>
      </w:pPr>
      <w:r>
        <w:rPr>
          <w:rFonts w:hint="eastAsia"/>
          <w:b/>
          <w:bCs/>
        </w:rPr>
        <w:t xml:space="preserve">A股影响：粮食收储和供应链资金保障偏利好</w:t>
      </w:r>
    </w:p>
    <w:p>
      <w:pPr>
        <w:pStyle w:val="Compact"/>
        <w:numPr>
          <w:ilvl w:val="0"/>
          <w:numId w:val="1016"/>
        </w:numPr>
      </w:pPr>
      <w:r>
        <w:rPr>
          <w:rFonts w:hint="eastAsia"/>
          <w:b/>
          <w:bCs/>
        </w:rPr>
        <w:t xml:space="preserve">关联方向：</w:t>
      </w:r>
      <w:r>
        <w:t xml:space="preserve"> </w:t>
      </w:r>
      <w:r>
        <w:rPr>
          <w:rFonts w:hint="eastAsia"/>
        </w:rPr>
        <w:t xml:space="preserve">粮食收购、仓储物流、检测、烘干和农业供应链服务。</w:t>
      </w:r>
    </w:p>
    <w:p>
      <w:pPr>
        <w:pStyle w:val="FirstParagraph"/>
      </w:pPr>
      <w:r>
        <w:rPr>
          <w:rFonts w:hint="eastAsia"/>
        </w:rPr>
        <w:t xml:space="preserve">农发行提前安排2000亿元信贷，支持政策性收储和市场化收购，目标是保障秋粮收购平稳有序。受益兑现取决于贷款投放、收购量、粮价、仓容和企业资金成本，不宜把授信额度等同于上市公司新增收入。</w:t>
      </w:r>
    </w:p>
    <w:bookmarkEnd w:id="25"/>
    <w:bookmarkStart w:id="26" w:name="市场监管总局发布15项氢能国家标准"/>
    <w:p>
      <w:pPr>
        <w:pStyle w:val="Heading3"/>
      </w:pPr>
      <w:r>
        <w:t xml:space="preserve">11.5 </w:t>
      </w:r>
      <w:r>
        <w:rPr>
          <w:rFonts w:hint="eastAsia"/>
        </w:rPr>
        <w:t xml:space="preserve">市场监管总局发布15项氢能国家标准</w:t>
      </w:r>
    </w:p>
    <w:p>
      <w:pPr>
        <w:pStyle w:val="Compact"/>
        <w:numPr>
          <w:ilvl w:val="0"/>
          <w:numId w:val="1017"/>
        </w:numPr>
      </w:pPr>
      <w:r>
        <w:rPr>
          <w:rFonts w:hint="eastAsia"/>
          <w:b/>
          <w:bCs/>
        </w:rPr>
        <w:t xml:space="preserve">信号强度：★★★★</w:t>
      </w:r>
    </w:p>
    <w:p>
      <w:pPr>
        <w:pStyle w:val="Compact"/>
        <w:numPr>
          <w:ilvl w:val="0"/>
          <w:numId w:val="1017"/>
        </w:numPr>
      </w:pPr>
      <w:r>
        <w:rPr>
          <w:rFonts w:hint="eastAsia"/>
          <w:b/>
          <w:bCs/>
        </w:rPr>
        <w:t xml:space="preserve">A股影响：规范化利好合规龙头，同时提高产业准入和安全要求</w:t>
      </w:r>
    </w:p>
    <w:p>
      <w:pPr>
        <w:pStyle w:val="Compact"/>
        <w:numPr>
          <w:ilvl w:val="0"/>
          <w:numId w:val="1017"/>
        </w:numPr>
      </w:pPr>
      <w:r>
        <w:rPr>
          <w:rFonts w:hint="eastAsia"/>
          <w:b/>
          <w:bCs/>
        </w:rPr>
        <w:t xml:space="preserve">关联方向：</w:t>
      </w:r>
      <w:r>
        <w:t xml:space="preserve"> </w:t>
      </w:r>
      <w:r>
        <w:rPr>
          <w:rFonts w:hint="eastAsia"/>
        </w:rPr>
        <w:t xml:space="preserve">制氢设备、储运容器、加氢站、检测仪器、安全监测和认证服务。</w:t>
      </w:r>
    </w:p>
    <w:p>
      <w:pPr>
        <w:pStyle w:val="FirstParagraph"/>
      </w:pPr>
      <w:r>
        <w:rPr>
          <w:rFonts w:hint="eastAsia"/>
        </w:rPr>
        <w:t xml:space="preserve">15项国家标准覆盖制氢、储运、加氢站和氢气安全检测等全链条，意在提升装备制造水平和产业准入门槛。标准化有助于技术路线和采购规范，但也可能增加不达标企业改造成本；后续看标准实施日期、认证、设备更新和项目采购。</w:t>
      </w:r>
    </w:p>
    <w:bookmarkEnd w:id="26"/>
    <w:bookmarkStart w:id="27" w:name="前三季度全国铁路发送旅客37.1亿人次"/>
    <w:p>
      <w:pPr>
        <w:pStyle w:val="Heading3"/>
      </w:pPr>
      <w:r>
        <w:t xml:space="preserve">11.6 </w:t>
      </w:r>
      <w:r>
        <w:rPr>
          <w:rFonts w:hint="eastAsia"/>
        </w:rPr>
        <w:t xml:space="preserve">前三季度全国铁路发送旅客37.1亿人次</w:t>
      </w:r>
    </w:p>
    <w:p>
      <w:pPr>
        <w:pStyle w:val="Compact"/>
        <w:numPr>
          <w:ilvl w:val="0"/>
          <w:numId w:val="1018"/>
        </w:numPr>
      </w:pPr>
      <w:r>
        <w:rPr>
          <w:rFonts w:hint="eastAsia"/>
          <w:b/>
          <w:bCs/>
        </w:rPr>
        <w:t xml:space="preserve">信号强度：★★★</w:t>
      </w:r>
    </w:p>
    <w:p>
      <w:pPr>
        <w:pStyle w:val="Compact"/>
        <w:numPr>
          <w:ilvl w:val="0"/>
          <w:numId w:val="1018"/>
        </w:numPr>
      </w:pPr>
      <w:r>
        <w:rPr>
          <w:rFonts w:hint="eastAsia"/>
          <w:b/>
          <w:bCs/>
        </w:rPr>
        <w:t xml:space="preserve">A股影响：铁路客运与旅游列车运营偏利好</w:t>
      </w:r>
    </w:p>
    <w:p>
      <w:pPr>
        <w:pStyle w:val="Compact"/>
        <w:numPr>
          <w:ilvl w:val="0"/>
          <w:numId w:val="1018"/>
        </w:numPr>
      </w:pPr>
      <w:r>
        <w:rPr>
          <w:rFonts w:hint="eastAsia"/>
          <w:b/>
          <w:bCs/>
        </w:rPr>
        <w:t xml:space="preserve">关联方向：</w:t>
      </w:r>
      <w:r>
        <w:t xml:space="preserve"> </w:t>
      </w:r>
      <w:r>
        <w:rPr>
          <w:rFonts w:hint="eastAsia"/>
        </w:rPr>
        <w:t xml:space="preserve">铁路运输、票务服务、旅游列车、文旅目的地和运维保障。</w:t>
      </w:r>
    </w:p>
    <w:p>
      <w:pPr>
        <w:pStyle w:val="FirstParagraph"/>
      </w:pPr>
      <w:r>
        <w:rPr>
          <w:rFonts w:hint="eastAsia"/>
        </w:rPr>
        <w:t xml:space="preserve">全国铁路发送旅客37.1亿人次，同比增长4.8%，创同期新高；旅游列车2860列，同比增长25.5%。客流增长为运营和沿线文旅提供需求支撑，但收入与利润仍取决于票价、运能、成本、线路结构和转化率。</w:t>
      </w:r>
    </w:p>
    <w:bookmarkEnd w:id="27"/>
    <w:bookmarkStart w:id="28" w:name="十五五适宜增殖放流水生物种确定为345种"/>
    <w:p>
      <w:pPr>
        <w:pStyle w:val="Heading3"/>
      </w:pPr>
      <w:r>
        <w:t xml:space="preserve">11.7 </w:t>
      </w:r>
      <w:r>
        <w:rPr>
          <w:rFonts w:hint="eastAsia"/>
        </w:rPr>
        <w:t xml:space="preserve">“十五五”适宜增殖放流水生物种确定为345种</w:t>
      </w:r>
    </w:p>
    <w:p>
      <w:pPr>
        <w:pStyle w:val="Compact"/>
        <w:numPr>
          <w:ilvl w:val="0"/>
          <w:numId w:val="1019"/>
        </w:numPr>
      </w:pPr>
      <w:r>
        <w:rPr>
          <w:rFonts w:hint="eastAsia"/>
          <w:b/>
          <w:bCs/>
        </w:rPr>
        <w:t xml:space="preserve">信号强度：★★★</w:t>
      </w:r>
    </w:p>
    <w:p>
      <w:pPr>
        <w:pStyle w:val="Compact"/>
        <w:numPr>
          <w:ilvl w:val="0"/>
          <w:numId w:val="1019"/>
        </w:numPr>
      </w:pPr>
      <w:r>
        <w:rPr>
          <w:rFonts w:hint="eastAsia"/>
          <w:b/>
          <w:bCs/>
        </w:rPr>
        <w:t xml:space="preserve">A股影响：水生态修复和水产种苗长期偏利好</w:t>
      </w:r>
    </w:p>
    <w:p>
      <w:pPr>
        <w:pStyle w:val="Compact"/>
        <w:numPr>
          <w:ilvl w:val="0"/>
          <w:numId w:val="1019"/>
        </w:numPr>
      </w:pPr>
      <w:r>
        <w:rPr>
          <w:rFonts w:hint="eastAsia"/>
          <w:b/>
          <w:bCs/>
        </w:rPr>
        <w:t xml:space="preserve">关联方向：</w:t>
      </w:r>
      <w:r>
        <w:t xml:space="preserve"> </w:t>
      </w:r>
      <w:r>
        <w:rPr>
          <w:rFonts w:hint="eastAsia"/>
        </w:rPr>
        <w:t xml:space="preserve">水产种苗、增殖放流、生态监测和水域修复。</w:t>
      </w:r>
    </w:p>
    <w:p>
      <w:pPr>
        <w:pStyle w:val="FirstParagraph"/>
      </w:pPr>
      <w:r>
        <w:rPr>
          <w:rFonts w:hint="eastAsia"/>
        </w:rPr>
        <w:t xml:space="preserve">适宜增殖放流水生物种较“十四五”增加59种；到2030年，区域性和珍贵濒危物种放流数量占淡水物种放流数量的比例将提升至15%。这是生态治理方向，底稿没有采购规模或年度预算，需看地方项目和验收。</w:t>
      </w:r>
    </w:p>
    <w:bookmarkEnd w:id="28"/>
    <w:bookmarkStart w:id="29" w:name="中韩海上执法部门完成联合巡航"/>
    <w:p>
      <w:pPr>
        <w:pStyle w:val="Heading3"/>
      </w:pPr>
      <w:r>
        <w:t xml:space="preserve">11.8 </w:t>
      </w:r>
      <w:r>
        <w:rPr>
          <w:rFonts w:hint="eastAsia"/>
        </w:rPr>
        <w:t xml:space="preserve">中韩海上执法部门完成联合巡航</w:t>
      </w:r>
    </w:p>
    <w:p>
      <w:pPr>
        <w:pStyle w:val="Compact"/>
        <w:numPr>
          <w:ilvl w:val="0"/>
          <w:numId w:val="1020"/>
        </w:numPr>
      </w:pPr>
      <w:r>
        <w:rPr>
          <w:rFonts w:hint="eastAsia"/>
          <w:b/>
          <w:bCs/>
        </w:rPr>
        <w:t xml:space="preserve">信号强度：★★</w:t>
      </w:r>
    </w:p>
    <w:p>
      <w:pPr>
        <w:pStyle w:val="Compact"/>
        <w:numPr>
          <w:ilvl w:val="0"/>
          <w:numId w:val="1020"/>
        </w:numPr>
      </w:pPr>
      <w:r>
        <w:rPr>
          <w:rFonts w:hint="eastAsia"/>
          <w:b/>
          <w:bCs/>
        </w:rPr>
        <w:t xml:space="preserve">A股影响：总体中性，利于渔业秩序和海上安全预期</w:t>
      </w:r>
    </w:p>
    <w:p>
      <w:pPr>
        <w:pStyle w:val="Compact"/>
        <w:numPr>
          <w:ilvl w:val="0"/>
          <w:numId w:val="1020"/>
        </w:numPr>
      </w:pPr>
      <w:r>
        <w:rPr>
          <w:rFonts w:hint="eastAsia"/>
          <w:b/>
          <w:bCs/>
        </w:rPr>
        <w:t xml:space="preserve">关联方向：</w:t>
      </w:r>
      <w:r>
        <w:t xml:space="preserve"> </w:t>
      </w:r>
      <w:r>
        <w:rPr>
          <w:rFonts w:hint="eastAsia"/>
        </w:rPr>
        <w:t xml:space="preserve">海事执法装备、渔业管理和海上通信。</w:t>
      </w:r>
    </w:p>
    <w:p>
      <w:pPr>
        <w:pStyle w:val="FirstParagraph"/>
      </w:pPr>
      <w:r>
        <w:rPr>
          <w:rFonts w:hint="eastAsia"/>
        </w:rPr>
        <w:t xml:space="preserve">联合巡航历时10天、超过1200海里，是两国时隔4年再次开展。该条以执法协作为主，没有装备采购或渔业贸易增量，不宜进行强产业映射。</w:t>
      </w:r>
    </w:p>
    <w:bookmarkEnd w:id="29"/>
    <w:bookmarkStart w:id="30" w:name="第二十五届中国上海国际艺术节开幕"/>
    <w:p>
      <w:pPr>
        <w:pStyle w:val="Heading3"/>
      </w:pPr>
      <w:r>
        <w:t xml:space="preserve">11.9 </w:t>
      </w:r>
      <w:r>
        <w:rPr>
          <w:rFonts w:hint="eastAsia"/>
        </w:rPr>
        <w:t xml:space="preserve">第二十五届中国上海国际艺术节开幕</w:t>
      </w:r>
    </w:p>
    <w:p>
      <w:pPr>
        <w:pStyle w:val="Compact"/>
        <w:numPr>
          <w:ilvl w:val="0"/>
          <w:numId w:val="1021"/>
        </w:numPr>
      </w:pPr>
      <w:r>
        <w:rPr>
          <w:rFonts w:hint="eastAsia"/>
          <w:b/>
          <w:bCs/>
        </w:rPr>
        <w:t xml:space="preserve">信号强度：★★★</w:t>
      </w:r>
    </w:p>
    <w:p>
      <w:pPr>
        <w:pStyle w:val="Compact"/>
        <w:numPr>
          <w:ilvl w:val="0"/>
          <w:numId w:val="1021"/>
        </w:numPr>
      </w:pPr>
      <w:r>
        <w:rPr>
          <w:rFonts w:hint="eastAsia"/>
          <w:b/>
          <w:bCs/>
        </w:rPr>
        <w:t xml:space="preserve">A股影响：上海演艺和文化消费方向偏利好</w:t>
      </w:r>
    </w:p>
    <w:p>
      <w:pPr>
        <w:pStyle w:val="Compact"/>
        <w:numPr>
          <w:ilvl w:val="0"/>
          <w:numId w:val="1021"/>
        </w:numPr>
      </w:pPr>
      <w:r>
        <w:rPr>
          <w:rFonts w:hint="eastAsia"/>
          <w:b/>
          <w:bCs/>
        </w:rPr>
        <w:t xml:space="preserve">关联方向：</w:t>
      </w:r>
      <w:r>
        <w:t xml:space="preserve"> </w:t>
      </w:r>
      <w:r>
        <w:rPr>
          <w:rFonts w:hint="eastAsia"/>
        </w:rPr>
        <w:t xml:space="preserve">剧场运营、演出服务、票务、文化场馆和城市文旅。</w:t>
      </w:r>
    </w:p>
    <w:p>
      <w:pPr>
        <w:pStyle w:val="FirstParagraph"/>
      </w:pPr>
      <w:r>
        <w:rPr>
          <w:rFonts w:hint="eastAsia"/>
        </w:rPr>
        <w:t xml:space="preserve">艺术节将举办近400项、1100场演出和展览；上海大歌剧院启幕、上海演艺集团成立。活动规模和新增平台有助于文化消费关注，但业绩兑现取决于上座率、票价、运营成本和后续常态化供给。</w:t>
      </w:r>
    </w:p>
    <w:bookmarkEnd w:id="30"/>
    <w:bookmarkStart w:id="31" w:name="长三角国际青年电影周开幕"/>
    <w:p>
      <w:pPr>
        <w:pStyle w:val="Heading3"/>
      </w:pPr>
      <w:r>
        <w:t xml:space="preserve">11.10 </w:t>
      </w:r>
      <w:r>
        <w:rPr>
          <w:rFonts w:hint="eastAsia"/>
        </w:rPr>
        <w:t xml:space="preserve">2026长三角国际青年电影周开幕</w:t>
      </w:r>
    </w:p>
    <w:p>
      <w:pPr>
        <w:pStyle w:val="Compact"/>
        <w:numPr>
          <w:ilvl w:val="0"/>
          <w:numId w:val="1022"/>
        </w:numPr>
      </w:pPr>
      <w:r>
        <w:rPr>
          <w:rFonts w:hint="eastAsia"/>
          <w:b/>
          <w:bCs/>
        </w:rPr>
        <w:t xml:space="preserve">信号强度：★★</w:t>
      </w:r>
    </w:p>
    <w:p>
      <w:pPr>
        <w:pStyle w:val="Compact"/>
        <w:numPr>
          <w:ilvl w:val="0"/>
          <w:numId w:val="1022"/>
        </w:numPr>
      </w:pPr>
      <w:r>
        <w:rPr>
          <w:rFonts w:hint="eastAsia"/>
          <w:b/>
          <w:bCs/>
        </w:rPr>
        <w:t xml:space="preserve">A股影响：影视创投和青年内容生态长期偏正面，短期催化弱</w:t>
      </w:r>
    </w:p>
    <w:p>
      <w:pPr>
        <w:pStyle w:val="Compact"/>
        <w:numPr>
          <w:ilvl w:val="0"/>
          <w:numId w:val="1022"/>
        </w:numPr>
      </w:pPr>
      <w:r>
        <w:rPr>
          <w:rFonts w:hint="eastAsia"/>
          <w:b/>
          <w:bCs/>
        </w:rPr>
        <w:t xml:space="preserve">关联方向：</w:t>
      </w:r>
      <w:r>
        <w:t xml:space="preserve"> </w:t>
      </w:r>
      <w:r>
        <w:rPr>
          <w:rFonts w:hint="eastAsia"/>
        </w:rPr>
        <w:t xml:space="preserve">影视制作、发行、创投服务和影展运营。</w:t>
      </w:r>
    </w:p>
    <w:p>
      <w:pPr>
        <w:pStyle w:val="FirstParagraph"/>
      </w:pPr>
      <w:r>
        <w:rPr>
          <w:rFonts w:hint="eastAsia"/>
        </w:rPr>
        <w:t xml:space="preserve">“青影创投计划”累计收到545个申报项目，将评出20个优秀项目给予产业支持。底稿没有支持金额、投资主体或商业回报安排，需等待项目落地和发行表现。</w:t>
      </w:r>
    </w:p>
    <w:bookmarkEnd w:id="31"/>
    <w:bookmarkStart w:id="32" w:name="国际武当太极文化节开幕"/>
    <w:p>
      <w:pPr>
        <w:pStyle w:val="Heading3"/>
      </w:pPr>
      <w:r>
        <w:t xml:space="preserve">11.11 </w:t>
      </w:r>
      <w:r>
        <w:rPr>
          <w:rFonts w:hint="eastAsia"/>
        </w:rPr>
        <w:t xml:space="preserve">2026国际武当太极文化节开幕</w:t>
      </w:r>
    </w:p>
    <w:p>
      <w:pPr>
        <w:pStyle w:val="Compact"/>
        <w:numPr>
          <w:ilvl w:val="0"/>
          <w:numId w:val="1023"/>
        </w:numPr>
      </w:pPr>
      <w:r>
        <w:rPr>
          <w:rFonts w:hint="eastAsia"/>
          <w:b/>
          <w:bCs/>
        </w:rPr>
        <w:t xml:space="preserve">信号强度：★★</w:t>
      </w:r>
    </w:p>
    <w:p>
      <w:pPr>
        <w:pStyle w:val="Compact"/>
        <w:numPr>
          <w:ilvl w:val="0"/>
          <w:numId w:val="1023"/>
        </w:numPr>
      </w:pPr>
      <w:r>
        <w:rPr>
          <w:rFonts w:hint="eastAsia"/>
          <w:b/>
          <w:bCs/>
        </w:rPr>
        <w:t xml:space="preserve">A股影响：区域文旅和传统文化传播弱利好</w:t>
      </w:r>
    </w:p>
    <w:p>
      <w:pPr>
        <w:pStyle w:val="Compact"/>
        <w:numPr>
          <w:ilvl w:val="0"/>
          <w:numId w:val="1023"/>
        </w:numPr>
      </w:pPr>
      <w:r>
        <w:rPr>
          <w:rFonts w:hint="eastAsia"/>
          <w:b/>
          <w:bCs/>
        </w:rPr>
        <w:t xml:space="preserve">关联方向：</w:t>
      </w:r>
      <w:r>
        <w:t xml:space="preserve"> </w:t>
      </w:r>
      <w:r>
        <w:rPr>
          <w:rFonts w:hint="eastAsia"/>
        </w:rPr>
        <w:t xml:space="preserve">景区运营、体育文旅、文化活动和目的地服务。</w:t>
      </w:r>
    </w:p>
    <w:p>
      <w:pPr>
        <w:pStyle w:val="FirstParagraph"/>
      </w:pPr>
      <w:r>
        <w:rPr>
          <w:rFonts w:hint="eastAsia"/>
        </w:rPr>
        <w:t xml:space="preserve">活动吸引全球100多个国家和地区的武术爱好者。国际参与度有助于目的地曝光，但底稿没有客流、消费额或订单，不能直接推导企业利润。</w:t>
      </w:r>
    </w:p>
    <w:bookmarkEnd w:id="32"/>
    <w:bookmarkEnd w:id="33"/>
    <w:bookmarkStart w:id="40" w:name="五国际新闻逐条分析"/>
    <w:p>
      <w:pPr>
        <w:pStyle w:val="Heading2"/>
      </w:pPr>
      <w:r>
        <w:rPr>
          <w:rFonts w:hint="eastAsia"/>
        </w:rPr>
        <w:t xml:space="preserve">五、国际新闻逐条分析</w:t>
      </w:r>
    </w:p>
    <w:bookmarkStart w:id="34" w:name="也门冲突升级沙特边境与无人机导弹风险上升"/>
    <w:p>
      <w:pPr>
        <w:pStyle w:val="Heading3"/>
      </w:pPr>
      <w:r>
        <w:t xml:space="preserve">12. </w:t>
      </w:r>
      <w:r>
        <w:rPr>
          <w:rFonts w:hint="eastAsia"/>
        </w:rPr>
        <w:t xml:space="preserve">也门冲突升级：沙特边境与无人机、导弹风险上升</w:t>
      </w:r>
    </w:p>
    <w:p>
      <w:pPr>
        <w:pStyle w:val="Compact"/>
        <w:numPr>
          <w:ilvl w:val="0"/>
          <w:numId w:val="1024"/>
        </w:numPr>
      </w:pPr>
      <w:r>
        <w:rPr>
          <w:rFonts w:hint="eastAsia"/>
          <w:b/>
          <w:bCs/>
        </w:rPr>
        <w:t xml:space="preserve">信号强度：★★★★</w:t>
      </w:r>
    </w:p>
    <w:p>
      <w:pPr>
        <w:pStyle w:val="Compact"/>
        <w:numPr>
          <w:ilvl w:val="0"/>
          <w:numId w:val="1024"/>
        </w:numPr>
      </w:pPr>
      <w:r>
        <w:rPr>
          <w:rFonts w:hint="eastAsia"/>
          <w:b/>
          <w:bCs/>
        </w:rPr>
        <w:t xml:space="preserve">A股影响：能源、航运和防务风险溢价可能上升；风险偏好和成本敏感行业承压</w:t>
      </w:r>
    </w:p>
    <w:p>
      <w:pPr>
        <w:pStyle w:val="Compact"/>
        <w:numPr>
          <w:ilvl w:val="0"/>
          <w:numId w:val="1024"/>
        </w:numPr>
      </w:pPr>
      <w:r>
        <w:rPr>
          <w:rFonts w:hint="eastAsia"/>
          <w:b/>
          <w:bCs/>
        </w:rPr>
        <w:t xml:space="preserve">影响时效：短期事件性；若冲突外溢则延长</w:t>
      </w:r>
    </w:p>
    <w:p>
      <w:pPr>
        <w:pStyle w:val="Compact"/>
        <w:numPr>
          <w:ilvl w:val="0"/>
          <w:numId w:val="1024"/>
        </w:numPr>
      </w:pPr>
      <w:r>
        <w:rPr>
          <w:rFonts w:hint="eastAsia"/>
          <w:b/>
          <w:bCs/>
        </w:rPr>
        <w:t xml:space="preserve">可能受益映射：</w:t>
      </w:r>
      <w:r>
        <w:t xml:space="preserve"> </w:t>
      </w:r>
      <w:r>
        <w:rPr>
          <w:rFonts w:hint="eastAsia"/>
        </w:rPr>
        <w:t xml:space="preserve">油气安全、无人机防御、防空反导、海事安防。</w:t>
      </w:r>
    </w:p>
    <w:p>
      <w:pPr>
        <w:pStyle w:val="Compact"/>
        <w:numPr>
          <w:ilvl w:val="0"/>
          <w:numId w:val="1024"/>
        </w:numPr>
      </w:pPr>
      <w:r>
        <w:rPr>
          <w:rFonts w:hint="eastAsia"/>
          <w:b/>
          <w:bCs/>
        </w:rPr>
        <w:t xml:space="preserve">可能承压映射：</w:t>
      </w:r>
      <w:r>
        <w:t xml:space="preserve"> </w:t>
      </w:r>
      <w:r>
        <w:rPr>
          <w:rFonts w:hint="eastAsia"/>
        </w:rPr>
        <w:t xml:space="preserve">航空、国际物流及能源成本敏感行业。</w:t>
      </w:r>
    </w:p>
    <w:p>
      <w:pPr>
        <w:pStyle w:val="FirstParagraph"/>
      </w:pPr>
      <w:r>
        <w:rPr>
          <w:rFonts w:hint="eastAsia"/>
          <w:b/>
          <w:bCs/>
        </w:rPr>
        <w:t xml:space="preserve">原文事实：</w:t>
      </w:r>
      <w:r>
        <w:t xml:space="preserve"> </w:t>
      </w:r>
      <w:r>
        <w:rPr>
          <w:rFonts w:hint="eastAsia"/>
        </w:rPr>
        <w:t xml:space="preserve">胡塞武装称沙特战机24小时发动53次空袭，塔伊兹省遇袭造成9人死亡，并称击落一架沙特武装直升机。沙特主导联军称该直升机因技术故障坠毁、造成2人死亡，并称摧毁两处弹道导弹发射平台、拦截4架无人机。埃及议会拟审议是否授权向沙特提供防御支持；伊朗外长表示愿帮助结束冲突。</w:t>
      </w:r>
    </w:p>
    <w:p>
      <w:pPr>
        <w:pStyle w:val="BodyText"/>
      </w:pPr>
      <w:r>
        <w:rPr>
          <w:rFonts w:hint="eastAsia"/>
          <w:b/>
          <w:bCs/>
        </w:rPr>
        <w:t xml:space="preserve">分析：</w:t>
      </w:r>
      <w:r>
        <w:t xml:space="preserve"> </w:t>
      </w:r>
      <w:r>
        <w:rPr>
          <w:rFonts w:hint="eastAsia"/>
        </w:rPr>
        <w:t xml:space="preserve">上述战况分别来自冲突各方和媒体口径，报告不作独立事实背书。对A股的真实传导需通过油气供应、航线、保险运价、军贸订单和风险偏好验证，不能仅凭军事消息追高。</w:t>
      </w:r>
    </w:p>
    <w:bookmarkEnd w:id="34"/>
    <w:bookmarkStart w:id="35" w:name="俄乌双方称无人机与能源设施遭打击"/>
    <w:p>
      <w:pPr>
        <w:pStyle w:val="Heading3"/>
      </w:pPr>
      <w:r>
        <w:t xml:space="preserve">13.1 </w:t>
      </w:r>
      <w:r>
        <w:rPr>
          <w:rFonts w:hint="eastAsia"/>
        </w:rPr>
        <w:t xml:space="preserve">俄乌双方称无人机与能源设施遭打击</w:t>
      </w:r>
    </w:p>
    <w:p>
      <w:pPr>
        <w:pStyle w:val="Compact"/>
        <w:numPr>
          <w:ilvl w:val="0"/>
          <w:numId w:val="1025"/>
        </w:numPr>
      </w:pPr>
      <w:r>
        <w:rPr>
          <w:rFonts w:hint="eastAsia"/>
          <w:b/>
          <w:bCs/>
        </w:rPr>
        <w:t xml:space="preserve">信号强度：★★★★</w:t>
      </w:r>
    </w:p>
    <w:p>
      <w:pPr>
        <w:pStyle w:val="Compact"/>
        <w:numPr>
          <w:ilvl w:val="0"/>
          <w:numId w:val="1025"/>
        </w:numPr>
      </w:pPr>
      <w:r>
        <w:rPr>
          <w:rFonts w:hint="eastAsia"/>
          <w:b/>
          <w:bCs/>
        </w:rPr>
        <w:t xml:space="preserve">A股影响：全球能源、防务和避险溢价可能上升，欧洲需求与风险偏好承压</w:t>
      </w:r>
    </w:p>
    <w:p>
      <w:pPr>
        <w:pStyle w:val="Compact"/>
        <w:numPr>
          <w:ilvl w:val="0"/>
          <w:numId w:val="1025"/>
        </w:numPr>
      </w:pPr>
      <w:r>
        <w:rPr>
          <w:rFonts w:hint="eastAsia"/>
          <w:b/>
          <w:bCs/>
        </w:rPr>
        <w:t xml:space="preserve">关联方向：</w:t>
      </w:r>
      <w:r>
        <w:t xml:space="preserve"> </w:t>
      </w:r>
      <w:r>
        <w:rPr>
          <w:rFonts w:hint="eastAsia"/>
        </w:rPr>
        <w:t xml:space="preserve">防空反无人机、能源安全、黄金和跨境物流风险观察。</w:t>
      </w:r>
    </w:p>
    <w:p>
      <w:pPr>
        <w:pStyle w:val="FirstParagraph"/>
      </w:pPr>
      <w:r>
        <w:rPr>
          <w:rFonts w:hint="eastAsia"/>
        </w:rPr>
        <w:t xml:space="preserve">俄方称打击乌克兰物流中心，并在多地击落上千架无人机；乌方称多地变电站遭袭，并称打击俄军装备。以上均为各方口径，数量和战果不能视为独立核实。A股影响取决于能源设施受损程度、制裁、商品价格和冲突持续性。</w:t>
      </w:r>
    </w:p>
    <w:bookmarkEnd w:id="35"/>
    <w:bookmarkStart w:id="36" w:name="欧洲外交人员在约旦河西岸遭袭"/>
    <w:p>
      <w:pPr>
        <w:pStyle w:val="Heading3"/>
      </w:pPr>
      <w:r>
        <w:t xml:space="preserve">13.2 </w:t>
      </w:r>
      <w:r>
        <w:rPr>
          <w:rFonts w:hint="eastAsia"/>
        </w:rPr>
        <w:t xml:space="preserve">欧洲外交人员在约旦河西岸遭袭</w:t>
      </w:r>
    </w:p>
    <w:p>
      <w:pPr>
        <w:pStyle w:val="Compact"/>
        <w:numPr>
          <w:ilvl w:val="0"/>
          <w:numId w:val="1026"/>
        </w:numPr>
      </w:pPr>
      <w:r>
        <w:rPr>
          <w:rFonts w:hint="eastAsia"/>
          <w:b/>
          <w:bCs/>
        </w:rPr>
        <w:t xml:space="preserve">信号强度：★★★</w:t>
      </w:r>
    </w:p>
    <w:p>
      <w:pPr>
        <w:pStyle w:val="Compact"/>
        <w:numPr>
          <w:ilvl w:val="0"/>
          <w:numId w:val="1026"/>
        </w:numPr>
      </w:pPr>
      <w:r>
        <w:rPr>
          <w:rFonts w:hint="eastAsia"/>
          <w:b/>
          <w:bCs/>
        </w:rPr>
        <w:t xml:space="preserve">A股影响：总体偏中性，增加中东政治与安全不确定性</w:t>
      </w:r>
    </w:p>
    <w:p>
      <w:pPr>
        <w:pStyle w:val="Compact"/>
        <w:numPr>
          <w:ilvl w:val="0"/>
          <w:numId w:val="1026"/>
        </w:numPr>
      </w:pPr>
      <w:r>
        <w:rPr>
          <w:rFonts w:hint="eastAsia"/>
          <w:b/>
          <w:bCs/>
        </w:rPr>
        <w:t xml:space="preserve">关联方向：</w:t>
      </w:r>
      <w:r>
        <w:t xml:space="preserve"> </w:t>
      </w:r>
      <w:r>
        <w:rPr>
          <w:rFonts w:hint="eastAsia"/>
        </w:rPr>
        <w:t xml:space="preserve">区域旅游、航空、安防和国际风险偏好。</w:t>
      </w:r>
    </w:p>
    <w:p>
      <w:pPr>
        <w:pStyle w:val="FirstParagraph"/>
      </w:pPr>
      <w:r>
        <w:rPr>
          <w:rFonts w:hint="eastAsia"/>
        </w:rPr>
        <w:t xml:space="preserve">报道称欧洲外交人员车队遭犹太定居者袭击，法国、比利时方面要求逮捕肇事者；巴勒斯坦方面谴责，以军称访问前未协调且事发时无士兵在场。本条没有经贸制裁或供应链变化，直接产业影响有限。</w:t>
      </w:r>
    </w:p>
    <w:bookmarkEnd w:id="36"/>
    <w:bookmarkStart w:id="37" w:name="加拿大军事基地火灾"/>
    <w:p>
      <w:pPr>
        <w:pStyle w:val="Heading3"/>
      </w:pPr>
      <w:r>
        <w:t xml:space="preserve">13.3 </w:t>
      </w:r>
      <w:r>
        <w:rPr>
          <w:rFonts w:hint="eastAsia"/>
        </w:rPr>
        <w:t xml:space="preserve">加拿大军事基地火灾</w:t>
      </w:r>
    </w:p>
    <w:p>
      <w:pPr>
        <w:pStyle w:val="Compact"/>
        <w:numPr>
          <w:ilvl w:val="0"/>
          <w:numId w:val="1027"/>
        </w:numPr>
      </w:pPr>
      <w:r>
        <w:rPr>
          <w:rFonts w:hint="eastAsia"/>
          <w:b/>
          <w:bCs/>
        </w:rPr>
        <w:t xml:space="preserve">信号强度：★★★</w:t>
      </w:r>
    </w:p>
    <w:p>
      <w:pPr>
        <w:pStyle w:val="Compact"/>
        <w:numPr>
          <w:ilvl w:val="0"/>
          <w:numId w:val="1027"/>
        </w:numPr>
      </w:pPr>
      <w:r>
        <w:rPr>
          <w:rFonts w:hint="eastAsia"/>
          <w:b/>
          <w:bCs/>
        </w:rPr>
        <w:t xml:space="preserve">A股影响：直接影响有限，主要增加海外安全事件不确定性</w:t>
      </w:r>
    </w:p>
    <w:p>
      <w:pPr>
        <w:pStyle w:val="Compact"/>
        <w:numPr>
          <w:ilvl w:val="0"/>
          <w:numId w:val="1027"/>
        </w:numPr>
      </w:pPr>
      <w:r>
        <w:rPr>
          <w:rFonts w:hint="eastAsia"/>
          <w:b/>
          <w:bCs/>
        </w:rPr>
        <w:t xml:space="preserve">关联方向：</w:t>
      </w:r>
      <w:r>
        <w:t xml:space="preserve"> </w:t>
      </w:r>
      <w:r>
        <w:rPr>
          <w:rFonts w:hint="eastAsia"/>
        </w:rPr>
        <w:t xml:space="preserve">消防、应急和军事设施安全观察。</w:t>
      </w:r>
    </w:p>
    <w:p>
      <w:pPr>
        <w:pStyle w:val="FirstParagraph"/>
      </w:pPr>
      <w:r>
        <w:rPr>
          <w:rFonts w:hint="eastAsia"/>
        </w:rPr>
        <w:t xml:space="preserve">加拿大国防部确认事件造成人员伤亡但未披露人数；加拿大媒体称爆炸和火灾造成至少7人死亡、数十人受伤。因官方和媒体披露程度不同，不能把媒体数字改写为最终确认事实；底稿也没有事故原因和采购信息。</w:t>
      </w:r>
    </w:p>
    <w:bookmarkEnd w:id="37"/>
    <w:bookmarkStart w:id="38" w:name="美国加州南部多处林火持续"/>
    <w:p>
      <w:pPr>
        <w:pStyle w:val="Heading3"/>
      </w:pPr>
      <w:r>
        <w:t xml:space="preserve">13.4 </w:t>
      </w:r>
      <w:r>
        <w:rPr>
          <w:rFonts w:hint="eastAsia"/>
        </w:rPr>
        <w:t xml:space="preserve">美国加州南部多处林火持续</w:t>
      </w:r>
    </w:p>
    <w:p>
      <w:pPr>
        <w:pStyle w:val="Compact"/>
        <w:numPr>
          <w:ilvl w:val="0"/>
          <w:numId w:val="1028"/>
        </w:numPr>
      </w:pPr>
      <w:r>
        <w:rPr>
          <w:rFonts w:hint="eastAsia"/>
          <w:b/>
          <w:bCs/>
        </w:rPr>
        <w:t xml:space="preserve">信号强度：★★★</w:t>
      </w:r>
    </w:p>
    <w:p>
      <w:pPr>
        <w:pStyle w:val="Compact"/>
        <w:numPr>
          <w:ilvl w:val="0"/>
          <w:numId w:val="1028"/>
        </w:numPr>
      </w:pPr>
      <w:r>
        <w:rPr>
          <w:rFonts w:hint="eastAsia"/>
          <w:b/>
          <w:bCs/>
        </w:rPr>
        <w:t xml:space="preserve">A股影响：气候灾害风险提示，直接交易映射较弱</w:t>
      </w:r>
    </w:p>
    <w:p>
      <w:pPr>
        <w:pStyle w:val="Compact"/>
        <w:numPr>
          <w:ilvl w:val="0"/>
          <w:numId w:val="1028"/>
        </w:numPr>
      </w:pPr>
      <w:r>
        <w:rPr>
          <w:rFonts w:hint="eastAsia"/>
          <w:b/>
          <w:bCs/>
        </w:rPr>
        <w:t xml:space="preserve">关联方向：</w:t>
      </w:r>
      <w:r>
        <w:t xml:space="preserve"> </w:t>
      </w:r>
      <w:r>
        <w:rPr>
          <w:rFonts w:hint="eastAsia"/>
        </w:rPr>
        <w:t xml:space="preserve">消防装备、气象监测、保险风险和电力设施韧性。</w:t>
      </w:r>
    </w:p>
    <w:p>
      <w:pPr>
        <w:pStyle w:val="FirstParagraph"/>
      </w:pPr>
      <w:r>
        <w:rPr>
          <w:rFonts w:hint="eastAsia"/>
        </w:rPr>
        <w:t xml:space="preserve">奥兰治县部分建筑受损或被毁，约16000人一度被要求撤离；圣迭戈县林火尚未完全受控。火势有所缓和但风险仍在。灾害首先意味着生命财产损失，不应包装为利好；产业映射需等待实际采购和修复需求。</w:t>
      </w:r>
    </w:p>
    <w:bookmarkEnd w:id="38"/>
    <w:bookmarkStart w:id="39" w:name="肯尼亚新增4例埃博拉确诊病例"/>
    <w:p>
      <w:pPr>
        <w:pStyle w:val="Heading3"/>
      </w:pPr>
      <w:r>
        <w:t xml:space="preserve">13.5 </w:t>
      </w:r>
      <w:r>
        <w:rPr>
          <w:rFonts w:hint="eastAsia"/>
        </w:rPr>
        <w:t xml:space="preserve">肯尼亚新增4例埃博拉确诊病例</w:t>
      </w:r>
    </w:p>
    <w:p>
      <w:pPr>
        <w:pStyle w:val="Compact"/>
        <w:numPr>
          <w:ilvl w:val="0"/>
          <w:numId w:val="1029"/>
        </w:numPr>
      </w:pPr>
      <w:r>
        <w:rPr>
          <w:rFonts w:hint="eastAsia"/>
          <w:b/>
          <w:bCs/>
        </w:rPr>
        <w:t xml:space="preserve">信号强度：★★★</w:t>
      </w:r>
    </w:p>
    <w:p>
      <w:pPr>
        <w:pStyle w:val="Compact"/>
        <w:numPr>
          <w:ilvl w:val="0"/>
          <w:numId w:val="1029"/>
        </w:numPr>
      </w:pPr>
      <w:r>
        <w:rPr>
          <w:rFonts w:hint="eastAsia"/>
          <w:b/>
          <w:bCs/>
        </w:rPr>
        <w:t xml:space="preserve">A股影响：公共卫生风险关注升温，但当前全球外溢证据有限</w:t>
      </w:r>
    </w:p>
    <w:p>
      <w:pPr>
        <w:pStyle w:val="Compact"/>
        <w:numPr>
          <w:ilvl w:val="0"/>
          <w:numId w:val="1029"/>
        </w:numPr>
      </w:pPr>
      <w:r>
        <w:rPr>
          <w:rFonts w:hint="eastAsia"/>
          <w:b/>
          <w:bCs/>
        </w:rPr>
        <w:t xml:space="preserve">关联方向：</w:t>
      </w:r>
      <w:r>
        <w:t xml:space="preserve"> </w:t>
      </w:r>
      <w:r>
        <w:rPr>
          <w:rFonts w:hint="eastAsia"/>
        </w:rPr>
        <w:t xml:space="preserve">诊断、防护、疫苗研发和国际卫生合作观察。</w:t>
      </w:r>
    </w:p>
    <w:p>
      <w:pPr>
        <w:pStyle w:val="FirstParagraph"/>
      </w:pPr>
      <w:r>
        <w:rPr>
          <w:rFonts w:hint="eastAsia"/>
        </w:rPr>
        <w:t xml:space="preserve">肯尼亚累计确诊7例，其中1例死亡；4例新增病例确诊时均处于隔离管控中，当前暂无社区传播证据。现阶段不应把局部输入性疫情直接外推为大规模需求，需跟踪传播链、国际卫生机构通报和真实采购。</w:t>
      </w:r>
    </w:p>
    <w:bookmarkEnd w:id="39"/>
    <w:bookmarkEnd w:id="40"/>
    <w:bookmarkStart w:id="42" w:name="六文化与节日条目"/>
    <w:p>
      <w:pPr>
        <w:pStyle w:val="Heading2"/>
      </w:pPr>
      <w:r>
        <w:rPr>
          <w:rFonts w:hint="eastAsia"/>
        </w:rPr>
        <w:t xml:space="preserve">六、文化与节日条目</w:t>
      </w:r>
    </w:p>
    <w:bookmarkStart w:id="41" w:name="中国传统节日重阳敬老孝亲主题与头条养老主线呼应"/>
    <w:p>
      <w:pPr>
        <w:pStyle w:val="Heading3"/>
      </w:pPr>
      <w:r>
        <w:t xml:space="preserve">14. </w:t>
      </w:r>
      <w:r>
        <w:rPr>
          <w:rFonts w:hint="eastAsia"/>
        </w:rPr>
        <w:t xml:space="preserve">中国传统节日·重阳：敬老孝亲主题与头条养老主线呼应</w:t>
      </w:r>
    </w:p>
    <w:p>
      <w:pPr>
        <w:pStyle w:val="Compact"/>
        <w:numPr>
          <w:ilvl w:val="0"/>
          <w:numId w:val="1030"/>
        </w:numPr>
      </w:pPr>
      <w:r>
        <w:rPr>
          <w:rFonts w:hint="eastAsia"/>
          <w:b/>
          <w:bCs/>
        </w:rPr>
        <w:t xml:space="preserve">信号强度：★★</w:t>
      </w:r>
    </w:p>
    <w:p>
      <w:pPr>
        <w:pStyle w:val="Compact"/>
        <w:numPr>
          <w:ilvl w:val="0"/>
          <w:numId w:val="1030"/>
        </w:numPr>
      </w:pPr>
      <w:r>
        <w:rPr>
          <w:rFonts w:hint="eastAsia"/>
          <w:b/>
          <w:bCs/>
        </w:rPr>
        <w:t xml:space="preserve">A股影响：直接催化弱，强化养老、健康和节日文旅的社会关注</w:t>
      </w:r>
    </w:p>
    <w:p>
      <w:pPr>
        <w:pStyle w:val="Compact"/>
        <w:numPr>
          <w:ilvl w:val="0"/>
          <w:numId w:val="1030"/>
        </w:numPr>
      </w:pPr>
      <w:r>
        <w:rPr>
          <w:rFonts w:hint="eastAsia"/>
          <w:b/>
          <w:bCs/>
        </w:rPr>
        <w:t xml:space="preserve">影响时效：短期节日关注，长期文化与人口结构主题</w:t>
      </w:r>
    </w:p>
    <w:p>
      <w:pPr>
        <w:pStyle w:val="Compact"/>
        <w:numPr>
          <w:ilvl w:val="0"/>
          <w:numId w:val="1030"/>
        </w:numPr>
      </w:pPr>
      <w:r>
        <w:rPr>
          <w:rFonts w:hint="eastAsia"/>
          <w:b/>
          <w:bCs/>
        </w:rPr>
        <w:t xml:space="preserve">关联方向：</w:t>
      </w:r>
      <w:r>
        <w:t xml:space="preserve"> </w:t>
      </w:r>
      <w:r>
        <w:rPr>
          <w:rFonts w:hint="eastAsia"/>
        </w:rPr>
        <w:t xml:space="preserve">老年服务、健康消费、节日文旅和传统文化产品。</w:t>
      </w:r>
    </w:p>
    <w:p>
      <w:pPr>
        <w:pStyle w:val="FirstParagraph"/>
      </w:pPr>
      <w:r>
        <w:rPr>
          <w:rFonts w:hint="eastAsia"/>
          <w:b/>
          <w:bCs/>
        </w:rPr>
        <w:t xml:space="preserve">原文事实：</w:t>
      </w:r>
      <w:r>
        <w:t xml:space="preserve"> </w:t>
      </w:r>
      <w:r>
        <w:rPr>
          <w:rFonts w:hint="eastAsia"/>
        </w:rPr>
        <w:t xml:space="preserve">节目介绍重阳节庆祝丰收、思乡思亲、祈愿健康长寿等文化内涵，以及登高赏秋、佩戴茱萸、吃重阳糕、饮菊花茶等习俗，并强调敬老孝亲是当代最厚重的底色。</w:t>
      </w:r>
    </w:p>
    <w:p>
      <w:pPr>
        <w:pStyle w:val="BodyText"/>
      </w:pPr>
      <w:r>
        <w:rPr>
          <w:rFonts w:hint="eastAsia"/>
          <w:b/>
          <w:bCs/>
        </w:rPr>
        <w:t xml:space="preserve">分析：</w:t>
      </w:r>
      <w:r>
        <w:t xml:space="preserve"> </w:t>
      </w:r>
      <w:r>
        <w:rPr>
          <w:rFonts w:hint="eastAsia"/>
        </w:rPr>
        <w:t xml:space="preserve">本条与头条养老报道形成叙事呼应，但属于文化节目，不包含消费数据、促销政策或产业项目。相关方向仍需以实际客流、销量和服务收入验证。</w:t>
      </w:r>
    </w:p>
    <w:bookmarkEnd w:id="41"/>
    <w:bookmarkEnd w:id="42"/>
    <w:bookmarkStart w:id="43" w:name="七板块影响汇总"/>
    <w:p>
      <w:pPr>
        <w:pStyle w:val="Heading2"/>
      </w:pPr>
      <w:r>
        <w:rPr>
          <w:rFonts w:hint="eastAsia"/>
        </w:rPr>
        <w:t xml:space="preserve">七、板块影响汇总</w:t>
      </w:r>
    </w:p>
    <w:tbl>
      <w:tblPr>
        <w:tblStyle w:val="Table"/>
        <w:tblW w:type="pct" w:w="5000"/>
        <w:tblLayout w:type="fixed"/>
        <w:tblLook w:firstRow="1" w:lastRow="0" w:firstColumn="0" w:lastColumn="0" w:noHBand="0" w:noVBand="0" w:val="0020"/>
      </w:tblPr>
      <w:tblGrid>
        <w:gridCol w:w="1485"/>
        <w:gridCol w:w="1485"/>
        <w:gridCol w:w="1485"/>
        <w:gridCol w:w="1980"/>
        <w:gridCol w:w="1485"/>
      </w:tblGrid>
      <w:tr>
        <w:trPr>
          <w:tblHeader w:val="on"/>
        </w:trPr>
        <w:tc>
          <w:tcPr/>
          <w:p>
            <w:pPr>
              <w:pStyle w:val="Compact"/>
            </w:pPr>
            <w:r>
              <w:rPr>
                <w:rFonts w:hint="eastAsia"/>
              </w:rPr>
              <w:t xml:space="preserve">板块</w:t>
            </w:r>
          </w:p>
        </w:tc>
        <w:tc>
          <w:tcPr/>
          <w:p>
            <w:pPr>
              <w:pStyle w:val="Compact"/>
            </w:pPr>
            <w:r>
              <w:rPr>
                <w:rFonts w:hint="eastAsia"/>
              </w:rPr>
              <w:t xml:space="preserve">影响判断</w:t>
            </w:r>
          </w:p>
        </w:tc>
        <w:tc>
          <w:tcPr/>
          <w:p>
            <w:pPr>
              <w:pStyle w:val="Compact"/>
            </w:pPr>
            <w:r>
              <w:rPr>
                <w:rFonts w:hint="eastAsia"/>
              </w:rPr>
              <w:t xml:space="preserve">驱动新闻</w:t>
            </w:r>
          </w:p>
        </w:tc>
        <w:tc>
          <w:tcPr/>
          <w:p>
            <w:pPr>
              <w:pStyle w:val="Compact"/>
              <w:jc w:val="right"/>
            </w:pPr>
            <w:r>
              <w:rPr>
                <w:rFonts w:hint="eastAsia"/>
              </w:rPr>
              <w:t xml:space="preserve">信号强度</w:t>
            </w:r>
          </w:p>
        </w:tc>
        <w:tc>
          <w:tcPr/>
          <w:p>
            <w:pPr>
              <w:pStyle w:val="Compact"/>
            </w:pPr>
            <w:r>
              <w:rPr>
                <w:rFonts w:hint="eastAsia"/>
              </w:rPr>
              <w:t xml:space="preserve">兑现条件</w:t>
            </w:r>
          </w:p>
        </w:tc>
      </w:tr>
      <w:tr>
        <w:tc>
          <w:tcPr/>
          <w:p>
            <w:pPr>
              <w:pStyle w:val="Compact"/>
            </w:pPr>
            <w:r>
              <w:rPr>
                <w:rFonts w:hint="eastAsia"/>
              </w:rPr>
              <w:t xml:space="preserve">养老服务/医养结合/长护险服务</w:t>
            </w:r>
          </w:p>
        </w:tc>
        <w:tc>
          <w:tcPr/>
          <w:p>
            <w:pPr>
              <w:pStyle w:val="Compact"/>
            </w:pPr>
            <w:r>
              <w:rPr>
                <w:rFonts w:hint="eastAsia"/>
              </w:rPr>
              <w:t xml:space="preserve">中长期结构性利好</w:t>
            </w:r>
          </w:p>
        </w:tc>
        <w:tc>
          <w:tcPr/>
          <w:p>
            <w:pPr>
              <w:pStyle w:val="Compact"/>
            </w:pPr>
            <w:r>
              <w:rPr>
                <w:rFonts w:hint="eastAsia"/>
              </w:rPr>
              <w:t xml:space="preserve">头条养老服务扩容提质</w:t>
            </w:r>
          </w:p>
        </w:tc>
        <w:tc>
          <w:tcPr/>
          <w:p>
            <w:pPr>
              <w:pStyle w:val="Compact"/>
              <w:jc w:val="right"/>
            </w:pPr>
            <w:r>
              <w:t xml:space="preserve">★★★★★</w:t>
            </w:r>
          </w:p>
        </w:tc>
        <w:tc>
          <w:tcPr/>
          <w:p>
            <w:pPr>
              <w:pStyle w:val="Compact"/>
            </w:pPr>
            <w:r>
              <w:rPr>
                <w:rFonts w:hint="eastAsia"/>
              </w:rPr>
              <w:t xml:space="preserve">网络建设、支付标准、入住率、护理供给与现金流</w:t>
            </w:r>
          </w:p>
        </w:tc>
      </w:tr>
      <w:tr>
        <w:tc>
          <w:tcPr/>
          <w:p>
            <w:pPr>
              <w:pStyle w:val="Compact"/>
            </w:pPr>
            <w:r>
              <w:rPr>
                <w:rFonts w:hint="eastAsia"/>
              </w:rPr>
              <w:t xml:space="preserve">康复辅具/适老化产品/无障碍工具</w:t>
            </w:r>
          </w:p>
        </w:tc>
        <w:tc>
          <w:tcPr/>
          <w:p>
            <w:pPr>
              <w:pStyle w:val="Compact"/>
            </w:pPr>
            <w:r>
              <w:rPr>
                <w:rFonts w:hint="eastAsia"/>
              </w:rPr>
              <w:t xml:space="preserve">中长期偏利好</w:t>
            </w:r>
          </w:p>
        </w:tc>
        <w:tc>
          <w:tcPr/>
          <w:p>
            <w:pPr>
              <w:pStyle w:val="Compact"/>
            </w:pPr>
            <w:r>
              <w:rPr>
                <w:rFonts w:hint="eastAsia"/>
              </w:rPr>
              <w:t xml:space="preserve">4000多款产品、银发企业集聚</w:t>
            </w:r>
          </w:p>
        </w:tc>
        <w:tc>
          <w:tcPr/>
          <w:p>
            <w:pPr>
              <w:pStyle w:val="Compact"/>
              <w:jc w:val="right"/>
            </w:pPr>
            <w:r>
              <w:t xml:space="preserve">★★★★</w:t>
            </w:r>
          </w:p>
        </w:tc>
        <w:tc>
          <w:tcPr/>
          <w:p>
            <w:pPr>
              <w:pStyle w:val="Compact"/>
            </w:pPr>
            <w:r>
              <w:rPr>
                <w:rFonts w:hint="eastAsia"/>
              </w:rPr>
              <w:t xml:space="preserve">采购、认证、销量、复购与渠道</w:t>
            </w:r>
          </w:p>
        </w:tc>
      </w:tr>
      <w:tr>
        <w:tc>
          <w:tcPr/>
          <w:p>
            <w:pPr>
              <w:pStyle w:val="Compact"/>
            </w:pPr>
            <w:r>
              <w:rPr>
                <w:rFonts w:hint="eastAsia"/>
              </w:rPr>
              <w:t xml:space="preserve">康养旅居/银发旅游</w:t>
            </w:r>
          </w:p>
        </w:tc>
        <w:tc>
          <w:tcPr/>
          <w:p>
            <w:pPr>
              <w:pStyle w:val="Compact"/>
            </w:pPr>
            <w:r>
              <w:rPr>
                <w:rFonts w:hint="eastAsia"/>
              </w:rPr>
              <w:t xml:space="preserve">消费方向偏利好</w:t>
            </w:r>
          </w:p>
        </w:tc>
        <w:tc>
          <w:tcPr/>
          <w:p>
            <w:pPr>
              <w:pStyle w:val="Compact"/>
            </w:pPr>
            <w:r>
              <w:rPr>
                <w:rFonts w:hint="eastAsia"/>
              </w:rPr>
              <w:t xml:space="preserve">黄山旅居套餐、铁路旅游列车增长</w:t>
            </w:r>
          </w:p>
        </w:tc>
        <w:tc>
          <w:tcPr/>
          <w:p>
            <w:pPr>
              <w:pStyle w:val="Compact"/>
              <w:jc w:val="right"/>
            </w:pPr>
            <w:r>
              <w:t xml:space="preserve">★★★</w:t>
            </w:r>
          </w:p>
        </w:tc>
        <w:tc>
          <w:tcPr/>
          <w:p>
            <w:pPr>
              <w:pStyle w:val="Compact"/>
            </w:pPr>
            <w:r>
              <w:rPr>
                <w:rFonts w:hint="eastAsia"/>
              </w:rPr>
              <w:t xml:space="preserve">客流、客单价、淡旺季和运营利润</w:t>
            </w:r>
          </w:p>
        </w:tc>
      </w:tr>
      <w:tr>
        <w:tc>
          <w:tcPr/>
          <w:p>
            <w:pPr>
              <w:pStyle w:val="Compact"/>
            </w:pPr>
            <w:r>
              <w:rPr>
                <w:rFonts w:hint="eastAsia"/>
              </w:rPr>
              <w:t xml:space="preserve">供热管网/换热站/泵阀</w:t>
            </w:r>
          </w:p>
        </w:tc>
        <w:tc>
          <w:tcPr/>
          <w:p>
            <w:pPr>
              <w:pStyle w:val="Compact"/>
            </w:pPr>
            <w:r>
              <w:rPr>
                <w:rFonts w:hint="eastAsia"/>
              </w:rPr>
              <w:t xml:space="preserve">三年行动催化</w:t>
            </w:r>
          </w:p>
        </w:tc>
        <w:tc>
          <w:tcPr/>
          <w:p>
            <w:pPr>
              <w:pStyle w:val="Compact"/>
            </w:pPr>
            <w:r>
              <w:rPr>
                <w:rFonts w:hint="eastAsia"/>
              </w:rPr>
              <w:t xml:space="preserve">六部门“温暖工程”</w:t>
            </w:r>
          </w:p>
        </w:tc>
        <w:tc>
          <w:tcPr/>
          <w:p>
            <w:pPr>
              <w:pStyle w:val="Compact"/>
              <w:jc w:val="right"/>
            </w:pPr>
            <w:r>
              <w:t xml:space="preserve">★★★★</w:t>
            </w:r>
          </w:p>
        </w:tc>
        <w:tc>
          <w:tcPr/>
          <w:p>
            <w:pPr>
              <w:pStyle w:val="Compact"/>
            </w:pPr>
            <w:r>
              <w:rPr>
                <w:rFonts w:hint="eastAsia"/>
              </w:rPr>
              <w:t xml:space="preserve">地方投资、招标、施工与回款</w:t>
            </w:r>
          </w:p>
        </w:tc>
      </w:tr>
      <w:tr>
        <w:tc>
          <w:tcPr/>
          <w:p>
            <w:pPr>
              <w:pStyle w:val="Compact"/>
            </w:pPr>
            <w:r>
              <w:rPr>
                <w:rFonts w:hint="eastAsia"/>
              </w:rPr>
              <w:t xml:space="preserve">热电机组升级/智慧供热</w:t>
            </w:r>
          </w:p>
        </w:tc>
        <w:tc>
          <w:tcPr/>
          <w:p>
            <w:pPr>
              <w:pStyle w:val="Compact"/>
            </w:pPr>
            <w:r>
              <w:rPr>
                <w:rFonts w:hint="eastAsia"/>
              </w:rPr>
              <w:t xml:space="preserve">中期偏利好</w:t>
            </w:r>
          </w:p>
        </w:tc>
        <w:tc>
          <w:tcPr/>
          <w:p>
            <w:pPr>
              <w:pStyle w:val="Compact"/>
            </w:pPr>
            <w:r>
              <w:rPr>
                <w:rFonts w:hint="eastAsia"/>
              </w:rPr>
              <w:t xml:space="preserve">热电机组建设投产和改造升级</w:t>
            </w:r>
          </w:p>
        </w:tc>
        <w:tc>
          <w:tcPr/>
          <w:p>
            <w:pPr>
              <w:pStyle w:val="Compact"/>
              <w:jc w:val="right"/>
            </w:pPr>
            <w:r>
              <w:t xml:space="preserve">★★★★</w:t>
            </w:r>
          </w:p>
        </w:tc>
        <w:tc>
          <w:tcPr/>
          <w:p>
            <w:pPr>
              <w:pStyle w:val="Compact"/>
            </w:pPr>
            <w:r>
              <w:rPr>
                <w:rFonts w:hint="eastAsia"/>
              </w:rPr>
              <w:t xml:space="preserve">项目核准、设备订单、燃料成本与节能效果</w:t>
            </w:r>
          </w:p>
        </w:tc>
      </w:tr>
      <w:tr>
        <w:tc>
          <w:tcPr/>
          <w:p>
            <w:pPr>
              <w:pStyle w:val="Compact"/>
            </w:pPr>
            <w:r>
              <w:rPr>
                <w:rFonts w:hint="eastAsia"/>
              </w:rPr>
              <w:t xml:space="preserve">超长期国债相关“两重”“两新”</w:t>
            </w:r>
          </w:p>
        </w:tc>
        <w:tc>
          <w:tcPr/>
          <w:p>
            <w:pPr>
              <w:pStyle w:val="Compact"/>
            </w:pPr>
            <w:r>
              <w:rPr>
                <w:rFonts w:hint="eastAsia"/>
              </w:rPr>
              <w:t xml:space="preserve">积极财政支撑</w:t>
            </w:r>
          </w:p>
        </w:tc>
        <w:tc>
          <w:tcPr/>
          <w:p>
            <w:pPr>
              <w:pStyle w:val="Compact"/>
            </w:pPr>
            <w:r>
              <w:rPr>
                <w:rFonts w:hint="eastAsia"/>
              </w:rPr>
              <w:t xml:space="preserve">1.3万亿元发行完毕</w:t>
            </w:r>
          </w:p>
        </w:tc>
        <w:tc>
          <w:tcPr/>
          <w:p>
            <w:pPr>
              <w:pStyle w:val="Compact"/>
              <w:jc w:val="right"/>
            </w:pPr>
            <w:r>
              <w:t xml:space="preserve">★★★★</w:t>
            </w:r>
          </w:p>
        </w:tc>
        <w:tc>
          <w:tcPr/>
          <w:p>
            <w:pPr>
              <w:pStyle w:val="Compact"/>
            </w:pPr>
            <w:r>
              <w:rPr>
                <w:rFonts w:hint="eastAsia"/>
              </w:rPr>
              <w:t xml:space="preserve">项目清单、资金拨付和实物工作量</w:t>
            </w:r>
          </w:p>
        </w:tc>
      </w:tr>
      <w:tr>
        <w:tc>
          <w:tcPr/>
          <w:p>
            <w:pPr>
              <w:pStyle w:val="Compact"/>
            </w:pPr>
            <w:r>
              <w:rPr>
                <w:rFonts w:hint="eastAsia"/>
              </w:rPr>
              <w:t xml:space="preserve">氢能装备/检测认证</w:t>
            </w:r>
          </w:p>
        </w:tc>
        <w:tc>
          <w:tcPr/>
          <w:p>
            <w:pPr>
              <w:pStyle w:val="Compact"/>
            </w:pPr>
            <w:r>
              <w:rPr>
                <w:rFonts w:hint="eastAsia"/>
              </w:rPr>
              <w:t xml:space="preserve">标准化结构性利好</w:t>
            </w:r>
          </w:p>
        </w:tc>
        <w:tc>
          <w:tcPr/>
          <w:p>
            <w:pPr>
              <w:pStyle w:val="Compact"/>
            </w:pPr>
            <w:r>
              <w:rPr>
                <w:rFonts w:hint="eastAsia"/>
              </w:rPr>
              <w:t xml:space="preserve">15项全链条国家标准</w:t>
            </w:r>
          </w:p>
        </w:tc>
        <w:tc>
          <w:tcPr/>
          <w:p>
            <w:pPr>
              <w:pStyle w:val="Compact"/>
              <w:jc w:val="right"/>
            </w:pPr>
            <w:r>
              <w:t xml:space="preserve">★★★★</w:t>
            </w:r>
          </w:p>
        </w:tc>
        <w:tc>
          <w:tcPr/>
          <w:p>
            <w:pPr>
              <w:pStyle w:val="Compact"/>
            </w:pPr>
            <w:r>
              <w:rPr>
                <w:rFonts w:hint="eastAsia"/>
              </w:rPr>
              <w:t xml:space="preserve">标准实施、认证、设备更新和项目需求</w:t>
            </w:r>
          </w:p>
        </w:tc>
      </w:tr>
      <w:tr>
        <w:tc>
          <w:tcPr/>
          <w:p>
            <w:pPr>
              <w:pStyle w:val="Compact"/>
            </w:pPr>
            <w:r>
              <w:rPr>
                <w:rFonts w:hint="eastAsia"/>
              </w:rPr>
              <w:t xml:space="preserve">粮食收储/仓储物流</w:t>
            </w:r>
          </w:p>
        </w:tc>
        <w:tc>
          <w:tcPr/>
          <w:p>
            <w:pPr>
              <w:pStyle w:val="Compact"/>
            </w:pPr>
            <w:r>
              <w:rPr>
                <w:rFonts w:hint="eastAsia"/>
              </w:rPr>
              <w:t xml:space="preserve">资金保障偏利好</w:t>
            </w:r>
          </w:p>
        </w:tc>
        <w:tc>
          <w:tcPr/>
          <w:p>
            <w:pPr>
              <w:pStyle w:val="Compact"/>
            </w:pPr>
            <w:r>
              <w:rPr>
                <w:rFonts w:hint="eastAsia"/>
              </w:rPr>
              <w:t xml:space="preserve">2000亿元秋粮收购信贷</w:t>
            </w:r>
          </w:p>
        </w:tc>
        <w:tc>
          <w:tcPr/>
          <w:p>
            <w:pPr>
              <w:pStyle w:val="Compact"/>
              <w:jc w:val="right"/>
            </w:pPr>
            <w:r>
              <w:t xml:space="preserve">★★★★</w:t>
            </w:r>
          </w:p>
        </w:tc>
        <w:tc>
          <w:tcPr/>
          <w:p>
            <w:pPr>
              <w:pStyle w:val="Compact"/>
            </w:pPr>
            <w:r>
              <w:rPr>
                <w:rFonts w:hint="eastAsia"/>
              </w:rPr>
              <w:t xml:space="preserve">贷款投放、收购量、仓容、粮价与资金成本</w:t>
            </w:r>
          </w:p>
        </w:tc>
      </w:tr>
      <w:tr>
        <w:tc>
          <w:tcPr/>
          <w:p>
            <w:pPr>
              <w:pStyle w:val="Compact"/>
            </w:pPr>
            <w:r>
              <w:rPr>
                <w:rFonts w:hint="eastAsia"/>
              </w:rPr>
              <w:t xml:space="preserve">铁路信息化/信号软件</w:t>
            </w:r>
          </w:p>
        </w:tc>
        <w:tc>
          <w:tcPr/>
          <w:p>
            <w:pPr>
              <w:pStyle w:val="Compact"/>
            </w:pPr>
            <w:r>
              <w:rPr>
                <w:rFonts w:hint="eastAsia"/>
              </w:rPr>
              <w:t xml:space="preserve">短中期偏利好</w:t>
            </w:r>
          </w:p>
        </w:tc>
        <w:tc>
          <w:tcPr/>
          <w:p>
            <w:pPr>
              <w:pStyle w:val="Compact"/>
            </w:pPr>
            <w:r>
              <w:rPr>
                <w:rFonts w:hint="eastAsia"/>
              </w:rPr>
              <w:t xml:space="preserve">车次编排改革、系统升级</w:t>
            </w:r>
          </w:p>
        </w:tc>
        <w:tc>
          <w:tcPr/>
          <w:p>
            <w:pPr>
              <w:pStyle w:val="Compact"/>
              <w:jc w:val="right"/>
            </w:pPr>
            <w:r>
              <w:t xml:space="preserve">★★★</w:t>
            </w:r>
          </w:p>
        </w:tc>
        <w:tc>
          <w:tcPr/>
          <w:p>
            <w:pPr>
              <w:pStyle w:val="Compact"/>
            </w:pPr>
            <w:r>
              <w:rPr>
                <w:rFonts w:hint="eastAsia"/>
              </w:rPr>
              <w:t xml:space="preserve">改造范围、采购、验收与运维收入</w:t>
            </w:r>
          </w:p>
        </w:tc>
      </w:tr>
      <w:tr>
        <w:tc>
          <w:tcPr/>
          <w:p>
            <w:pPr>
              <w:pStyle w:val="Compact"/>
            </w:pPr>
            <w:r>
              <w:rPr>
                <w:rFonts w:hint="eastAsia"/>
              </w:rPr>
              <w:t xml:space="preserve">铁路客运/旅游列车</w:t>
            </w:r>
          </w:p>
        </w:tc>
        <w:tc>
          <w:tcPr/>
          <w:p>
            <w:pPr>
              <w:pStyle w:val="Compact"/>
            </w:pPr>
            <w:r>
              <w:rPr>
                <w:rFonts w:hint="eastAsia"/>
              </w:rPr>
              <w:t xml:space="preserve">数据偏利好</w:t>
            </w:r>
          </w:p>
        </w:tc>
        <w:tc>
          <w:tcPr/>
          <w:p>
            <w:pPr>
              <w:pStyle w:val="Compact"/>
            </w:pPr>
            <w:r>
              <w:rPr>
                <w:rFonts w:hint="eastAsia"/>
              </w:rPr>
              <w:t xml:space="preserve">37.1亿人次、旅游列车增长25.5%</w:t>
            </w:r>
          </w:p>
        </w:tc>
        <w:tc>
          <w:tcPr/>
          <w:p>
            <w:pPr>
              <w:pStyle w:val="Compact"/>
              <w:jc w:val="right"/>
            </w:pPr>
            <w:r>
              <w:t xml:space="preserve">★★★</w:t>
            </w:r>
          </w:p>
        </w:tc>
        <w:tc>
          <w:tcPr/>
          <w:p>
            <w:pPr>
              <w:pStyle w:val="Compact"/>
            </w:pPr>
            <w:r>
              <w:rPr>
                <w:rFonts w:hint="eastAsia"/>
              </w:rPr>
              <w:t xml:space="preserve">运能、票价、成本、客座率和文旅转化</w:t>
            </w:r>
          </w:p>
        </w:tc>
      </w:tr>
      <w:tr>
        <w:tc>
          <w:tcPr/>
          <w:p>
            <w:pPr>
              <w:pStyle w:val="Compact"/>
            </w:pPr>
            <w:r>
              <w:rPr>
                <w:rFonts w:hint="eastAsia"/>
              </w:rPr>
              <w:t xml:space="preserve">甘肃先进制造/新能源外送</w:t>
            </w:r>
          </w:p>
        </w:tc>
        <w:tc>
          <w:tcPr/>
          <w:p>
            <w:pPr>
              <w:pStyle w:val="Compact"/>
            </w:pPr>
            <w:r>
              <w:rPr>
                <w:rFonts w:hint="eastAsia"/>
              </w:rPr>
              <w:t xml:space="preserve">中长期偏利好</w:t>
            </w:r>
          </w:p>
        </w:tc>
        <w:tc>
          <w:tcPr/>
          <w:p>
            <w:pPr>
              <w:pStyle w:val="Compact"/>
            </w:pPr>
            <w:r>
              <w:rPr>
                <w:rFonts w:hint="eastAsia"/>
              </w:rPr>
              <w:t xml:space="preserve">4个国家级、6个千亿级集群及两条外送通道</w:t>
            </w:r>
          </w:p>
        </w:tc>
        <w:tc>
          <w:tcPr/>
          <w:p>
            <w:pPr>
              <w:pStyle w:val="Compact"/>
              <w:jc w:val="right"/>
            </w:pPr>
            <w:r>
              <w:t xml:space="preserve">★★★★</w:t>
            </w:r>
          </w:p>
        </w:tc>
        <w:tc>
          <w:tcPr/>
          <w:p>
            <w:pPr>
              <w:pStyle w:val="Compact"/>
            </w:pPr>
            <w:r>
              <w:rPr>
                <w:rFonts w:hint="eastAsia"/>
              </w:rPr>
              <w:t xml:space="preserve">规划细则、核准、招标、消纳与投产</w:t>
            </w:r>
          </w:p>
        </w:tc>
      </w:tr>
      <w:tr>
        <w:tc>
          <w:tcPr/>
          <w:p>
            <w:pPr>
              <w:pStyle w:val="Compact"/>
            </w:pPr>
            <w:r>
              <w:rPr>
                <w:rFonts w:hint="eastAsia"/>
              </w:rPr>
              <w:t xml:space="preserve">寒旱农业/节水工程</w:t>
            </w:r>
          </w:p>
        </w:tc>
        <w:tc>
          <w:tcPr/>
          <w:p>
            <w:pPr>
              <w:pStyle w:val="Compact"/>
            </w:pPr>
            <w:r>
              <w:rPr>
                <w:rFonts w:hint="eastAsia"/>
              </w:rPr>
              <w:t xml:space="preserve">中长期偏利好</w:t>
            </w:r>
          </w:p>
        </w:tc>
        <w:tc>
          <w:tcPr/>
          <w:p>
            <w:pPr>
              <w:pStyle w:val="Compact"/>
            </w:pPr>
            <w:r>
              <w:rPr>
                <w:rFonts w:hint="eastAsia"/>
              </w:rPr>
              <w:t xml:space="preserve">八大农业集群目标、引洮工程</w:t>
            </w:r>
          </w:p>
        </w:tc>
        <w:tc>
          <w:tcPr/>
          <w:p>
            <w:pPr>
              <w:pStyle w:val="Compact"/>
              <w:jc w:val="right"/>
            </w:pPr>
            <w:r>
              <w:t xml:space="preserve">★★★★</w:t>
            </w:r>
          </w:p>
        </w:tc>
        <w:tc>
          <w:tcPr/>
          <w:p>
            <w:pPr>
              <w:pStyle w:val="Compact"/>
            </w:pPr>
            <w:r>
              <w:rPr>
                <w:rFonts w:hint="eastAsia"/>
              </w:rPr>
              <w:t xml:space="preserve">项目投资、产量、价格和渠道</w:t>
            </w:r>
          </w:p>
        </w:tc>
      </w:tr>
      <w:tr>
        <w:tc>
          <w:tcPr/>
          <w:p>
            <w:pPr>
              <w:pStyle w:val="Compact"/>
            </w:pPr>
            <w:r>
              <w:rPr>
                <w:rFonts w:hint="eastAsia"/>
              </w:rPr>
              <w:t xml:space="preserve">政务信息化/社保系统</w:t>
            </w:r>
          </w:p>
        </w:tc>
        <w:tc>
          <w:tcPr/>
          <w:p>
            <w:pPr>
              <w:pStyle w:val="Compact"/>
            </w:pPr>
            <w:r>
              <w:rPr>
                <w:rFonts w:hint="eastAsia"/>
              </w:rPr>
              <w:t xml:space="preserve">长期偏利好</w:t>
            </w:r>
          </w:p>
        </w:tc>
        <w:tc>
          <w:tcPr/>
          <w:p>
            <w:pPr>
              <w:pStyle w:val="Compact"/>
            </w:pPr>
            <w:r>
              <w:rPr>
                <w:rFonts w:hint="eastAsia"/>
              </w:rPr>
              <w:t xml:space="preserve">104项跨地区服务、线上办理超80%</w:t>
            </w:r>
          </w:p>
        </w:tc>
        <w:tc>
          <w:tcPr/>
          <w:p>
            <w:pPr>
              <w:pStyle w:val="Compact"/>
              <w:jc w:val="right"/>
            </w:pPr>
            <w:r>
              <w:t xml:space="preserve">★★★</w:t>
            </w:r>
          </w:p>
        </w:tc>
        <w:tc>
          <w:tcPr/>
          <w:p>
            <w:pPr>
              <w:pStyle w:val="Compact"/>
            </w:pPr>
            <w:r>
              <w:rPr>
                <w:rFonts w:hint="eastAsia"/>
              </w:rPr>
              <w:t xml:space="preserve">采购、系统升级、数据安全与运维</w:t>
            </w:r>
          </w:p>
        </w:tc>
      </w:tr>
      <w:tr>
        <w:tc>
          <w:tcPr/>
          <w:p>
            <w:pPr>
              <w:pStyle w:val="Compact"/>
            </w:pPr>
            <w:r>
              <w:rPr>
                <w:rFonts w:hint="eastAsia"/>
              </w:rPr>
              <w:t xml:space="preserve">航天育种/空间生命科学</w:t>
            </w:r>
          </w:p>
        </w:tc>
        <w:tc>
          <w:tcPr/>
          <w:p>
            <w:pPr>
              <w:pStyle w:val="Compact"/>
            </w:pPr>
            <w:r>
              <w:rPr>
                <w:rFonts w:hint="eastAsia"/>
              </w:rPr>
              <w:t xml:space="preserve">长期科研利好</w:t>
            </w:r>
          </w:p>
        </w:tc>
        <w:tc>
          <w:tcPr/>
          <w:p>
            <w:pPr>
              <w:pStyle w:val="Compact"/>
            </w:pPr>
            <w:r>
              <w:rPr>
                <w:rFonts w:hint="eastAsia"/>
              </w:rPr>
              <w:t xml:space="preserve">太空两代水稻实验</w:t>
            </w:r>
          </w:p>
        </w:tc>
        <w:tc>
          <w:tcPr/>
          <w:p>
            <w:pPr>
              <w:pStyle w:val="Compact"/>
              <w:jc w:val="right"/>
            </w:pPr>
            <w:r>
              <w:t xml:space="preserve">★★★</w:t>
            </w:r>
          </w:p>
        </w:tc>
        <w:tc>
          <w:tcPr/>
          <w:p>
            <w:pPr>
              <w:pStyle w:val="Compact"/>
            </w:pPr>
            <w:r>
              <w:rPr>
                <w:rFonts w:hint="eastAsia"/>
              </w:rPr>
              <w:t xml:space="preserve">样品分析、地面验证、审定与商业化</w:t>
            </w:r>
          </w:p>
        </w:tc>
      </w:tr>
      <w:tr>
        <w:tc>
          <w:tcPr/>
          <w:p>
            <w:pPr>
              <w:pStyle w:val="Compact"/>
            </w:pPr>
            <w:r>
              <w:rPr>
                <w:rFonts w:hint="eastAsia"/>
              </w:rPr>
              <w:t xml:space="preserve">中亚铁路/跨境物流/工程服务</w:t>
            </w:r>
          </w:p>
        </w:tc>
        <w:tc>
          <w:tcPr/>
          <w:p>
            <w:pPr>
              <w:pStyle w:val="Compact"/>
            </w:pPr>
            <w:r>
              <w:rPr>
                <w:rFonts w:hint="eastAsia"/>
              </w:rPr>
              <w:t xml:space="preserve">中长期合作预期</w:t>
            </w:r>
          </w:p>
        </w:tc>
        <w:tc>
          <w:tcPr/>
          <w:p>
            <w:pPr>
              <w:pStyle w:val="Compact"/>
            </w:pPr>
            <w:r>
              <w:rPr>
                <w:rFonts w:hint="eastAsia"/>
              </w:rPr>
              <w:t xml:space="preserve">中乌会谈、中吉乌铁路、上合合作</w:t>
            </w:r>
          </w:p>
        </w:tc>
        <w:tc>
          <w:tcPr/>
          <w:p>
            <w:pPr>
              <w:pStyle w:val="Compact"/>
              <w:jc w:val="right"/>
            </w:pPr>
            <w:r>
              <w:t xml:space="preserve">★★★★</w:t>
            </w:r>
          </w:p>
        </w:tc>
        <w:tc>
          <w:tcPr/>
          <w:p>
            <w:pPr>
              <w:pStyle w:val="Compact"/>
            </w:pPr>
            <w:r>
              <w:rPr>
                <w:rFonts w:hint="eastAsia"/>
              </w:rPr>
              <w:t xml:space="preserve">合同、融资、开工、运量和回款</w:t>
            </w:r>
          </w:p>
        </w:tc>
      </w:tr>
      <w:tr>
        <w:tc>
          <w:tcPr/>
          <w:p>
            <w:pPr>
              <w:pStyle w:val="Compact"/>
            </w:pPr>
            <w:r>
              <w:rPr>
                <w:rFonts w:hint="eastAsia"/>
              </w:rPr>
              <w:t xml:space="preserve">深圳外贸/集成电路/电脑链</w:t>
            </w:r>
          </w:p>
        </w:tc>
        <w:tc>
          <w:tcPr/>
          <w:p>
            <w:pPr>
              <w:pStyle w:val="Compact"/>
            </w:pPr>
            <w:r>
              <w:rPr>
                <w:rFonts w:hint="eastAsia"/>
              </w:rPr>
              <w:t xml:space="preserve">数据偏利好</w:t>
            </w:r>
          </w:p>
        </w:tc>
        <w:tc>
          <w:tcPr/>
          <w:p>
            <w:pPr>
              <w:pStyle w:val="Compact"/>
            </w:pPr>
            <w:r>
              <w:rPr>
                <w:rFonts w:hint="eastAsia"/>
              </w:rPr>
              <w:t xml:space="preserve">对APEC进出口增长40%</w:t>
            </w:r>
          </w:p>
        </w:tc>
        <w:tc>
          <w:tcPr/>
          <w:p>
            <w:pPr>
              <w:pStyle w:val="Compact"/>
              <w:jc w:val="right"/>
            </w:pPr>
            <w:r>
              <w:t xml:space="preserve">★★★★</w:t>
            </w:r>
          </w:p>
        </w:tc>
        <w:tc>
          <w:tcPr/>
          <w:p>
            <w:pPr>
              <w:pStyle w:val="Compact"/>
            </w:pPr>
            <w:r>
              <w:rPr>
                <w:rFonts w:hint="eastAsia"/>
              </w:rPr>
              <w:t xml:space="preserve">企业出口、利润率、汇率和回款</w:t>
            </w:r>
          </w:p>
        </w:tc>
      </w:tr>
      <w:tr>
        <w:tc>
          <w:tcPr/>
          <w:p>
            <w:pPr>
              <w:pStyle w:val="Compact"/>
            </w:pPr>
            <w:r>
              <w:rPr>
                <w:rFonts w:hint="eastAsia"/>
              </w:rPr>
              <w:t xml:space="preserve">文化演艺/区域文旅</w:t>
            </w:r>
          </w:p>
        </w:tc>
        <w:tc>
          <w:tcPr/>
          <w:p>
            <w:pPr>
              <w:pStyle w:val="Compact"/>
            </w:pPr>
            <w:r>
              <w:rPr>
                <w:rFonts w:hint="eastAsia"/>
              </w:rPr>
              <w:t xml:space="preserve">事件与消费关注</w:t>
            </w:r>
          </w:p>
        </w:tc>
        <w:tc>
          <w:tcPr/>
          <w:p>
            <w:pPr>
              <w:pStyle w:val="Compact"/>
            </w:pPr>
            <w:r>
              <w:rPr>
                <w:rFonts w:hint="eastAsia"/>
              </w:rPr>
              <w:t xml:space="preserve">良渚、上海艺术节、电影周、武当文化节</w:t>
            </w:r>
          </w:p>
        </w:tc>
        <w:tc>
          <w:tcPr/>
          <w:p>
            <w:pPr>
              <w:pStyle w:val="Compact"/>
              <w:jc w:val="right"/>
            </w:pPr>
            <w:r>
              <w:t xml:space="preserve">★★—★★★</w:t>
            </w:r>
          </w:p>
        </w:tc>
        <w:tc>
          <w:tcPr/>
          <w:p>
            <w:pPr>
              <w:pStyle w:val="Compact"/>
            </w:pPr>
            <w:r>
              <w:rPr>
                <w:rFonts w:hint="eastAsia"/>
              </w:rPr>
              <w:t xml:space="preserve">客流、票房、上座率和运营利润</w:t>
            </w:r>
          </w:p>
        </w:tc>
      </w:tr>
      <w:tr>
        <w:tc>
          <w:tcPr/>
          <w:p>
            <w:pPr>
              <w:pStyle w:val="Compact"/>
            </w:pPr>
            <w:r>
              <w:rPr>
                <w:rFonts w:hint="eastAsia"/>
              </w:rPr>
              <w:t xml:space="preserve">防务/反无人机/油气安全</w:t>
            </w:r>
          </w:p>
        </w:tc>
        <w:tc>
          <w:tcPr/>
          <w:p>
            <w:pPr>
              <w:pStyle w:val="Compact"/>
            </w:pPr>
            <w:r>
              <w:rPr>
                <w:rFonts w:hint="eastAsia"/>
              </w:rPr>
              <w:t xml:space="preserve">风险溢价可能上升</w:t>
            </w:r>
          </w:p>
        </w:tc>
        <w:tc>
          <w:tcPr/>
          <w:p>
            <w:pPr>
              <w:pStyle w:val="Compact"/>
            </w:pPr>
            <w:r>
              <w:rPr>
                <w:rFonts w:hint="eastAsia"/>
              </w:rPr>
              <w:t xml:space="preserve">也门与俄乌冲突</w:t>
            </w:r>
          </w:p>
        </w:tc>
        <w:tc>
          <w:tcPr/>
          <w:p>
            <w:pPr>
              <w:pStyle w:val="Compact"/>
              <w:jc w:val="right"/>
            </w:pPr>
            <w:r>
              <w:t xml:space="preserve">★★★★</w:t>
            </w:r>
          </w:p>
        </w:tc>
        <w:tc>
          <w:tcPr/>
          <w:p>
            <w:pPr>
              <w:pStyle w:val="Compact"/>
            </w:pPr>
            <w:r>
              <w:rPr>
                <w:rFonts w:hint="eastAsia"/>
              </w:rPr>
              <w:t xml:space="preserve">冲突持续性、订单、油价和供应影响</w:t>
            </w:r>
          </w:p>
        </w:tc>
      </w:tr>
      <w:tr>
        <w:tc>
          <w:tcPr/>
          <w:p>
            <w:pPr>
              <w:pStyle w:val="Compact"/>
            </w:pPr>
            <w:r>
              <w:rPr>
                <w:rFonts w:hint="eastAsia"/>
              </w:rPr>
              <w:t xml:space="preserve">航空/国际物流/风险资产</w:t>
            </w:r>
          </w:p>
        </w:tc>
        <w:tc>
          <w:tcPr/>
          <w:p>
            <w:pPr>
              <w:pStyle w:val="Compact"/>
            </w:pPr>
            <w:r>
              <w:rPr>
                <w:rFonts w:hint="eastAsia"/>
              </w:rPr>
              <w:t xml:space="preserve">潜在承压</w:t>
            </w:r>
          </w:p>
        </w:tc>
        <w:tc>
          <w:tcPr/>
          <w:p>
            <w:pPr>
              <w:pStyle w:val="Compact"/>
            </w:pPr>
            <w:r>
              <w:rPr>
                <w:rFonts w:hint="eastAsia"/>
              </w:rPr>
              <w:t xml:space="preserve">中东及俄乌安全风险</w:t>
            </w:r>
          </w:p>
        </w:tc>
        <w:tc>
          <w:tcPr/>
          <w:p>
            <w:pPr>
              <w:pStyle w:val="Compact"/>
              <w:jc w:val="right"/>
            </w:pPr>
            <w:r>
              <w:t xml:space="preserve">★★★★</w:t>
            </w:r>
          </w:p>
        </w:tc>
        <w:tc>
          <w:tcPr/>
          <w:p>
            <w:pPr>
              <w:pStyle w:val="Compact"/>
            </w:pPr>
            <w:r>
              <w:rPr>
                <w:rFonts w:hint="eastAsia"/>
              </w:rPr>
              <w:t xml:space="preserve">航线、能源价格、保险运价和风险偏好</w:t>
            </w:r>
          </w:p>
        </w:tc>
      </w:tr>
      <w:tr>
        <w:tc>
          <w:tcPr/>
          <w:p>
            <w:pPr>
              <w:pStyle w:val="Compact"/>
            </w:pPr>
            <w:r>
              <w:rPr>
                <w:rFonts w:hint="eastAsia"/>
              </w:rPr>
              <w:t xml:space="preserve">公共卫生/诊断防护</w:t>
            </w:r>
          </w:p>
        </w:tc>
        <w:tc>
          <w:tcPr/>
          <w:p>
            <w:pPr>
              <w:pStyle w:val="Compact"/>
            </w:pPr>
            <w:r>
              <w:rPr>
                <w:rFonts w:hint="eastAsia"/>
              </w:rPr>
              <w:t xml:space="preserve">观察性影响</w:t>
            </w:r>
          </w:p>
        </w:tc>
        <w:tc>
          <w:tcPr/>
          <w:p>
            <w:pPr>
              <w:pStyle w:val="Compact"/>
            </w:pPr>
            <w:r>
              <w:rPr>
                <w:rFonts w:hint="eastAsia"/>
              </w:rPr>
              <w:t xml:space="preserve">肯尼亚埃博拉病例</w:t>
            </w:r>
          </w:p>
        </w:tc>
        <w:tc>
          <w:tcPr/>
          <w:p>
            <w:pPr>
              <w:pStyle w:val="Compact"/>
              <w:jc w:val="right"/>
            </w:pPr>
            <w:r>
              <w:t xml:space="preserve">★★★</w:t>
            </w:r>
          </w:p>
        </w:tc>
        <w:tc>
          <w:tcPr/>
          <w:p>
            <w:pPr>
              <w:pStyle w:val="Compact"/>
            </w:pPr>
            <w:r>
              <w:rPr>
                <w:rFonts w:hint="eastAsia"/>
              </w:rPr>
              <w:t xml:space="preserve">传播范围、权威通报和真实采购</w:t>
            </w:r>
          </w:p>
        </w:tc>
      </w:tr>
    </w:tbl>
    <w:bookmarkEnd w:id="43"/>
    <w:bookmarkStart w:id="47" w:name="八操作框架"/>
    <w:p>
      <w:pPr>
        <w:pStyle w:val="Heading2"/>
      </w:pPr>
      <w:r>
        <w:rPr>
          <w:rFonts w:hint="eastAsia"/>
        </w:rPr>
        <w:t xml:space="preserve">八、操作框架</w:t>
      </w:r>
    </w:p>
    <w:bookmarkStart w:id="44" w:name="短线方向"/>
    <w:p>
      <w:pPr>
        <w:pStyle w:val="Heading3"/>
      </w:pPr>
      <w:r>
        <w:rPr>
          <w:rFonts w:hint="eastAsia"/>
        </w:rPr>
        <w:t xml:space="preserve">短线方向</w:t>
      </w:r>
    </w:p>
    <w:p>
      <w:pPr>
        <w:pStyle w:val="Compact"/>
        <w:numPr>
          <w:ilvl w:val="0"/>
          <w:numId w:val="1031"/>
        </w:numPr>
      </w:pPr>
      <w:r>
        <w:rPr>
          <w:rFonts w:hint="eastAsia"/>
          <w:b/>
          <w:bCs/>
        </w:rPr>
        <w:t xml:space="preserve">第一优先观察供热改造与氢能标准。</w:t>
      </w:r>
      <w:r>
        <w:t xml:space="preserve"> </w:t>
      </w:r>
      <w:r>
        <w:rPr>
          <w:rFonts w:hint="eastAsia"/>
        </w:rPr>
        <w:t xml:space="preserve">两条线分别具备六部门三年方案和15项国家标准，政策载体清晰；但只有出现预算、招标、订单和量价承接才算兑现，若仅因标题高开不追。</w:t>
      </w:r>
    </w:p>
    <w:p>
      <w:pPr>
        <w:pStyle w:val="Compact"/>
        <w:numPr>
          <w:ilvl w:val="0"/>
          <w:numId w:val="1031"/>
        </w:numPr>
      </w:pPr>
      <w:r>
        <w:rPr>
          <w:rFonts w:hint="eastAsia"/>
          <w:b/>
          <w:bCs/>
        </w:rPr>
        <w:t xml:space="preserve">第二优先观察积极财政与秋粮收储。</w:t>
      </w:r>
      <w:r>
        <w:t xml:space="preserve"> </w:t>
      </w:r>
      <w:r>
        <w:rPr>
          <w:rFonts w:hint="eastAsia"/>
        </w:rPr>
        <w:t xml:space="preserve">1.3万亿元特别国债已发行完毕、2000亿元秋粮收购信贷已安排，但需要区分“资金可用”与“企业收入确认”，重点看项目清单、投放和实物工作量。</w:t>
      </w:r>
    </w:p>
    <w:p>
      <w:pPr>
        <w:pStyle w:val="Compact"/>
        <w:numPr>
          <w:ilvl w:val="0"/>
          <w:numId w:val="1031"/>
        </w:numPr>
      </w:pPr>
      <w:r>
        <w:rPr>
          <w:rFonts w:hint="eastAsia"/>
          <w:b/>
          <w:bCs/>
        </w:rPr>
        <w:t xml:space="preserve">养老与银发经济以中期验证为主。</w:t>
      </w:r>
      <w:r>
        <w:t xml:space="preserve"> </w:t>
      </w:r>
      <w:r>
        <w:rPr>
          <w:rFonts w:hint="eastAsia"/>
        </w:rPr>
        <w:t xml:space="preserve">头条级别高、长期需求明确，但细分模式差异大，应优先跟踪支付来源、入住率、服务标准、设备销量和现金流，避免把老龄人口总量直接转化为盈利预期。</w:t>
      </w:r>
    </w:p>
    <w:p>
      <w:pPr>
        <w:pStyle w:val="Compact"/>
        <w:numPr>
          <w:ilvl w:val="0"/>
          <w:numId w:val="1031"/>
        </w:numPr>
      </w:pPr>
      <w:r>
        <w:rPr>
          <w:rFonts w:hint="eastAsia"/>
          <w:b/>
          <w:bCs/>
        </w:rPr>
        <w:t xml:space="preserve">地缘风险线不追单方战报。</w:t>
      </w:r>
      <w:r>
        <w:t xml:space="preserve"> </w:t>
      </w:r>
      <w:r>
        <w:rPr>
          <w:rFonts w:hint="eastAsia"/>
        </w:rPr>
        <w:t xml:space="preserve">也门、俄乌信息均含当事方口径，只在能源价格、航线、保险运价或订单出现确认时提高权重。</w:t>
      </w:r>
    </w:p>
    <w:bookmarkEnd w:id="44"/>
    <w:bookmarkStart w:id="45" w:name="中线布局"/>
    <w:p>
      <w:pPr>
        <w:pStyle w:val="Heading3"/>
      </w:pPr>
      <w:r>
        <w:rPr>
          <w:rFonts w:hint="eastAsia"/>
        </w:rPr>
        <w:t xml:space="preserve">中线布局</w:t>
      </w:r>
    </w:p>
    <w:p>
      <w:pPr>
        <w:pStyle w:val="Compact"/>
        <w:numPr>
          <w:ilvl w:val="0"/>
          <w:numId w:val="1032"/>
        </w:numPr>
      </w:pPr>
      <w:r>
        <w:rPr>
          <w:rFonts w:hint="eastAsia"/>
        </w:rPr>
        <w:t xml:space="preserve">养老服务沿“城乡网络—社区居家—医养结合—长护险支付—适老化产品—康养旅居”逐层跟踪，优先选择商业模式、支付方和现金流清晰的环节。</w:t>
      </w:r>
    </w:p>
    <w:p>
      <w:pPr>
        <w:pStyle w:val="Compact"/>
        <w:numPr>
          <w:ilvl w:val="0"/>
          <w:numId w:val="1032"/>
        </w:numPr>
      </w:pPr>
      <w:r>
        <w:rPr>
          <w:rFonts w:hint="eastAsia"/>
        </w:rPr>
        <w:t xml:space="preserve">供热工程沿“老化管网—热力站—热电机组—数字运维”观察，核验地方资本开支、项目回款与节能收益。</w:t>
      </w:r>
    </w:p>
    <w:p>
      <w:pPr>
        <w:pStyle w:val="Compact"/>
        <w:numPr>
          <w:ilvl w:val="0"/>
          <w:numId w:val="1032"/>
        </w:numPr>
      </w:pPr>
      <w:r>
        <w:rPr>
          <w:rFonts w:hint="eastAsia"/>
        </w:rPr>
        <w:t xml:space="preserve">氢能标准沿“制氢—储运—加氢—检测安全”跟踪认证与设备更新，注意标准提高门槛既利好合规能力，也会淘汰或增加弱企业成本。</w:t>
      </w:r>
    </w:p>
    <w:p>
      <w:pPr>
        <w:pStyle w:val="Compact"/>
        <w:numPr>
          <w:ilvl w:val="0"/>
          <w:numId w:val="1032"/>
        </w:numPr>
      </w:pPr>
      <w:r>
        <w:rPr>
          <w:rFonts w:hint="eastAsia"/>
        </w:rPr>
        <w:t xml:space="preserve">铁路线区分信息系统升级、实际列车投放和客流增长，避免将“车次可编排数量增加近40%”误解为运力或订单同步增加40%。</w:t>
      </w:r>
    </w:p>
    <w:p>
      <w:pPr>
        <w:pStyle w:val="Compact"/>
        <w:numPr>
          <w:ilvl w:val="0"/>
          <w:numId w:val="1032"/>
        </w:numPr>
      </w:pPr>
      <w:r>
        <w:rPr>
          <w:rFonts w:hint="eastAsia"/>
        </w:rPr>
        <w:t xml:space="preserve">中亚合作以中吉乌铁路、能源资源、现代农业和跨境物流为观察点，只在项目、合同、融资与开工证据出现后提高确定性。</w:t>
      </w:r>
    </w:p>
    <w:p>
      <w:pPr>
        <w:pStyle w:val="Compact"/>
        <w:numPr>
          <w:ilvl w:val="0"/>
          <w:numId w:val="1032"/>
        </w:numPr>
      </w:pPr>
      <w:r>
        <w:rPr>
          <w:rFonts w:hint="eastAsia"/>
        </w:rPr>
        <w:t xml:space="preserve">甘肃产业规划关注先进制造集群、新能源外送和寒旱农业，需同步核验电网消纳、项目核准、产业投资与农业价格。</w:t>
      </w:r>
    </w:p>
    <w:bookmarkEnd w:id="45"/>
    <w:bookmarkStart w:id="46" w:name="风险与证伪"/>
    <w:p>
      <w:pPr>
        <w:pStyle w:val="Heading3"/>
      </w:pPr>
      <w:r>
        <w:rPr>
          <w:rFonts w:hint="eastAsia"/>
        </w:rPr>
        <w:t xml:space="preserve">风险与证伪</w:t>
      </w:r>
    </w:p>
    <w:p>
      <w:pPr>
        <w:pStyle w:val="Compact"/>
        <w:numPr>
          <w:ilvl w:val="0"/>
          <w:numId w:val="1033"/>
        </w:numPr>
      </w:pPr>
      <w:r>
        <w:rPr>
          <w:rFonts w:hint="eastAsia"/>
          <w:b/>
          <w:bCs/>
        </w:rPr>
        <w:t xml:space="preserve">养老支付与运营风险：</w:t>
      </w:r>
      <w:r>
        <w:t xml:space="preserve"> </w:t>
      </w:r>
      <w:r>
        <w:rPr>
          <w:rFonts w:hint="eastAsia"/>
        </w:rPr>
        <w:t xml:space="preserve">若长护险覆盖、财政支持、入住率、护理供给或收费能力不足，人口需求难以转化为稳定现金流。</w:t>
      </w:r>
    </w:p>
    <w:p>
      <w:pPr>
        <w:pStyle w:val="Compact"/>
        <w:numPr>
          <w:ilvl w:val="0"/>
          <w:numId w:val="1033"/>
        </w:numPr>
      </w:pPr>
      <w:r>
        <w:rPr>
          <w:rFonts w:hint="eastAsia"/>
          <w:b/>
          <w:bCs/>
        </w:rPr>
        <w:t xml:space="preserve">基建回款风险：</w:t>
      </w:r>
      <w:r>
        <w:t xml:space="preserve"> </w:t>
      </w:r>
      <w:r>
        <w:rPr>
          <w:rFonts w:hint="eastAsia"/>
        </w:rPr>
        <w:t xml:space="preserve">供热管网、热力站、电网和重大工程均依赖资本开支与回款，政策方向不等于项目利润。</w:t>
      </w:r>
    </w:p>
    <w:p>
      <w:pPr>
        <w:pStyle w:val="Compact"/>
        <w:numPr>
          <w:ilvl w:val="0"/>
          <w:numId w:val="1033"/>
        </w:numPr>
      </w:pPr>
      <w:r>
        <w:rPr>
          <w:rFonts w:hint="eastAsia"/>
          <w:b/>
          <w:bCs/>
        </w:rPr>
        <w:t xml:space="preserve">标准落地风险：</w:t>
      </w:r>
      <w:r>
        <w:t xml:space="preserve"> </w:t>
      </w:r>
      <w:r>
        <w:rPr>
          <w:rFonts w:hint="eastAsia"/>
        </w:rPr>
        <w:t xml:space="preserve">氢能国家标准可能带来更新需求，也可能抬高改造、认证和合规成本；需观察实施节奏与真实采购。</w:t>
      </w:r>
    </w:p>
    <w:p>
      <w:pPr>
        <w:pStyle w:val="Compact"/>
        <w:numPr>
          <w:ilvl w:val="0"/>
          <w:numId w:val="1033"/>
        </w:numPr>
      </w:pPr>
      <w:r>
        <w:rPr>
          <w:rFonts w:hint="eastAsia"/>
          <w:b/>
          <w:bCs/>
        </w:rPr>
        <w:t xml:space="preserve">财政资金传导风险：</w:t>
      </w:r>
      <w:r>
        <w:t xml:space="preserve"> </w:t>
      </w:r>
      <w:r>
        <w:rPr>
          <w:rFonts w:hint="eastAsia"/>
        </w:rPr>
        <w:t xml:space="preserve">国债发行完毕不代表资金已全部形成项目收入，若项目储备、配套资金或施工进度不及预期，主题会弱化。</w:t>
      </w:r>
    </w:p>
    <w:p>
      <w:pPr>
        <w:pStyle w:val="Compact"/>
        <w:numPr>
          <w:ilvl w:val="0"/>
          <w:numId w:val="1033"/>
        </w:numPr>
      </w:pPr>
      <w:r>
        <w:rPr>
          <w:rFonts w:hint="eastAsia"/>
          <w:b/>
          <w:bCs/>
        </w:rPr>
        <w:t xml:space="preserve">铁路概念误读风险：</w:t>
      </w:r>
      <w:r>
        <w:t xml:space="preserve"> </w:t>
      </w:r>
      <w:r>
        <w:rPr>
          <w:rFonts w:hint="eastAsia"/>
        </w:rPr>
        <w:t xml:space="preserve">车次编码容量增长是规则和系统能力提升，不是列车数量、线路里程或设备订单同比增长的直接证据。</w:t>
      </w:r>
    </w:p>
    <w:p>
      <w:pPr>
        <w:pStyle w:val="Compact"/>
        <w:numPr>
          <w:ilvl w:val="0"/>
          <w:numId w:val="1033"/>
        </w:numPr>
      </w:pPr>
      <w:r>
        <w:rPr>
          <w:rFonts w:hint="eastAsia"/>
          <w:b/>
          <w:bCs/>
        </w:rPr>
        <w:t xml:space="preserve">外交合作兑现风险：</w:t>
      </w:r>
      <w:r>
        <w:t xml:space="preserve"> </w:t>
      </w:r>
      <w:r>
        <w:rPr>
          <w:rFonts w:hint="eastAsia"/>
        </w:rPr>
        <w:t xml:space="preserve">会谈与合作文件不等于商业合同，需等待项目金额、参与方、融资、开工和回款。</w:t>
      </w:r>
    </w:p>
    <w:p>
      <w:pPr>
        <w:pStyle w:val="Compact"/>
        <w:numPr>
          <w:ilvl w:val="0"/>
          <w:numId w:val="1033"/>
        </w:numPr>
      </w:pPr>
      <w:r>
        <w:rPr>
          <w:rFonts w:hint="eastAsia"/>
          <w:b/>
          <w:bCs/>
        </w:rPr>
        <w:t xml:space="preserve">地缘信息风险：</w:t>
      </w:r>
      <w:r>
        <w:t xml:space="preserve"> </w:t>
      </w:r>
      <w:r>
        <w:rPr>
          <w:rFonts w:hint="eastAsia"/>
        </w:rPr>
        <w:t xml:space="preserve">也门、沙特、俄罗斯、乌克兰各方战况为各自口径，不能据单方数字下注；冲突缓和时风险溢价可能快速回落。</w:t>
      </w:r>
    </w:p>
    <w:p>
      <w:pPr>
        <w:pStyle w:val="Compact"/>
        <w:numPr>
          <w:ilvl w:val="0"/>
          <w:numId w:val="1033"/>
        </w:numPr>
      </w:pPr>
      <w:r>
        <w:rPr>
          <w:rFonts w:hint="eastAsia"/>
          <w:b/>
          <w:bCs/>
        </w:rPr>
        <w:t xml:space="preserve">公共卫生外推风险：</w:t>
      </w:r>
      <w:r>
        <w:t xml:space="preserve"> </w:t>
      </w:r>
      <w:r>
        <w:rPr>
          <w:rFonts w:hint="eastAsia"/>
        </w:rPr>
        <w:t xml:space="preserve">肯尼亚当前报道为7例且暂无社区传播证据，不应据此夸大为全球疫情或大规模采购。</w:t>
      </w:r>
    </w:p>
    <w:p>
      <w:pPr>
        <w:pStyle w:val="Compact"/>
        <w:numPr>
          <w:ilvl w:val="0"/>
          <w:numId w:val="1033"/>
        </w:numPr>
      </w:pPr>
      <w:r>
        <w:rPr>
          <w:rFonts w:hint="eastAsia"/>
          <w:b/>
          <w:bCs/>
        </w:rPr>
        <w:t xml:space="preserve">文旅活动变现风险：</w:t>
      </w:r>
      <w:r>
        <w:t xml:space="preserve"> </w:t>
      </w:r>
      <w:r>
        <w:rPr>
          <w:rFonts w:hint="eastAsia"/>
        </w:rPr>
        <w:t xml:space="preserve">论坛、艺术节、电影周和文化节的参与度不等于上市公司收入，需看客流、票房、客单价和成本。</w:t>
      </w:r>
    </w:p>
    <w:p>
      <w:pPr>
        <w:pStyle w:val="Compact"/>
        <w:numPr>
          <w:ilvl w:val="0"/>
          <w:numId w:val="1033"/>
        </w:numPr>
      </w:pPr>
      <w:r>
        <w:rPr>
          <w:rFonts w:hint="eastAsia"/>
          <w:b/>
          <w:bCs/>
        </w:rPr>
        <w:t xml:space="preserve">交易拥挤风险：</w:t>
      </w:r>
      <w:r>
        <w:t xml:space="preserve"> </w:t>
      </w:r>
      <w:r>
        <w:rPr>
          <w:rFonts w:hint="eastAsia"/>
        </w:rPr>
        <w:t xml:space="preserve">养老、氢能、供热、航天育种和中亚合作若脱离订单与基本面快速上涨，应防范情绪退潮。</w:t>
      </w:r>
    </w:p>
    <w:p>
      <w:pPr>
        <w:pStyle w:val="Compact"/>
        <w:numPr>
          <w:ilvl w:val="0"/>
          <w:numId w:val="1033"/>
        </w:numPr>
      </w:pPr>
      <w:r>
        <w:rPr>
          <w:rFonts w:hint="eastAsia"/>
          <w:b/>
          <w:bCs/>
        </w:rPr>
        <w:t xml:space="preserve">信息边界：</w:t>
      </w:r>
      <w:r>
        <w:t xml:space="preserve"> </w:t>
      </w:r>
      <w:r>
        <w:rPr>
          <w:rFonts w:hint="eastAsia"/>
        </w:rPr>
        <w:t xml:space="preserve">本文未引入行情、资金流、估值、公司公告或指定底稿之外的新闻，执行前需另行核验市场数据。</w:t>
      </w:r>
    </w:p>
    <w:bookmarkEnd w:id="46"/>
    <w:bookmarkEnd w:id="47"/>
    <w:bookmarkStart w:id="48" w:name="九事实核验与覆盖清单"/>
    <w:p>
      <w:pPr>
        <w:pStyle w:val="Heading2"/>
      </w:pPr>
      <w:r>
        <w:rPr>
          <w:rFonts w:hint="eastAsia"/>
        </w:rPr>
        <w:t xml:space="preserve">九、事实核验与覆盖清单</w:t>
      </w:r>
    </w:p>
    <w:p>
      <w:pPr>
        <w:pStyle w:val="Compact"/>
        <w:numPr>
          <w:ilvl w:val="0"/>
          <w:numId w:val="1034"/>
        </w:numPr>
      </w:pPr>
      <w:r>
        <w:rPr>
          <w:rFonts w:hint="eastAsia"/>
        </w:rPr>
        <w:t xml:space="preserve">已按指定底稿原顺序覆盖全部14个一级条目。</w:t>
      </w:r>
    </w:p>
    <w:p>
      <w:pPr>
        <w:pStyle w:val="Compact"/>
        <w:numPr>
          <w:ilvl w:val="0"/>
          <w:numId w:val="1034"/>
        </w:numPr>
      </w:pPr>
      <w:r>
        <w:rPr>
          <w:rFonts w:hint="eastAsia"/>
        </w:rPr>
        <w:t xml:space="preserve">已将“国内联播快讯”11个分项逐项展开：超长期特别国债、良渚论坛、深圳对APEC进出口、秋粮收购信贷、氢能标准、铁路客流、水生物增殖放流、中韩联合巡航、上海国际艺术节、长三角青年电影周、武当太极文化节。</w:t>
      </w:r>
    </w:p>
    <w:p>
      <w:pPr>
        <w:pStyle w:val="Compact"/>
        <w:numPr>
          <w:ilvl w:val="0"/>
          <w:numId w:val="1034"/>
        </w:numPr>
      </w:pPr>
      <w:r>
        <w:rPr>
          <w:rFonts w:hint="eastAsia"/>
        </w:rPr>
        <w:t xml:space="preserve">已将“国际联播快讯”5个分项逐项展开：俄乌冲突、欧洲外交人员遭袭、加拿大军事基地火灾、加州林火、肯尼亚埃博拉病例。</w:t>
      </w:r>
    </w:p>
    <w:p>
      <w:pPr>
        <w:pStyle w:val="Compact"/>
        <w:numPr>
          <w:ilvl w:val="0"/>
          <w:numId w:val="1034"/>
        </w:numPr>
      </w:pPr>
      <w:r>
        <w:rPr>
          <w:rFonts w:hint="eastAsia"/>
        </w:rPr>
        <w:t xml:space="preserve">已核对养老关键数字：60岁及以上老年人超过3.2亿；养老机构和设施39.6万个；护理型床位占比67.5%；北京168家区域中心、1500多个驿站、近3000个助餐点；2029年和2035年目标。</w:t>
      </w:r>
    </w:p>
    <w:p>
      <w:pPr>
        <w:pStyle w:val="Compact"/>
        <w:numPr>
          <w:ilvl w:val="0"/>
          <w:numId w:val="1034"/>
        </w:numPr>
      </w:pPr>
      <w:r>
        <w:rPr>
          <w:rFonts w:hint="eastAsia"/>
        </w:rPr>
        <w:t xml:space="preserve">已核对甘肃与民生数字：引洮工程覆盖近600万人；会宁游客超过800万人次、增长9%；4个国家先进制造业集群、6个千亿级产业集群、两条新能源外送通道、八大农业集群2030年产值8000亿元以上；社保平台104项服务、113.53亿人次、线上办理超80%。</w:t>
      </w:r>
    </w:p>
    <w:p>
      <w:pPr>
        <w:pStyle w:val="Compact"/>
        <w:numPr>
          <w:ilvl w:val="0"/>
          <w:numId w:val="1034"/>
        </w:numPr>
      </w:pPr>
      <w:r>
        <w:rPr>
          <w:rFonts w:hint="eastAsia"/>
        </w:rPr>
        <w:t xml:space="preserve">已核对供热与铁路事实：供热方案由六部门印发，期限到2028年底；重点关注运行满20年的设施及供热面积大于5万平方米的热力站；动车组字头由4个增至7个、可编排数量增长近40%，分两批变更。</w:t>
      </w:r>
    </w:p>
    <w:p>
      <w:pPr>
        <w:pStyle w:val="Compact"/>
        <w:numPr>
          <w:ilvl w:val="0"/>
          <w:numId w:val="1034"/>
        </w:numPr>
      </w:pPr>
      <w:r>
        <w:rPr>
          <w:rFonts w:hint="eastAsia"/>
        </w:rPr>
        <w:t xml:space="preserve">已核对科研与体育数字：太空水稻4个单元、每单元6粒种子；亚残运会中国312名运动员、17个大项、335个小项，赛事共18个大项、502个小项、45个国家和地区3000多名运动员。</w:t>
      </w:r>
    </w:p>
    <w:p>
      <w:pPr>
        <w:pStyle w:val="Compact"/>
        <w:numPr>
          <w:ilvl w:val="0"/>
          <w:numId w:val="1034"/>
        </w:numPr>
      </w:pPr>
      <w:r>
        <w:rPr>
          <w:rFonts w:hint="eastAsia"/>
        </w:rPr>
        <w:t xml:space="preserve">已核对国内快讯数字：1.3万亿元特别国债；深圳对APEC进出口3.23万亿元、增长40%、占13.4%；秋粮收购信贷2000亿元；15项氢能标准；铁路旅客37.1亿人次、增长4.8%，旅游列车2860列、增长25.5%；增殖放流345种、增加59种、2030年比例15%；中韩联合巡航10天、1200海里；上海艺术节近400项1100场；电影周545个申报项目、20个支持项目；武当文化节覆盖100多个国家和地区。</w:t>
      </w:r>
    </w:p>
    <w:p>
      <w:pPr>
        <w:pStyle w:val="Compact"/>
        <w:numPr>
          <w:ilvl w:val="0"/>
          <w:numId w:val="1034"/>
        </w:numPr>
      </w:pPr>
      <w:r>
        <w:rPr>
          <w:rFonts w:hint="eastAsia"/>
        </w:rPr>
        <w:t xml:space="preserve">已保留国际事件报道主体与口径：胡塞武装、沙特主导联军、俄乌双方、加拿大国防部与媒体的说法未被改写为独立核验事实；肯尼亚病例按累计7例、1例死亡、暂无社区传播证据表述。</w:t>
      </w:r>
    </w:p>
    <w:p>
      <w:pPr>
        <w:pStyle w:val="Compact"/>
        <w:numPr>
          <w:ilvl w:val="0"/>
          <w:numId w:val="1034"/>
        </w:numPr>
      </w:pPr>
      <w:r>
        <w:rPr>
          <w:rFonts w:hint="eastAsia"/>
        </w:rPr>
        <w:t xml:space="preserve">未写入底稿未披露的上市公司名单、订单金额、实时行情、资金流、估值或未经底稿支持的政策数字；所有行业判断均为条件性映射并给出兑现或证伪条件。</w:t>
      </w:r>
    </w:p>
    <w:p>
      <w:r>
        <w:pict>
          <v:rect style="width:0;height:1.5pt" o:hralign="center" o:hrstd="t" o:hr="t"/>
        </w:pict>
      </w:r>
    </w:p>
    <w:p>
      <w:pPr>
        <w:pStyle w:val="FirstParagraph"/>
      </w:pPr>
      <w:r>
        <w:rPr>
          <w:rFonts w:hint="eastAsia"/>
          <w:i/>
          <w:iCs/>
        </w:rPr>
        <w:t xml:space="preserve">分析和写稿模型：GPT-5.6</w:t>
      </w:r>
      <w:r>
        <w:rPr>
          <w:i/>
          <w:iCs/>
        </w:rPr>
        <w:t xml:space="preserve"> Sol (openai-codex)</w:t>
      </w:r>
    </w:p>
    <w:bookmarkEnd w:id="48"/>
    <w:bookmarkEnd w:id="4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2026-10-18T12:34:54Z</dcterms:created>
  <dcterms:modified xsi:type="dcterms:W3CDTF">2026-10-18T12:34:54Z</dcterms:modified>
</cp:coreProperties>
</file>

<file path=docProps/custom.xml><?xml version="1.0" encoding="utf-8"?>
<Properties xmlns="http://schemas.openxmlformats.org/officeDocument/2006/custom-properties" xmlns:vt="http://schemas.openxmlformats.org/officeDocument/2006/docPropsVTypes"/>
</file>