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edabf68bf23289d4cf062c2d31a8267014d48e5"/>
    <w:p>
      <w:pPr>
        <w:pStyle w:val="Heading1"/>
      </w:pPr>
      <w:r>
        <w:rPr>
          <w:rFonts w:hint="eastAsia"/>
        </w:rPr>
        <w:t xml:space="preserve">2026年10月17日《新闻联播》A股影响深度解读</w:t>
      </w:r>
    </w:p>
    <w:p>
      <w:pPr>
        <w:pStyle w:val="BlockText"/>
      </w:pPr>
      <w:r>
        <w:rPr>
          <w:rFonts w:hint="eastAsia"/>
        </w:rPr>
        <w:t xml:space="preserve">数据边界：本文唯一事实底稿为</w:t>
      </w:r>
      <w:r>
        <w:t xml:space="preserve"> </w:t>
      </w:r>
      <w:r>
        <w:rPr>
          <w:rStyle w:val="VerbatimChar"/>
        </w:rPr>
        <w:t xml:space="preserve">/Users/qiji/.hermes/skills/finance/qiji-morning-know/memory/xinwenlianbo/2026-10-17.md</w:t>
      </w:r>
      <w:r>
        <w:rPr>
          <w:rFonts w:hint="eastAsia"/>
        </w:rPr>
        <w:t xml:space="preserve">。文中“受益”“承压”均为依据底稿政策与事件所作的条件性行业映射，不代表政策已经转化为上市公司订单、利润或资金流，也不构成投资建议。</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整体基调：国内结构性积极，外部风险明显升温。</w:t>
      </w:r>
      <w:r>
        <w:t xml:space="preserve"> </w:t>
      </w:r>
      <w:r>
        <w:rPr>
          <w:rFonts w:hint="eastAsia"/>
        </w:rPr>
        <w:t xml:space="preserve">头条把生态保护、绿色算力、全国一体化算力网和数字经济与实体经济融合并列推进；传统医药、服务贸易、AI产品出口、智慧供热、职业教育、知识型综保区和户外运动提供多条产业线索。国际部分则集中呈现中东与俄乌冲突、油价上行和美国财政赤字风险。</w:t>
      </w:r>
    </w:p>
    <w:p>
      <w:pPr>
        <w:pStyle w:val="Compact"/>
        <w:numPr>
          <w:ilvl w:val="0"/>
          <w:numId w:val="1001"/>
        </w:numPr>
      </w:pPr>
      <w:r>
        <w:rPr>
          <w:rFonts w:hint="eastAsia"/>
          <w:b/>
          <w:bCs/>
        </w:rPr>
        <w:t xml:space="preserve">政策信号强度：强。</w:t>
      </w:r>
      <w:r>
        <w:t xml:space="preserve"> </w:t>
      </w:r>
      <w:r>
        <w:rPr>
          <w:rFonts w:hint="eastAsia"/>
        </w:rPr>
        <w:t xml:space="preserve">最高级别信号来自总书记考察后的重要讲话反响，核心是生态优先、系统治理、绿色算力和因地制宜发展新质生产力；国务院总理在世界传统医药大会致辞及访乌兹别克斯坦，分别强化中医药国际合作与中乌务实合作预期。</w:t>
      </w:r>
    </w:p>
    <w:p>
      <w:pPr>
        <w:pStyle w:val="Compact"/>
        <w:numPr>
          <w:ilvl w:val="0"/>
          <w:numId w:val="1001"/>
        </w:numPr>
      </w:pPr>
      <w:r>
        <w:rPr>
          <w:rFonts w:hint="eastAsia"/>
          <w:b/>
          <w:bCs/>
        </w:rPr>
        <w:t xml:space="preserve">对A股总体影响：结构性利好与输入性成本压力并存。</w:t>
      </w:r>
      <w:r>
        <w:t xml:space="preserve"> </w:t>
      </w:r>
      <w:r>
        <w:rPr>
          <w:rFonts w:hint="eastAsia"/>
        </w:rPr>
        <w:t xml:space="preserve">绿色算力、算力网络、生态治理、中医药、服务出口、AI硬件与机器人、智慧供热、职业教育、保税维修和户外消费具备正向映射；油价上涨可能抬升航空、物流、化工下游等成本，地缘冲突和海外财政风险压制风险偏好。</w:t>
      </w:r>
    </w:p>
    <w:p>
      <w:pPr>
        <w:pStyle w:val="Compact"/>
        <w:numPr>
          <w:ilvl w:val="0"/>
          <w:numId w:val="1001"/>
        </w:numPr>
      </w:pPr>
      <w:r>
        <w:rPr>
          <w:rFonts w:hint="eastAsia"/>
          <w:b/>
          <w:bCs/>
        </w:rPr>
        <w:t xml:space="preserve">一句话结论：</w:t>
      </w:r>
      <w:r>
        <w:t xml:space="preserve"> </w:t>
      </w:r>
      <w:r>
        <w:rPr>
          <w:rFonts w:hint="eastAsia"/>
        </w:rPr>
        <w:t xml:space="preserve">国内主线优先看“绿色算力+AI产品出海”，中期跟踪中医药国际化、服务贸易和职业教育标准输出；同时必须把高油价与地缘冲突视为真实风险变量，所有主题都应等待项目、订单、出口和量价确认。</w:t>
      </w:r>
    </w:p>
    <w:bookmarkEnd w:id="9"/>
    <w:bookmarkStart w:id="10" w:name="二核心政策与市场信号"/>
    <w:p>
      <w:pPr>
        <w:pStyle w:val="Heading2"/>
      </w:pPr>
      <w:r>
        <w:rPr>
          <w:rFonts w:hint="eastAsia"/>
        </w:rPr>
        <w:t xml:space="preserve">二、核心政策与市场信号</w:t>
      </w:r>
    </w:p>
    <w:p>
      <w:pPr>
        <w:pStyle w:val="Compact"/>
        <w:numPr>
          <w:ilvl w:val="0"/>
          <w:numId w:val="1002"/>
        </w:numPr>
      </w:pPr>
      <w:r>
        <w:rPr>
          <w:rFonts w:hint="eastAsia"/>
          <w:b/>
          <w:bCs/>
        </w:rPr>
        <w:t xml:space="preserve">绿色算力与全国一体化算力网获头条级强化（★★★★★）</w:t>
      </w:r>
      <w:r>
        <w:rPr>
          <w:rFonts w:hint="eastAsia"/>
        </w:rPr>
        <w:t xml:space="preserve">：报道把绿色发展、算力网、“东数西算”、数字中国和新质生产力放在同一框架，强调延伸产业链及数字经济与实体经济深度融合。</w:t>
      </w:r>
    </w:p>
    <w:p>
      <w:pPr>
        <w:pStyle w:val="Compact"/>
        <w:numPr>
          <w:ilvl w:val="0"/>
          <w:numId w:val="1002"/>
        </w:numPr>
      </w:pPr>
      <w:r>
        <w:rPr>
          <w:rFonts w:hint="eastAsia"/>
          <w:b/>
          <w:bCs/>
        </w:rPr>
        <w:t xml:space="preserve">AI由技术展示进入真实产品、外贸与民生应用场景（★★★★）</w:t>
      </w:r>
      <w:r>
        <w:rPr>
          <w:rFonts w:hint="eastAsia"/>
        </w:rPr>
        <w:t xml:space="preserve">：广交会集中展出23.5万件AI产品，超过2万家企业应用工业互联网、AI等技术；供热领域出现AI自主巡检和数据驱动运行。</w:t>
      </w:r>
    </w:p>
    <w:p>
      <w:pPr>
        <w:pStyle w:val="Compact"/>
        <w:numPr>
          <w:ilvl w:val="0"/>
          <w:numId w:val="1002"/>
        </w:numPr>
      </w:pPr>
      <w:r>
        <w:rPr>
          <w:rFonts w:hint="eastAsia"/>
          <w:b/>
          <w:bCs/>
        </w:rPr>
        <w:t xml:space="preserve">传统医药国际合作与科技赋能信号增强（★★★★）</w:t>
      </w:r>
      <w:r>
        <w:rPr>
          <w:rFonts w:hint="eastAsia"/>
        </w:rPr>
        <w:t xml:space="preserve">：世界传统医药大会强调守正创新、科技赋能、国际协作和普惠共享，但尚未给出具体采购或产业扶持金额。</w:t>
      </w:r>
    </w:p>
    <w:p>
      <w:pPr>
        <w:pStyle w:val="Compact"/>
        <w:numPr>
          <w:ilvl w:val="0"/>
          <w:numId w:val="1002"/>
        </w:numPr>
      </w:pPr>
      <w:r>
        <w:rPr>
          <w:rFonts w:hint="eastAsia"/>
          <w:b/>
          <w:bCs/>
        </w:rPr>
        <w:t xml:space="preserve">服务出口结构改善，运输与知识密集型服务较快增长（★★★★）</w:t>
      </w:r>
      <w:r>
        <w:rPr>
          <w:rFonts w:hint="eastAsia"/>
        </w:rPr>
        <w:t xml:space="preserve">：前八个月服务出口同比增长14.8%，运输服务出口增长28.2%，知识密集型服务出口增长10.9%。</w:t>
      </w:r>
    </w:p>
    <w:p>
      <w:pPr>
        <w:pStyle w:val="Compact"/>
        <w:numPr>
          <w:ilvl w:val="0"/>
          <w:numId w:val="1002"/>
        </w:numPr>
      </w:pPr>
      <w:r>
        <w:rPr>
          <w:rFonts w:hint="eastAsia"/>
          <w:b/>
          <w:bCs/>
        </w:rPr>
        <w:t xml:space="preserve">地缘冲突推升原油与全球成本风险（★★★★）</w:t>
      </w:r>
      <w:r>
        <w:rPr>
          <w:rFonts w:hint="eastAsia"/>
        </w:rPr>
        <w:t xml:space="preserve">：中东、俄乌紧张局势加剧，布伦特原油期价再次触及110美元，对油气链构成价格支撑，同时加大交通运输和成本敏感行业压力。</w:t>
      </w:r>
    </w:p>
    <w:bookmarkEnd w:id="10"/>
    <w:bookmarkStart w:id="19" w:name="三逐条a股影响分析"/>
    <w:p>
      <w:pPr>
        <w:pStyle w:val="Heading2"/>
      </w:pPr>
      <w:r>
        <w:rPr>
          <w:rFonts w:hint="eastAsia"/>
        </w:rPr>
        <w:t xml:space="preserve">三、逐条A股影响分析</w:t>
      </w:r>
    </w:p>
    <w:bookmarkStart w:id="11" w:name="X60a779e2075bcaec7aba649d16a82c28602a771"/>
    <w:p>
      <w:pPr>
        <w:pStyle w:val="Heading3"/>
      </w:pPr>
      <w:r>
        <w:t xml:space="preserve">1. </w:t>
      </w:r>
      <w:r>
        <w:rPr>
          <w:rFonts w:hint="eastAsia"/>
        </w:rPr>
        <w:t xml:space="preserve">总书记乌兰察布考察重要讲话反响：生态治理与绿色算力并列为高质量发展抓手</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A股影响：中长期结构性利好，资源效率和生态约束同步提高</w:t>
      </w:r>
    </w:p>
    <w:p>
      <w:pPr>
        <w:pStyle w:val="Compact"/>
        <w:numPr>
          <w:ilvl w:val="0"/>
          <w:numId w:val="1003"/>
        </w:numPr>
      </w:pPr>
      <w:r>
        <w:rPr>
          <w:rFonts w:hint="eastAsia"/>
          <w:b/>
          <w:bCs/>
        </w:rPr>
        <w:t xml:space="preserve">影响时效：短期1—3日形成主题关注；中期1—4周等待项目与政策细则；长期看全国一体化算力网建设</w:t>
      </w:r>
    </w:p>
    <w:p>
      <w:pPr>
        <w:pStyle w:val="Compact"/>
        <w:numPr>
          <w:ilvl w:val="0"/>
          <w:numId w:val="1003"/>
        </w:numPr>
      </w:pPr>
      <w:r>
        <w:rPr>
          <w:rFonts w:hint="eastAsia"/>
          <w:b/>
          <w:bCs/>
        </w:rPr>
        <w:t xml:space="preserve">受益映射：</w:t>
      </w:r>
      <w:r>
        <w:t xml:space="preserve"> </w:t>
      </w:r>
      <w:r>
        <w:rPr>
          <w:rFonts w:hint="eastAsia"/>
        </w:rPr>
        <w:t xml:space="preserve">算力基础设施、服务器与网络设备、算力调度、绿色电力、冷却节能、数据中心运维、生态修复、湿地保护、环境监测。</w:t>
      </w:r>
    </w:p>
    <w:p>
      <w:pPr>
        <w:pStyle w:val="Compact"/>
        <w:numPr>
          <w:ilvl w:val="0"/>
          <w:numId w:val="1003"/>
        </w:numPr>
      </w:pPr>
      <w:r>
        <w:rPr>
          <w:rFonts w:hint="eastAsia"/>
          <w:b/>
          <w:bCs/>
        </w:rPr>
        <w:t xml:space="preserve">约束方向：</w:t>
      </w:r>
      <w:r>
        <w:t xml:space="preserve"> </w:t>
      </w:r>
      <w:r>
        <w:rPr>
          <w:rFonts w:hint="eastAsia"/>
        </w:rPr>
        <w:t xml:space="preserve">能耗、水耗、利用率或生态合规不达标的项目。</w:t>
      </w:r>
    </w:p>
    <w:p>
      <w:pPr>
        <w:pStyle w:val="FirstParagraph"/>
      </w:pPr>
      <w:r>
        <w:rPr>
          <w:rFonts w:hint="eastAsia"/>
          <w:b/>
          <w:bCs/>
        </w:rPr>
        <w:t xml:space="preserve">原文事实：</w:t>
      </w:r>
      <w:r>
        <w:t xml:space="preserve"> </w:t>
      </w:r>
      <w:r>
        <w:rPr>
          <w:rFonts w:hint="eastAsia"/>
        </w:rPr>
        <w:t xml:space="preserve">报道回顾习近平10月16日在乌兰察布考察并就高质量发展和高水平保护作出的重要指示。黄旗海从一度濒临干涸到生态循环功能逐步恢复，2025年时隔27年再次监测到鱼类活动。内蒙古“三北”工程攻坚战累计完成生态建设1.3亿亩，草原综合植被盖度提升至46.48%。报道强调山水林田湖草沙一体化保护和系统治理、全面实施湿地保护法、严守生态保护红线。</w:t>
      </w:r>
    </w:p>
    <w:p>
      <w:pPr>
        <w:pStyle w:val="BodyText"/>
      </w:pPr>
      <w:r>
        <w:rPr>
          <w:rFonts w:hint="eastAsia"/>
          <w:b/>
          <w:bCs/>
        </w:rPr>
        <w:t xml:space="preserve">算力线事实：</w:t>
      </w:r>
      <w:r>
        <w:t xml:space="preserve"> </w:t>
      </w:r>
      <w:r>
        <w:rPr>
          <w:rFonts w:hint="eastAsia"/>
        </w:rPr>
        <w:t xml:space="preserve">算力网被列为国家规划建设的“六张网”之一；乌兰察布利用风光资源和较低年均气温发展绿色算力，报道给出的机架规模为“超700万架”。“东数西算”八大国家枢纽节点持续扩容，要求延伸产业链，推动数字经济与实体经济深度融合。</w:t>
      </w:r>
    </w:p>
    <w:p>
      <w:pPr>
        <w:pStyle w:val="BodyText"/>
      </w:pPr>
      <w:r>
        <w:rPr>
          <w:rFonts w:hint="eastAsia"/>
          <w:b/>
          <w:bCs/>
        </w:rPr>
        <w:t xml:space="preserve">通俗解读与A股映射：</w:t>
      </w:r>
      <w:r>
        <w:t xml:space="preserve"> </w:t>
      </w:r>
      <w:r>
        <w:rPr>
          <w:rFonts w:hint="eastAsia"/>
        </w:rPr>
        <w:t xml:space="preserve">头条释放的不是无约束扩建数据中心信号，而是“生态底线+资源禀赋+算力网络+产业应用”的组合方向。产业受益需要沿枢纽建设、绿电供给、设备交付、调度运营和实体场景逐层验证；生态线则看治理预算、招标、监测和长期运维。底稿没有投资金额、采购清单、企业名单或新增容量，不能据此确认具体公司订单。</w:t>
      </w:r>
    </w:p>
    <w:p>
      <w:pPr>
        <w:pStyle w:val="BodyText"/>
      </w:pPr>
      <w:r>
        <w:rPr>
          <w:rFonts w:hint="eastAsia"/>
          <w:b/>
          <w:bCs/>
        </w:rPr>
        <w:t xml:space="preserve">后续验证点：</w:t>
      </w:r>
      <w:r>
        <w:t xml:space="preserve"> </w:t>
      </w:r>
      <w:r>
        <w:rPr>
          <w:rFonts w:hint="eastAsia"/>
        </w:rPr>
        <w:t xml:space="preserve">枢纽项目清单、机架口径与上架率、绿电占比、能水效率、算力调度标准、数字产业落地项目，以及湿地和荒漠化治理预算与招标。</w:t>
      </w:r>
    </w:p>
    <w:bookmarkEnd w:id="11"/>
    <w:bookmarkStart w:id="12" w:name="Xe42d513817c2778df20a75407ba7ecf743600d0"/>
    <w:p>
      <w:pPr>
        <w:pStyle w:val="Heading3"/>
      </w:pPr>
      <w:r>
        <w:t xml:space="preserve">2. </w:t>
      </w:r>
      <w:r>
        <w:rPr>
          <w:rFonts w:hint="eastAsia"/>
        </w:rPr>
        <w:t xml:space="preserve">李强出席世界传统医药大会：守正创新、科技赋能与国际协作</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A股影响：中医药及相关研发服务中长期偏利好，短期直接催化取决于后续政策和合作项目</w:t>
      </w:r>
    </w:p>
    <w:p>
      <w:pPr>
        <w:pStyle w:val="Compact"/>
        <w:numPr>
          <w:ilvl w:val="0"/>
          <w:numId w:val="1004"/>
        </w:numPr>
      </w:pPr>
      <w:r>
        <w:rPr>
          <w:rFonts w:hint="eastAsia"/>
          <w:b/>
          <w:bCs/>
        </w:rPr>
        <w:t xml:space="preserve">影响时效：中长期</w:t>
      </w:r>
    </w:p>
    <w:p>
      <w:pPr>
        <w:pStyle w:val="Compact"/>
        <w:numPr>
          <w:ilvl w:val="0"/>
          <w:numId w:val="1004"/>
        </w:numPr>
      </w:pPr>
      <w:r>
        <w:rPr>
          <w:rFonts w:hint="eastAsia"/>
          <w:b/>
          <w:bCs/>
        </w:rPr>
        <w:t xml:space="preserve">受益映射：</w:t>
      </w:r>
      <w:r>
        <w:t xml:space="preserve"> </w:t>
      </w:r>
      <w:r>
        <w:rPr>
          <w:rFonts w:hint="eastAsia"/>
        </w:rPr>
        <w:t xml:space="preserve">中药研发与制造、中药材规范化、传统医药服务、检测评价、医疗健康合作及相关数字化工具。</w:t>
      </w:r>
    </w:p>
    <w:p>
      <w:pPr>
        <w:pStyle w:val="FirstParagraph"/>
      </w:pPr>
      <w:r>
        <w:rPr>
          <w:rFonts w:hint="eastAsia"/>
          <w:b/>
          <w:bCs/>
        </w:rPr>
        <w:t xml:space="preserve">原文事实：</w:t>
      </w:r>
      <w:r>
        <w:t xml:space="preserve"> </w:t>
      </w:r>
      <w:r>
        <w:rPr>
          <w:rFonts w:hint="eastAsia"/>
        </w:rPr>
        <w:t xml:space="preserve">李强在2026世界传统医药大会开幕式致辞，提出传统医药是保障生命健康、传承多样文明和增进各国友谊的重要载体；中国坚持守正创新、强化政策支持和兼收并蓄；国际社会应加强协作、强化科技赋能、深化交流合作并推进普惠共享。约1200名各国政府官员、专家学者和传统医学从业者出席。</w:t>
      </w:r>
    </w:p>
    <w:p>
      <w:pPr>
        <w:pStyle w:val="BodyText"/>
      </w:pPr>
      <w:r>
        <w:rPr>
          <w:rFonts w:hint="eastAsia"/>
          <w:b/>
          <w:bCs/>
        </w:rPr>
        <w:t xml:space="preserve">分析：</w:t>
      </w:r>
      <w:r>
        <w:t xml:space="preserve"> </w:t>
      </w:r>
      <w:r>
        <w:rPr>
          <w:rFonts w:hint="eastAsia"/>
        </w:rPr>
        <w:t xml:space="preserve">这强化了传统医药现代化和国际交流方向，但大会倡议不等同于药品注册、医保支付、出口订单或企业利润。更可靠的兑现指标是国际标准互认、临床证据、注册进展、科研合作、产品出口和支付能力；没有这些证据时，不应把外交和行业会议直接外推为业绩。</w:t>
      </w:r>
    </w:p>
    <w:bookmarkEnd w:id="12"/>
    <w:bookmarkStart w:id="13" w:name="X71001fa85523d03304e44816b423c9f4bdfa975"/>
    <w:p>
      <w:pPr>
        <w:pStyle w:val="Heading3"/>
      </w:pPr>
      <w:r>
        <w:t xml:space="preserve">3. </w:t>
      </w:r>
      <w:r>
        <w:rPr>
          <w:rFonts w:hint="eastAsia"/>
        </w:rPr>
        <w:t xml:space="preserve">李强正式访问乌兹别克斯坦：元首共识转化与务实合作预期</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A股影响：中长期合作预期偏正面，当前直接产业催化有限</w:t>
      </w:r>
    </w:p>
    <w:p>
      <w:pPr>
        <w:pStyle w:val="Compact"/>
        <w:numPr>
          <w:ilvl w:val="0"/>
          <w:numId w:val="1005"/>
        </w:numPr>
      </w:pPr>
      <w:r>
        <w:rPr>
          <w:rFonts w:hint="eastAsia"/>
          <w:b/>
          <w:bCs/>
        </w:rPr>
        <w:t xml:space="preserve">影响时效：中期至长期</w:t>
      </w:r>
    </w:p>
    <w:p>
      <w:pPr>
        <w:pStyle w:val="Compact"/>
        <w:numPr>
          <w:ilvl w:val="0"/>
          <w:numId w:val="1005"/>
        </w:numPr>
      </w:pPr>
      <w:r>
        <w:rPr>
          <w:rFonts w:hint="eastAsia"/>
          <w:b/>
          <w:bCs/>
        </w:rPr>
        <w:t xml:space="preserve">关联方向：</w:t>
      </w:r>
      <w:r>
        <w:t xml:space="preserve"> </w:t>
      </w:r>
      <w:r>
        <w:rPr>
          <w:rFonts w:hint="eastAsia"/>
        </w:rPr>
        <w:t xml:space="preserve">“一带一路”合作、工程与装备出口、跨境物流、能源资源合作及区域贸易服务。</w:t>
      </w:r>
    </w:p>
    <w:p>
      <w:pPr>
        <w:pStyle w:val="FirstParagraph"/>
      </w:pPr>
      <w:r>
        <w:rPr>
          <w:rFonts w:hint="eastAsia"/>
          <w:b/>
          <w:bCs/>
        </w:rPr>
        <w:t xml:space="preserve">原文事实：</w:t>
      </w:r>
      <w:r>
        <w:t xml:space="preserve"> </w:t>
      </w:r>
      <w:r>
        <w:rPr>
          <w:rFonts w:hint="eastAsia"/>
        </w:rPr>
        <w:t xml:space="preserve">李强应邀抵达塔什干，对乌兹别克斯坦进行正式访问。报道回顾建交34年来的政治互信和务实合作，并表示中方愿同乌方把两国元首共识转化为更多实际成果，推动中乌命运共同体建设走深走实。</w:t>
      </w:r>
    </w:p>
    <w:p>
      <w:pPr>
        <w:pStyle w:val="BodyText"/>
      </w:pPr>
      <w:r>
        <w:rPr>
          <w:rFonts w:hint="eastAsia"/>
          <w:b/>
          <w:bCs/>
        </w:rPr>
        <w:t xml:space="preserve">分析：</w:t>
      </w:r>
      <w:r>
        <w:t xml:space="preserve"> </w:t>
      </w:r>
      <w:r>
        <w:rPr>
          <w:rFonts w:hint="eastAsia"/>
        </w:rPr>
        <w:t xml:space="preserve">“转化为更多实际成果”提供后续合作预期，但本条没有披露协议、项目、金额、行业清单或上市公司参与情况。A股映射只能作为后续观察方向，需等待会谈成果、联合文件、合同和融资安排。</w:t>
      </w:r>
    </w:p>
    <w:bookmarkEnd w:id="13"/>
    <w:bookmarkStart w:id="14" w:name="X608a68dcd1bc70303f2e15e866b04c9abd861f0"/>
    <w:p>
      <w:pPr>
        <w:pStyle w:val="Heading3"/>
      </w:pPr>
      <w:r>
        <w:t xml:space="preserve">4. </w:t>
      </w:r>
      <w:r>
        <w:rPr>
          <w:rFonts w:hint="eastAsia"/>
        </w:rPr>
        <w:t xml:space="preserve">王沪宁在四川调研：民族地区发展、文保利用与治理法治化</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A股影响：直接交易催化较弱，长期关联民族地区公共服务与文化资源保护利用</w:t>
      </w:r>
    </w:p>
    <w:p>
      <w:pPr>
        <w:pStyle w:val="Compact"/>
        <w:numPr>
          <w:ilvl w:val="0"/>
          <w:numId w:val="1006"/>
        </w:numPr>
      </w:pPr>
      <w:r>
        <w:rPr>
          <w:rFonts w:hint="eastAsia"/>
          <w:b/>
          <w:bCs/>
        </w:rPr>
        <w:t xml:space="preserve">影响时效：长期</w:t>
      </w:r>
    </w:p>
    <w:p>
      <w:pPr>
        <w:pStyle w:val="Compact"/>
        <w:numPr>
          <w:ilvl w:val="0"/>
          <w:numId w:val="1006"/>
        </w:numPr>
      </w:pPr>
      <w:r>
        <w:rPr>
          <w:rFonts w:hint="eastAsia"/>
          <w:b/>
          <w:bCs/>
        </w:rPr>
        <w:t xml:space="preserve">关联方向：</w:t>
      </w:r>
      <w:r>
        <w:t xml:space="preserve"> </w:t>
      </w:r>
      <w:r>
        <w:rPr>
          <w:rFonts w:hint="eastAsia"/>
        </w:rPr>
        <w:t xml:space="preserve">民族地区教育协作、文物保护利用、公共文化数字化、区域公共服务和合规治理。</w:t>
      </w:r>
    </w:p>
    <w:p>
      <w:pPr>
        <w:pStyle w:val="FirstParagraph"/>
      </w:pPr>
      <w:r>
        <w:rPr>
          <w:rFonts w:hint="eastAsia"/>
          <w:b/>
          <w:bCs/>
        </w:rPr>
        <w:t xml:space="preserve">原文事实：</w:t>
      </w:r>
      <w:r>
        <w:t xml:space="preserve"> </w:t>
      </w:r>
      <w:r>
        <w:rPr>
          <w:rFonts w:hint="eastAsia"/>
        </w:rPr>
        <w:t xml:space="preserve">调研围绕铸牢中华民族共同体意识、民族团结进步、民族地区教育援建协作、文物保护利用、宗教中国化和宗教事务治理法治化展开，并提到支持和促进民族地区经济社会发展。王沪宁还到天府新区、科研机构和台资企业调研。</w:t>
      </w:r>
    </w:p>
    <w:p>
      <w:pPr>
        <w:pStyle w:val="BodyText"/>
      </w:pPr>
      <w:r>
        <w:rPr>
          <w:rFonts w:hint="eastAsia"/>
          <w:b/>
          <w:bCs/>
        </w:rPr>
        <w:t xml:space="preserve">分析：</w:t>
      </w:r>
      <w:r>
        <w:t xml:space="preserve"> </w:t>
      </w:r>
      <w:r>
        <w:rPr>
          <w:rFonts w:hint="eastAsia"/>
        </w:rPr>
        <w:t xml:space="preserve">该条以政治、社会与治理工作为主，没有新增产业专项、财政额度、采购计划或企业项目。文保、教育与公共服务方向只能作长期映射，不宜作为短线板块催化。</w:t>
      </w:r>
    </w:p>
    <w:bookmarkEnd w:id="14"/>
    <w:bookmarkStart w:id="15" w:name="X3b7a952b427342c805fb70756b90d9676b50982"/>
    <w:p>
      <w:pPr>
        <w:pStyle w:val="Heading3"/>
      </w:pPr>
      <w:r>
        <w:t xml:space="preserve">5. </w:t>
      </w:r>
      <w:r>
        <w:rPr>
          <w:rFonts w:hint="eastAsia"/>
        </w:rPr>
        <w:t xml:space="preserve">前八个月服务贸易较快增长：出口增速快于进口，结构继续优化</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A股影响：服务出口、跨境服务和文旅运输方向偏利好</w:t>
      </w:r>
    </w:p>
    <w:p>
      <w:pPr>
        <w:pStyle w:val="Compact"/>
        <w:numPr>
          <w:ilvl w:val="0"/>
          <w:numId w:val="1007"/>
        </w:numPr>
      </w:pPr>
      <w:r>
        <w:rPr>
          <w:rFonts w:hint="eastAsia"/>
          <w:b/>
          <w:bCs/>
        </w:rPr>
        <w:t xml:space="preserve">影响时效：短期数据提振预期；中期看订单与收入兑现</w:t>
      </w:r>
    </w:p>
    <w:p>
      <w:pPr>
        <w:pStyle w:val="Compact"/>
        <w:numPr>
          <w:ilvl w:val="0"/>
          <w:numId w:val="1007"/>
        </w:numPr>
      </w:pPr>
      <w:r>
        <w:rPr>
          <w:rFonts w:hint="eastAsia"/>
          <w:b/>
          <w:bCs/>
        </w:rPr>
        <w:t xml:space="preserve">受益映射：</w:t>
      </w:r>
      <w:r>
        <w:t xml:space="preserve"> </w:t>
      </w:r>
      <w:r>
        <w:rPr>
          <w:rFonts w:hint="eastAsia"/>
        </w:rPr>
        <w:t xml:space="preserve">跨境旅游服务、运输服务、金融服务、文化娱乐服务、知识密集型服务和数字化贸易支持。</w:t>
      </w:r>
    </w:p>
    <w:p>
      <w:pPr>
        <w:pStyle w:val="FirstParagraph"/>
      </w:pPr>
      <w:r>
        <w:rPr>
          <w:rFonts w:hint="eastAsia"/>
          <w:b/>
          <w:bCs/>
        </w:rPr>
        <w:t xml:space="preserve">原文事实：</w:t>
      </w:r>
      <w:r>
        <w:t xml:space="preserve"> </w:t>
      </w:r>
      <w:r>
        <w:rPr>
          <w:rFonts w:hint="eastAsia"/>
        </w:rPr>
        <w:t xml:space="preserve">前八个月服务进出口总额50701.6亿元，同比增长7.9%；服务出口增长14.8%，进口增长3.8%。旅行服务出口增长15.3%，运输服务出口增长28.2%；知识密集型服务出口增长10.9%，占服务出口总额53.7%，其中个人文化和娱乐服务、金融服务分别增长66%和21.6%。</w:t>
      </w:r>
    </w:p>
    <w:p>
      <w:pPr>
        <w:pStyle w:val="BodyText"/>
      </w:pPr>
      <w:r>
        <w:rPr>
          <w:rFonts w:hint="eastAsia"/>
          <w:b/>
          <w:bCs/>
        </w:rPr>
        <w:t xml:space="preserve">分析：</w:t>
      </w:r>
      <w:r>
        <w:t xml:space="preserve"> </w:t>
      </w:r>
      <w:r>
        <w:rPr>
          <w:rFonts w:hint="eastAsia"/>
        </w:rPr>
        <w:t xml:space="preserve">出口快于进口、运输和知识密集型服务较快增长，说明服务贸易结构具备韧性。需要注意，高增速不等于所有相关企业同步受益，尤其66%的细分增速可能受低基数和统计口径影响；应进一步核验上市公司境外收入、利润率、汇率、回款和持续订单。</w:t>
      </w:r>
    </w:p>
    <w:bookmarkEnd w:id="15"/>
    <w:bookmarkStart w:id="16" w:name="Xd841228d55e05e2fedcefedd55f36541373b4ac"/>
    <w:p>
      <w:pPr>
        <w:pStyle w:val="Heading3"/>
      </w:pPr>
      <w:r>
        <w:t xml:space="preserve">6. </w:t>
      </w:r>
      <w:r>
        <w:rPr>
          <w:rFonts w:hint="eastAsia"/>
        </w:rPr>
        <w:t xml:space="preserve">广交会AI新品集中登场：技术优势加速转化为产品与外贸展示</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A股影响：AI硬件、工业互联网和机器人方向事件型、结构性利好</w:t>
      </w:r>
    </w:p>
    <w:p>
      <w:pPr>
        <w:pStyle w:val="Compact"/>
        <w:numPr>
          <w:ilvl w:val="0"/>
          <w:numId w:val="1008"/>
        </w:numPr>
      </w:pPr>
      <w:r>
        <w:rPr>
          <w:rFonts w:hint="eastAsia"/>
          <w:b/>
          <w:bCs/>
        </w:rPr>
        <w:t xml:space="preserve">影响时效：短期看展会热度；中期看成交、交付和复购</w:t>
      </w:r>
    </w:p>
    <w:p>
      <w:pPr>
        <w:pStyle w:val="Compact"/>
        <w:numPr>
          <w:ilvl w:val="0"/>
          <w:numId w:val="1008"/>
        </w:numPr>
      </w:pPr>
      <w:r>
        <w:rPr>
          <w:rFonts w:hint="eastAsia"/>
          <w:b/>
          <w:bCs/>
        </w:rPr>
        <w:t xml:space="preserve">受益映射：</w:t>
      </w:r>
      <w:r>
        <w:t xml:space="preserve"> </w:t>
      </w:r>
      <w:r>
        <w:rPr>
          <w:rFonts w:hint="eastAsia"/>
        </w:rPr>
        <w:t xml:space="preserve">AI终端、工业互联网、智能制造、康复与外骨骼机器人、传感器、控制系统及外贸供应链服务。</w:t>
      </w:r>
    </w:p>
    <w:p>
      <w:pPr>
        <w:pStyle w:val="FirstParagraph"/>
      </w:pPr>
      <w:r>
        <w:rPr>
          <w:rFonts w:hint="eastAsia"/>
          <w:b/>
          <w:bCs/>
        </w:rPr>
        <w:t xml:space="preserve">原文事实：</w:t>
      </w:r>
      <w:r>
        <w:t xml:space="preserve"> </w:t>
      </w:r>
      <w:r>
        <w:rPr>
          <w:rFonts w:hint="eastAsia"/>
        </w:rPr>
        <w:t xml:space="preserve">第140届广交会线下展进入第三天，集中展出23.5万件人工智能产品，超过2万家参展企业应用工业互联网、人工智能等新技术、新模式。报道展示了外骨骼机器人帮助中风后行走不便者起身缓步行走的场景，并强调AI技术加速落地真实应用场景。</w:t>
      </w:r>
    </w:p>
    <w:p>
      <w:pPr>
        <w:pStyle w:val="BodyText"/>
      </w:pPr>
      <w:r>
        <w:rPr>
          <w:rFonts w:hint="eastAsia"/>
          <w:b/>
          <w:bCs/>
        </w:rPr>
        <w:t xml:space="preserve">分析：</w:t>
      </w:r>
      <w:r>
        <w:t xml:space="preserve"> </w:t>
      </w:r>
      <w:r>
        <w:rPr>
          <w:rFonts w:hint="eastAsia"/>
        </w:rPr>
        <w:t xml:space="preserve">与单纯模型概念相比，展会展示了AI向硬件和真实场景迁移的方向，康复辅助、工业智能化和消费终端值得跟踪。但“参展产品多”“现场热度高”不是成交或盈利证据；后续需看订单金额、交付周期、认证、售后、海外渠道和回款。</w:t>
      </w:r>
    </w:p>
    <w:bookmarkEnd w:id="16"/>
    <w:bookmarkStart w:id="17" w:name="X08e0ebe23240267314002df4c2fffc77689dd6e"/>
    <w:p>
      <w:pPr>
        <w:pStyle w:val="Heading3"/>
      </w:pPr>
      <w:r>
        <w:t xml:space="preserve">7. </w:t>
      </w:r>
      <w:r>
        <w:rPr>
          <w:rFonts w:hint="eastAsia"/>
        </w:rPr>
        <w:t xml:space="preserve">各地保障温暖过冬：供热设施改造与AI运维进入实际场景</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A股影响：供热设备、节能改造和智慧运维方向季节性偏利好</w:t>
      </w:r>
    </w:p>
    <w:p>
      <w:pPr>
        <w:pStyle w:val="Compact"/>
        <w:numPr>
          <w:ilvl w:val="0"/>
          <w:numId w:val="1009"/>
        </w:numPr>
      </w:pPr>
      <w:r>
        <w:rPr>
          <w:rFonts w:hint="eastAsia"/>
          <w:b/>
          <w:bCs/>
        </w:rPr>
        <w:t xml:space="preserve">影响时效：短期供暖季需求；中期看改造投资和节能效果</w:t>
      </w:r>
    </w:p>
    <w:p>
      <w:pPr>
        <w:pStyle w:val="Compact"/>
        <w:numPr>
          <w:ilvl w:val="0"/>
          <w:numId w:val="1009"/>
        </w:numPr>
      </w:pPr>
      <w:r>
        <w:rPr>
          <w:rFonts w:hint="eastAsia"/>
          <w:b/>
          <w:bCs/>
        </w:rPr>
        <w:t xml:space="preserve">受益映射：</w:t>
      </w:r>
      <w:r>
        <w:t xml:space="preserve"> </w:t>
      </w:r>
      <w:r>
        <w:rPr>
          <w:rFonts w:hint="eastAsia"/>
        </w:rPr>
        <w:t xml:space="preserve">供热设备、换热站改造、泵阀管网、温控传感、AI巡检、能源管理和老旧小区基础设施更新。</w:t>
      </w:r>
    </w:p>
    <w:p>
      <w:pPr>
        <w:pStyle w:val="FirstParagraph"/>
      </w:pPr>
      <w:r>
        <w:rPr>
          <w:rFonts w:hint="eastAsia"/>
          <w:b/>
          <w:bCs/>
        </w:rPr>
        <w:t xml:space="preserve">原文事实：</w:t>
      </w:r>
      <w:r>
        <w:t xml:space="preserve"> </w:t>
      </w:r>
      <w:r>
        <w:rPr>
          <w:rFonts w:hint="eastAsia"/>
        </w:rPr>
        <w:t xml:space="preserve">黑龙江全面开启冬季供暖；甘肃白银将供暖时间较往年11月1日提前半个月，升级供热平台和换热站，覆盖3000多万平方米；吉林多地提前供暖并把居民室温最低服务目标由20℃提升至22℃。济南18个中继泵站和2000多座换热站使用AI智能系统，实现无人值守和AI自主巡检。新疆北部进入供暖季，并排查管网泄漏和老旧小区末端不热等问题。</w:t>
      </w:r>
    </w:p>
    <w:p>
      <w:pPr>
        <w:pStyle w:val="BodyText"/>
      </w:pPr>
      <w:r>
        <w:rPr>
          <w:rFonts w:hint="eastAsia"/>
          <w:b/>
          <w:bCs/>
        </w:rPr>
        <w:t xml:space="preserve">分析：</w:t>
      </w:r>
      <w:r>
        <w:t xml:space="preserve"> </w:t>
      </w:r>
      <w:r>
        <w:rPr>
          <w:rFonts w:hint="eastAsia"/>
        </w:rPr>
        <w:t xml:space="preserve">该条同时对应民生保障、设备更新、数字化运维和节能降耗。产业兑现取决于地方资本开支、改造招标、节能收益及回款；供暖提前和温度目标提高也可能增加能源需求与运营成本，不能只看设备端利好。</w:t>
      </w:r>
    </w:p>
    <w:bookmarkEnd w:id="17"/>
    <w:bookmarkStart w:id="18" w:name="Xcce8f978369f461652d8640da69e7a39fc06711"/>
    <w:p>
      <w:pPr>
        <w:pStyle w:val="Heading3"/>
      </w:pPr>
      <w:r>
        <w:t xml:space="preserve">8. </w:t>
      </w:r>
      <w:r>
        <w:rPr>
          <w:rFonts w:hint="eastAsia"/>
        </w:rPr>
        <w:t xml:space="preserve">红色高校与新时代科研担当：电子信息、空间能源和文献数字化获展示</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A股影响：直接催化弱，长期关联电子信息科研、空间技术和文化数字化</w:t>
      </w:r>
    </w:p>
    <w:p>
      <w:pPr>
        <w:pStyle w:val="Compact"/>
        <w:numPr>
          <w:ilvl w:val="0"/>
          <w:numId w:val="1010"/>
        </w:numPr>
      </w:pPr>
      <w:r>
        <w:rPr>
          <w:rFonts w:hint="eastAsia"/>
          <w:b/>
          <w:bCs/>
        </w:rPr>
        <w:t xml:space="preserve">影响时效：长期</w:t>
      </w:r>
    </w:p>
    <w:p>
      <w:pPr>
        <w:pStyle w:val="Compact"/>
        <w:numPr>
          <w:ilvl w:val="0"/>
          <w:numId w:val="1010"/>
        </w:numPr>
      </w:pPr>
      <w:r>
        <w:rPr>
          <w:rFonts w:hint="eastAsia"/>
          <w:b/>
          <w:bCs/>
        </w:rPr>
        <w:t xml:space="preserve">关联方向：</w:t>
      </w:r>
      <w:r>
        <w:t xml:space="preserve"> </w:t>
      </w:r>
      <w:r>
        <w:rPr>
          <w:rFonts w:hint="eastAsia"/>
        </w:rPr>
        <w:t xml:space="preserve">电子信息、雷达与遥感、空间能源科研、数字档案、教育科研服务。</w:t>
      </w:r>
    </w:p>
    <w:p>
      <w:pPr>
        <w:pStyle w:val="FirstParagraph"/>
      </w:pPr>
      <w:r>
        <w:rPr>
          <w:rFonts w:hint="eastAsia"/>
          <w:b/>
          <w:bCs/>
        </w:rPr>
        <w:t xml:space="preserve">原文事实：</w:t>
      </w:r>
      <w:r>
        <w:t xml:space="preserve"> </w:t>
      </w:r>
      <w:r>
        <w:rPr>
          <w:rFonts w:hint="eastAsia"/>
        </w:rPr>
        <w:t xml:space="preserve">《文化中国行·校馆弦歌》回顾西安电子科技大学和延安大学的红色办学历程。报道提到西电从我国第一部气象雷达、嫦娥高清遥感图像到“逐日工程”空间能源研究的科研担当；延安大学历时8年逐字校对，建成延安时期红色文献数字研究平台，且超七成毕业生扎根西部。</w:t>
      </w:r>
    </w:p>
    <w:p>
      <w:pPr>
        <w:pStyle w:val="BodyText"/>
      </w:pPr>
      <w:r>
        <w:rPr>
          <w:rFonts w:hint="eastAsia"/>
          <w:b/>
          <w:bCs/>
        </w:rPr>
        <w:t xml:space="preserve">分析：</w:t>
      </w:r>
      <w:r>
        <w:t xml:space="preserve"> </w:t>
      </w:r>
      <w:r>
        <w:rPr>
          <w:rFonts w:hint="eastAsia"/>
        </w:rPr>
        <w:t xml:space="preserve">本条主要是文化与教育叙事，展现科研和数字文献应用案例，并非新增科技产业政策。底稿没有科研经费、采购、商业化安排或企业合作名单，不宜把案例报道外推为短期订单。</w:t>
      </w:r>
    </w:p>
    <w:bookmarkEnd w:id="18"/>
    <w:bookmarkEnd w:id="19"/>
    <w:bookmarkStart w:id="25" w:name="四国内联播快讯逐项分析"/>
    <w:p>
      <w:pPr>
        <w:pStyle w:val="Heading2"/>
      </w:pPr>
      <w:r>
        <w:rPr>
          <w:rFonts w:hint="eastAsia"/>
        </w:rPr>
        <w:t xml:space="preserve">四、国内联播快讯逐项分析</w:t>
      </w:r>
    </w:p>
    <w:bookmarkStart w:id="20" w:name="X6275263fb28b6e919e62e4ccf0510c68126e18c"/>
    <w:p>
      <w:pPr>
        <w:pStyle w:val="Heading3"/>
      </w:pPr>
      <w:r>
        <w:t xml:space="preserve">9.1 </w:t>
      </w:r>
      <w:r>
        <w:rPr>
          <w:rFonts w:hint="eastAsia"/>
        </w:rPr>
        <w:t xml:space="preserve">《世界职业技术教育标准框架》发布</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A股影响：职业教育、实训设备和产教融合服务中长期偏利好</w:t>
      </w:r>
    </w:p>
    <w:p>
      <w:pPr>
        <w:pStyle w:val="Compact"/>
        <w:numPr>
          <w:ilvl w:val="0"/>
          <w:numId w:val="1011"/>
        </w:numPr>
      </w:pPr>
      <w:r>
        <w:rPr>
          <w:rFonts w:hint="eastAsia"/>
          <w:b/>
          <w:bCs/>
        </w:rPr>
        <w:t xml:space="preserve">关联方向：</w:t>
      </w:r>
      <w:r>
        <w:t xml:space="preserve"> </w:t>
      </w:r>
      <w:r>
        <w:rPr>
          <w:rFonts w:hint="eastAsia"/>
        </w:rPr>
        <w:t xml:space="preserve">职业教育运营、实训设备、课程与教材、教育数字化、产业培训和国际标准服务。</w:t>
      </w:r>
    </w:p>
    <w:p>
      <w:pPr>
        <w:pStyle w:val="FirstParagraph"/>
      </w:pPr>
      <w:r>
        <w:rPr>
          <w:rFonts w:hint="eastAsia"/>
        </w:rPr>
        <w:t xml:space="preserve">45个国家共同发布《世界职业技术教育标准框架》（《北京协议》），这是我国牵头推动形成的首个国际职业教育标准，重点涉及产教协同建设教材、按岗位实际要求开展实习实训，以及相应治理、保障和行动路径。其价值在于标准和模式输出，但协议发布不等于采购订单；后续看参与国家落地、课程认证、实训基地和企业岗位合作。</w:t>
      </w:r>
    </w:p>
    <w:bookmarkEnd w:id="20"/>
    <w:bookmarkStart w:id="21" w:name="X4dd94408d2ffd7076d69ca232a7aa5413294e57"/>
    <w:p>
      <w:pPr>
        <w:pStyle w:val="Heading3"/>
      </w:pPr>
      <w:r>
        <w:t xml:space="preserve">9.2 </w:t>
      </w:r>
      <w:r>
        <w:rPr>
          <w:rFonts w:hint="eastAsia"/>
        </w:rPr>
        <w:t xml:space="preserve">粤港澳大湾区首个知识型综保区封关运作</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A股影响：区域性利好保税服务、智能算力和精密设备维修</w:t>
      </w:r>
    </w:p>
    <w:p>
      <w:pPr>
        <w:pStyle w:val="Compact"/>
        <w:numPr>
          <w:ilvl w:val="0"/>
          <w:numId w:val="1012"/>
        </w:numPr>
      </w:pPr>
      <w:r>
        <w:rPr>
          <w:rFonts w:hint="eastAsia"/>
          <w:b/>
          <w:bCs/>
        </w:rPr>
        <w:t xml:space="preserve">关联方向：</w:t>
      </w:r>
      <w:r>
        <w:t xml:space="preserve"> </w:t>
      </w:r>
      <w:r>
        <w:rPr>
          <w:rFonts w:hint="eastAsia"/>
        </w:rPr>
        <w:t xml:space="preserve">综合保税区运营、跨境物流、智能算力、精密设备保税维修和供应链服务。</w:t>
      </w:r>
    </w:p>
    <w:p>
      <w:pPr>
        <w:pStyle w:val="FirstParagraph"/>
      </w:pPr>
      <w:r>
        <w:rPr>
          <w:rFonts w:hint="eastAsia"/>
        </w:rPr>
        <w:t xml:space="preserve">广州知识城综合保税区正式封关运作，定位为粤港澳大湾区首个知识型综保区，重点布局智能算力、精密设备保税维修等产业。该条给出明确园区定位，但没有入驻企业、投资额、产能、订单或税收数据；兑现需跟踪项目签约、通关业务量和园区利用率。</w:t>
      </w:r>
    </w:p>
    <w:bookmarkEnd w:id="21"/>
    <w:bookmarkStart w:id="22" w:name="X976c8872bc58b101904bf3532d415ec9fdff203"/>
    <w:p>
      <w:pPr>
        <w:pStyle w:val="Heading3"/>
      </w:pPr>
      <w:r>
        <w:t xml:space="preserve">9.3 </w:t>
      </w:r>
      <w:r>
        <w:rPr>
          <w:rFonts w:hint="eastAsia"/>
        </w:rPr>
        <w:t xml:space="preserve">户外运动相关产业总规模约3.17万亿元</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A股影响：户外消费、赛事运营和装备制造方向偏利好</w:t>
      </w:r>
    </w:p>
    <w:p>
      <w:pPr>
        <w:pStyle w:val="Compact"/>
        <w:numPr>
          <w:ilvl w:val="0"/>
          <w:numId w:val="1013"/>
        </w:numPr>
      </w:pPr>
      <w:r>
        <w:rPr>
          <w:rFonts w:hint="eastAsia"/>
          <w:b/>
          <w:bCs/>
        </w:rPr>
        <w:t xml:space="preserve">关联方向：</w:t>
      </w:r>
      <w:r>
        <w:t xml:space="preserve"> </w:t>
      </w:r>
      <w:r>
        <w:rPr>
          <w:rFonts w:hint="eastAsia"/>
        </w:rPr>
        <w:t xml:space="preserve">骑行、水上、徒步、滑板装备，体育赛事、户外场景运营及相关服务。</w:t>
      </w:r>
    </w:p>
    <w:p>
      <w:pPr>
        <w:pStyle w:val="FirstParagraph"/>
      </w:pPr>
      <w:r>
        <w:rPr>
          <w:rFonts w:hint="eastAsia"/>
        </w:rPr>
        <w:t xml:space="preserve">报道给出我国户外运动参与人数超过5亿、相关产业总规模约3.17万亿元，并展示多类装备和挑战赛。大规模参与基础支持户外消费方向，但“产业总规模”不等于上市公司可获得收入；需进一步核验消费频次、客单价、品牌份额、库存和赛事商业化。</w:t>
      </w:r>
    </w:p>
    <w:bookmarkEnd w:id="22"/>
    <w:bookmarkStart w:id="23" w:name="X319b530a8a14780fa447ac8a98fae28eb7a5906"/>
    <w:p>
      <w:pPr>
        <w:pStyle w:val="Heading3"/>
      </w:pPr>
      <w:r>
        <w:t xml:space="preserve">9.4 </w:t>
      </w:r>
      <w:r>
        <w:rPr>
          <w:rFonts w:hint="eastAsia"/>
        </w:rPr>
        <w:t xml:space="preserve">我国再添四处世界灌溉工程遗产</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A股影响：直接产业催化弱，长期关联水利遗产保护和文旅利用</w:t>
      </w:r>
    </w:p>
    <w:p>
      <w:pPr>
        <w:pStyle w:val="Compact"/>
        <w:numPr>
          <w:ilvl w:val="0"/>
          <w:numId w:val="1014"/>
        </w:numPr>
      </w:pPr>
      <w:r>
        <w:rPr>
          <w:rFonts w:hint="eastAsia"/>
          <w:b/>
          <w:bCs/>
        </w:rPr>
        <w:t xml:space="preserve">关联方向：</w:t>
      </w:r>
      <w:r>
        <w:t xml:space="preserve"> </w:t>
      </w:r>
      <w:r>
        <w:rPr>
          <w:rFonts w:hint="eastAsia"/>
        </w:rPr>
        <w:t xml:space="preserve">水利维护、文化遗产保护、生态文旅和数字展示。</w:t>
      </w:r>
    </w:p>
    <w:p>
      <w:pPr>
        <w:pStyle w:val="FirstParagraph"/>
      </w:pPr>
      <w:r>
        <w:rPr>
          <w:rFonts w:hint="eastAsia"/>
        </w:rPr>
        <w:t xml:space="preserve">河南沁河广利渠、甘肃讨赖河绿洲灌溉系统、江西上饶市广信黄沙渠、福建长泰龙津古陂灌溉工程入选世界灌溉工程遗产，我国总数达到46项。这是遗产认定和文化价值信号，底稿没有新增保护预算、修缮项目或旅游收入目标，不构成确定性业绩催化。</w:t>
      </w:r>
    </w:p>
    <w:bookmarkEnd w:id="23"/>
    <w:bookmarkStart w:id="24" w:name="Xbc5da9e8c01fe1cf2f4dc474265560590eea27b"/>
    <w:p>
      <w:pPr>
        <w:pStyle w:val="Heading3"/>
      </w:pPr>
      <w:r>
        <w:t xml:space="preserve">9.5 </w:t>
      </w:r>
      <w:r>
        <w:rPr>
          <w:rFonts w:hint="eastAsia"/>
        </w:rPr>
        <w:t xml:space="preserve">东北、华北等地出现大范围强降雨</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A股影响：防灾与排涝需求可能升温，交通、施工和农业局部承压</w:t>
      </w:r>
    </w:p>
    <w:p>
      <w:pPr>
        <w:pStyle w:val="Compact"/>
        <w:numPr>
          <w:ilvl w:val="0"/>
          <w:numId w:val="1015"/>
        </w:numPr>
      </w:pPr>
      <w:r>
        <w:rPr>
          <w:rFonts w:hint="eastAsia"/>
          <w:b/>
          <w:bCs/>
        </w:rPr>
        <w:t xml:space="preserve">关联方向：</w:t>
      </w:r>
      <w:r>
        <w:t xml:space="preserve"> </w:t>
      </w:r>
      <w:r>
        <w:rPr>
          <w:rFonts w:hint="eastAsia"/>
        </w:rPr>
        <w:t xml:space="preserve">气象服务、排水防涝、应急装备、基础设施巡检；同时关注农业、物流和户外施工风险。</w:t>
      </w:r>
    </w:p>
    <w:p>
      <w:pPr>
        <w:pStyle w:val="FirstParagraph"/>
      </w:pPr>
      <w:r>
        <w:rPr>
          <w:rFonts w:hint="eastAsia"/>
        </w:rPr>
        <w:t xml:space="preserve">10月17日华北、东北等地出现中到大雨，局地暴雨或大暴雨，中央气象台继续发布暴雨蓝色预警；北京、天津、河北等地气温明显下降。该条首先是风险提示，不能把灾害直接当作利好；产业映射需以实际受灾范围、应急采购、工程修复和保险赔付为准。</w:t>
      </w:r>
    </w:p>
    <w:bookmarkEnd w:id="24"/>
    <w:bookmarkEnd w:id="25"/>
    <w:bookmarkStart w:id="28" w:name="五国际新闻逐条分析"/>
    <w:p>
      <w:pPr>
        <w:pStyle w:val="Heading2"/>
      </w:pPr>
      <w:r>
        <w:rPr>
          <w:rFonts w:hint="eastAsia"/>
        </w:rPr>
        <w:t xml:space="preserve">五、国际新闻逐条分析</w:t>
      </w:r>
    </w:p>
    <w:bookmarkStart w:id="26" w:name="X7c5bf5a045de872338b2ff965c31df530a8b3d8"/>
    <w:p>
      <w:pPr>
        <w:pStyle w:val="Heading3"/>
      </w:pPr>
      <w:r>
        <w:t xml:space="preserve">10. </w:t>
      </w:r>
      <w:r>
        <w:rPr>
          <w:rFonts w:hint="eastAsia"/>
        </w:rPr>
        <w:t xml:space="preserve">日本政客向靖国神社供奉祭品或参拜：中日关系情绪扰动风险</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A股影响：总体偏中性，短期可能扰动中日关系相关风险偏好</w:t>
      </w:r>
    </w:p>
    <w:p>
      <w:pPr>
        <w:pStyle w:val="Compact"/>
        <w:numPr>
          <w:ilvl w:val="0"/>
          <w:numId w:val="1016"/>
        </w:numPr>
      </w:pPr>
      <w:r>
        <w:rPr>
          <w:rFonts w:hint="eastAsia"/>
          <w:b/>
          <w:bCs/>
        </w:rPr>
        <w:t xml:space="preserve">影响时效：短期事件性</w:t>
      </w:r>
    </w:p>
    <w:p>
      <w:pPr>
        <w:pStyle w:val="Compact"/>
        <w:numPr>
          <w:ilvl w:val="0"/>
          <w:numId w:val="1016"/>
        </w:numPr>
      </w:pPr>
      <w:r>
        <w:rPr>
          <w:rFonts w:hint="eastAsia"/>
          <w:b/>
          <w:bCs/>
        </w:rPr>
        <w:t xml:space="preserve">关联方向：</w:t>
      </w:r>
      <w:r>
        <w:t xml:space="preserve"> </w:t>
      </w:r>
      <w:r>
        <w:rPr>
          <w:rFonts w:hint="eastAsia"/>
        </w:rPr>
        <w:t xml:space="preserve">对日贸易、旅游、消费和供应链情绪观察。</w:t>
      </w:r>
    </w:p>
    <w:p>
      <w:pPr>
        <w:pStyle w:val="FirstParagraph"/>
      </w:pPr>
      <w:r>
        <w:rPr>
          <w:rFonts w:hint="eastAsia"/>
          <w:b/>
          <w:bCs/>
        </w:rPr>
        <w:t xml:space="preserve">原文事实：</w:t>
      </w:r>
      <w:r>
        <w:t xml:space="preserve"> </w:t>
      </w:r>
      <w:r>
        <w:rPr>
          <w:rFonts w:hint="eastAsia"/>
        </w:rPr>
        <w:t xml:space="preserve">据日本媒体报道，日本首相高市早苗及多名政客向靖国神社供奉祭品，日本经济财政政策担当大臣城内实参拜。报道引用日本人士批评相关行为，呼吁正视历史、反省战争罪行。</w:t>
      </w:r>
    </w:p>
    <w:p>
      <w:pPr>
        <w:pStyle w:val="BodyText"/>
      </w:pPr>
      <w:r>
        <w:rPr>
          <w:rFonts w:hint="eastAsia"/>
          <w:b/>
          <w:bCs/>
        </w:rPr>
        <w:t xml:space="preserve">分析：</w:t>
      </w:r>
      <w:r>
        <w:t xml:space="preserve"> </w:t>
      </w:r>
      <w:r>
        <w:rPr>
          <w:rFonts w:hint="eastAsia"/>
        </w:rPr>
        <w:t xml:space="preserve">本条是政治和历史议题，底稿没有中方经贸措施、贸易数据或企业影响。除非后续出现正式外交或经贸行动，否则不宜直接外推为具体行业利空或国产替代利好。</w:t>
      </w:r>
    </w:p>
    <w:bookmarkEnd w:id="26"/>
    <w:bookmarkStart w:id="27" w:name="X1541d95c67d87f993aa1c4fa7ba0d606a6aa6e0"/>
    <w:p>
      <w:pPr>
        <w:pStyle w:val="Heading3"/>
      </w:pPr>
      <w:r>
        <w:t xml:space="preserve">11. </w:t>
      </w:r>
      <w:r>
        <w:rPr>
          <w:rFonts w:hint="eastAsia"/>
        </w:rPr>
        <w:t xml:space="preserve">也门冲突波及亚丁机场，沙特相关军事目标与红海安全风险上升</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A股影响：油气、海事安全和防务可能获得风险溢价；航空、物流及成本敏感行业承压风险上升</w:t>
      </w:r>
    </w:p>
    <w:p>
      <w:pPr>
        <w:pStyle w:val="Compact"/>
        <w:numPr>
          <w:ilvl w:val="0"/>
          <w:numId w:val="1017"/>
        </w:numPr>
      </w:pPr>
      <w:r>
        <w:rPr>
          <w:rFonts w:hint="eastAsia"/>
          <w:b/>
          <w:bCs/>
        </w:rPr>
        <w:t xml:space="preserve">影响时效：短期1—3日；若机场、航线或能源设施持续受扰则延长</w:t>
      </w:r>
    </w:p>
    <w:p>
      <w:pPr>
        <w:pStyle w:val="Compact"/>
        <w:numPr>
          <w:ilvl w:val="0"/>
          <w:numId w:val="1017"/>
        </w:numPr>
      </w:pPr>
      <w:r>
        <w:rPr>
          <w:rFonts w:hint="eastAsia"/>
          <w:b/>
          <w:bCs/>
        </w:rPr>
        <w:t xml:space="preserve">可能受益映射：</w:t>
      </w:r>
      <w:r>
        <w:t xml:space="preserve"> </w:t>
      </w:r>
      <w:r>
        <w:rPr>
          <w:rFonts w:hint="eastAsia"/>
        </w:rPr>
        <w:t xml:space="preserve">油气安全、海事安防、无人机防御、防空反导和替代运输。</w:t>
      </w:r>
    </w:p>
    <w:p>
      <w:pPr>
        <w:pStyle w:val="Compact"/>
        <w:numPr>
          <w:ilvl w:val="0"/>
          <w:numId w:val="1017"/>
        </w:numPr>
      </w:pPr>
      <w:r>
        <w:rPr>
          <w:rFonts w:hint="eastAsia"/>
          <w:b/>
          <w:bCs/>
        </w:rPr>
        <w:t xml:space="preserve">可能承压映射：</w:t>
      </w:r>
      <w:r>
        <w:t xml:space="preserve"> </w:t>
      </w:r>
      <w:r>
        <w:rPr>
          <w:rFonts w:hint="eastAsia"/>
        </w:rPr>
        <w:t xml:space="preserve">航空机场、国际物流、化工下游和燃料成本敏感制造。</w:t>
      </w:r>
    </w:p>
    <w:p>
      <w:pPr>
        <w:pStyle w:val="FirstParagraph"/>
      </w:pPr>
      <w:r>
        <w:rPr>
          <w:rFonts w:hint="eastAsia"/>
          <w:b/>
          <w:bCs/>
        </w:rPr>
        <w:t xml:space="preserve">原文事实：</w:t>
      </w:r>
      <w:r>
        <w:t xml:space="preserve"> </w:t>
      </w:r>
      <w:r>
        <w:rPr>
          <w:rFonts w:hint="eastAsia"/>
        </w:rPr>
        <w:t xml:space="preserve">也门政府官员称，一架客机在亚丁国际机场准备起飞时，两枚导弹落在飞机附近，乘客和机组人员无伤亡，并谴责胡塞武装袭击民用机场。胡塞武装称其打击目标是机场附近巴德尔军事基地内的沙特军队指挥部和武器库；该组织还称多国联军过去24小时发动超百次空袭和导弹袭击并造成平民伤亡。多国联军称拦截并摧毁4架无人机和3枚导弹。</w:t>
      </w:r>
    </w:p>
    <w:p>
      <w:pPr>
        <w:pStyle w:val="BodyText"/>
      </w:pPr>
      <w:r>
        <w:rPr>
          <w:rFonts w:hint="eastAsia"/>
          <w:b/>
          <w:bCs/>
        </w:rPr>
        <w:t xml:space="preserve">分析：</w:t>
      </w:r>
      <w:r>
        <w:t xml:space="preserve"> </w:t>
      </w:r>
      <w:r>
        <w:rPr>
          <w:rFonts w:hint="eastAsia"/>
        </w:rPr>
        <w:t xml:space="preserve">上述内容均为冲突各方口径，不能改写为独立核验事实。A股传导取决于机场、红海航线、油气供应和保险运价是否受到持续影响；底稿没有这些市场数据，应避免仅凭军事消息追高主题。</w:t>
      </w:r>
    </w:p>
    <w:bookmarkEnd w:id="27"/>
    <w:bookmarkEnd w:id="28"/>
    <w:bookmarkStart w:id="32" w:name="六国际联播快讯逐项分析"/>
    <w:p>
      <w:pPr>
        <w:pStyle w:val="Heading2"/>
      </w:pPr>
      <w:r>
        <w:rPr>
          <w:rFonts w:hint="eastAsia"/>
        </w:rPr>
        <w:t xml:space="preserve">六、国际联播快讯逐项分析</w:t>
      </w:r>
    </w:p>
    <w:bookmarkStart w:id="29" w:name="X014b73cfaed2ac5684ba417483d08a1e3dc1ca1"/>
    <w:p>
      <w:pPr>
        <w:pStyle w:val="Heading3"/>
      </w:pPr>
      <w:r>
        <w:t xml:space="preserve">12.1 </w:t>
      </w:r>
      <w:r>
        <w:rPr>
          <w:rFonts w:hint="eastAsia"/>
        </w:rPr>
        <w:t xml:space="preserve">俄乌冲突升级：军工、能源与物流设施继续成为打击目标</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A股影响：全球能源、航运与防务风险溢价上升；外需和风险偏好承压</w:t>
      </w:r>
    </w:p>
    <w:p>
      <w:pPr>
        <w:pStyle w:val="Compact"/>
        <w:numPr>
          <w:ilvl w:val="0"/>
          <w:numId w:val="1018"/>
        </w:numPr>
      </w:pPr>
      <w:r>
        <w:rPr>
          <w:rFonts w:hint="eastAsia"/>
          <w:b/>
          <w:bCs/>
        </w:rPr>
        <w:t xml:space="preserve">关联方向：</w:t>
      </w:r>
      <w:r>
        <w:t xml:space="preserve"> </w:t>
      </w:r>
      <w:r>
        <w:rPr>
          <w:rFonts w:hint="eastAsia"/>
        </w:rPr>
        <w:t xml:space="preserve">油气、黄金、防务、无人机与反无人机；同时关注欧洲能源成本和出口链风险。</w:t>
      </w:r>
    </w:p>
    <w:p>
      <w:pPr>
        <w:pStyle w:val="FirstParagraph"/>
      </w:pPr>
      <w:r>
        <w:rPr>
          <w:rFonts w:hint="eastAsia"/>
        </w:rPr>
        <w:t xml:space="preserve">俄罗斯国防部称对乌方冶金企业、能源设施实施打击，并称拦截或摧毁610架乌克兰无人机；普京称年初以来俄军控制310个居民点和约6500平方公里区域。乌克兰空军称击落或压制289架俄无人机、4枚巡航导弹；泽连斯基要求欧盟明年再提供700亿欧元援助。以上均为各方公开口径，报告不作独立事实背书。对A股的影响需通过能源价格、欧洲需求、制裁和全球风险偏好验证。</w:t>
      </w:r>
    </w:p>
    <w:bookmarkEnd w:id="29"/>
    <w:bookmarkStart w:id="30" w:name="Xcf37aa7f498d54ddf357300211c992a37f85419"/>
    <w:p>
      <w:pPr>
        <w:pStyle w:val="Heading3"/>
      </w:pPr>
      <w:r>
        <w:t xml:space="preserve">12.2 </w:t>
      </w:r>
      <w:r>
        <w:rPr>
          <w:rFonts w:hint="eastAsia"/>
        </w:rPr>
        <w:t xml:space="preserve">美国2026财年预算赤字接近2万亿美元</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A股影响：海外利率与美元不确定性增加，长期压制全球风险资产估值稳定性</w:t>
      </w:r>
    </w:p>
    <w:p>
      <w:pPr>
        <w:pStyle w:val="Compact"/>
        <w:numPr>
          <w:ilvl w:val="0"/>
          <w:numId w:val="1019"/>
        </w:numPr>
      </w:pPr>
      <w:r>
        <w:rPr>
          <w:rFonts w:hint="eastAsia"/>
          <w:b/>
          <w:bCs/>
        </w:rPr>
        <w:t xml:space="preserve">关联方向：</w:t>
      </w:r>
      <w:r>
        <w:t xml:space="preserve"> </w:t>
      </w:r>
      <w:r>
        <w:rPr>
          <w:rFonts w:hint="eastAsia"/>
        </w:rPr>
        <w:t xml:space="preserve">黄金等避险资产、出口链、高估值成长及外币融资成本。</w:t>
      </w:r>
    </w:p>
    <w:p>
      <w:pPr>
        <w:pStyle w:val="FirstParagraph"/>
      </w:pPr>
      <w:r>
        <w:rPr>
          <w:rFonts w:hint="eastAsia"/>
        </w:rPr>
        <w:t xml:space="preserve">美国财政部数据称，2026财年联邦预算赤字约1.99万亿美元，较2025财年增长12%，并已连续25个财年出现预算赤字。该信号反映美国财政可持续性压力，但对A股的实际传导并非单向：仍取决于美债供给、通胀、利率、美元和全球资金风险偏好，底稿没有这些实时市场变量。</w:t>
      </w:r>
    </w:p>
    <w:bookmarkEnd w:id="30"/>
    <w:bookmarkStart w:id="31" w:name="Xebbbf88d1576d1ce81c9363ad615c56eec5175c"/>
    <w:p>
      <w:pPr>
        <w:pStyle w:val="Heading3"/>
      </w:pPr>
      <w:r>
        <w:t xml:space="preserve">12.3 </w:t>
      </w:r>
      <w:r>
        <w:rPr>
          <w:rFonts w:hint="eastAsia"/>
        </w:rPr>
        <w:t xml:space="preserve">布伦特原油再次触及110美元：输入性成本压力抬升</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A股影响：上游油气相对受益，航空、物流、化工下游和部分制造成本承压</w:t>
      </w:r>
    </w:p>
    <w:p>
      <w:pPr>
        <w:pStyle w:val="Compact"/>
        <w:numPr>
          <w:ilvl w:val="0"/>
          <w:numId w:val="1020"/>
        </w:numPr>
      </w:pPr>
      <w:r>
        <w:rPr>
          <w:rFonts w:hint="eastAsia"/>
          <w:b/>
          <w:bCs/>
        </w:rPr>
        <w:t xml:space="preserve">关联方向：</w:t>
      </w:r>
      <w:r>
        <w:t xml:space="preserve"> </w:t>
      </w:r>
      <w:r>
        <w:rPr>
          <w:rFonts w:hint="eastAsia"/>
        </w:rPr>
        <w:t xml:space="preserve">油气开采与服务、煤化工替代、航空运输、航运、轮胎及化工下游。</w:t>
      </w:r>
    </w:p>
    <w:p>
      <w:pPr>
        <w:pStyle w:val="FirstParagraph"/>
      </w:pPr>
      <w:r>
        <w:rPr>
          <w:rFonts w:hint="eastAsia"/>
        </w:rPr>
        <w:t xml:space="preserve">受中东、俄乌紧张局势影响，10月16日纽约商品交易所11月轻质原油期货收于每桶101.41美元，上涨3.51%；12月布伦特原油期货一度触及每桶110美元，最终收于109.86美元，为5月以来新高。短线可关注油价风险溢价，但上游盈利仍取决于售价、成本和产量；下游压力取决于库存周期与成本转嫁能力，不能仅凭单日上涨断言利润变化。</w:t>
      </w:r>
    </w:p>
    <w:bookmarkEnd w:id="31"/>
    <w:bookmarkEnd w:id="32"/>
    <w:bookmarkStart w:id="33" w:name="七板块影响汇总"/>
    <w:p>
      <w:pPr>
        <w:pStyle w:val="Heading2"/>
      </w:pPr>
      <w:r>
        <w:rPr>
          <w:rFonts w:hint="eastAsia"/>
        </w:rPr>
        <w:t xml:space="preserve">七、板块影响汇总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jc w:val="right"/>
            </w:pPr>
            <w:r>
              <w:rPr>
                <w:rFonts w:hint="eastAsia"/>
              </w:rPr>
              <w:t xml:space="preserve">信号强度</w:t>
            </w:r>
          </w:p>
        </w:tc>
        <w:tc>
          <w:tcPr/>
          <w:p>
            <w:pPr>
              <w:pStyle w:val="Compact"/>
            </w:pPr>
            <w:r>
              <w:rPr>
                <w:rFonts w:hint="eastAsia"/>
              </w:rPr>
              <w:t xml:space="preserve">兑现条件</w:t>
            </w:r>
          </w:p>
        </w:tc>
      </w:tr>
      <w:tr>
        <w:tc>
          <w:tcPr/>
          <w:p>
            <w:pPr>
              <w:pStyle w:val="Compact"/>
            </w:pPr>
            <w:r>
              <w:rPr>
                <w:rFonts w:hint="eastAsia"/>
              </w:rPr>
              <w:t xml:space="preserve">绿色算力/数据中心/算力调度</w:t>
            </w:r>
          </w:p>
        </w:tc>
        <w:tc>
          <w:tcPr/>
          <w:p>
            <w:pPr>
              <w:pStyle w:val="Compact"/>
            </w:pPr>
            <w:r>
              <w:rPr>
                <w:rFonts w:hint="eastAsia"/>
              </w:rPr>
              <w:t xml:space="preserve">中长期结构性利好</w:t>
            </w:r>
          </w:p>
        </w:tc>
        <w:tc>
          <w:tcPr/>
          <w:p>
            <w:pPr>
              <w:pStyle w:val="Compact"/>
            </w:pPr>
            <w:r>
              <w:rPr>
                <w:rFonts w:hint="eastAsia"/>
              </w:rPr>
              <w:t xml:space="preserve">乌兰察布考察、算力网、“东数西算”</w:t>
            </w:r>
          </w:p>
        </w:tc>
        <w:tc>
          <w:tcPr/>
          <w:p>
            <w:pPr>
              <w:pStyle w:val="Compact"/>
              <w:jc w:val="right"/>
            </w:pPr>
            <w:r>
              <w:t xml:space="preserve">★★★★★</w:t>
            </w:r>
          </w:p>
        </w:tc>
        <w:tc>
          <w:tcPr/>
          <w:p>
            <w:pPr>
              <w:pStyle w:val="Compact"/>
            </w:pPr>
            <w:r>
              <w:rPr>
                <w:rFonts w:hint="eastAsia"/>
              </w:rPr>
              <w:t xml:space="preserve">项目清单、上架率、绿电与能水效率、设备订单</w:t>
            </w:r>
          </w:p>
        </w:tc>
      </w:tr>
      <w:tr>
        <w:tc>
          <w:tcPr/>
          <w:p>
            <w:pPr>
              <w:pStyle w:val="Compact"/>
            </w:pPr>
            <w:r>
              <w:rPr>
                <w:rFonts w:hint="eastAsia"/>
              </w:rPr>
              <w:t xml:space="preserve">生态修复/湿地保护/环境监测</w:t>
            </w:r>
          </w:p>
        </w:tc>
        <w:tc>
          <w:tcPr/>
          <w:p>
            <w:pPr>
              <w:pStyle w:val="Compact"/>
            </w:pPr>
            <w:r>
              <w:rPr>
                <w:rFonts w:hint="eastAsia"/>
              </w:rPr>
              <w:t xml:space="preserve">长期偏利好</w:t>
            </w:r>
          </w:p>
        </w:tc>
        <w:tc>
          <w:tcPr/>
          <w:p>
            <w:pPr>
              <w:pStyle w:val="Compact"/>
            </w:pPr>
            <w:r>
              <w:rPr>
                <w:rFonts w:hint="eastAsia"/>
              </w:rPr>
              <w:t xml:space="preserve">黄旗海修复、“三北”工程、系统治理</w:t>
            </w:r>
          </w:p>
        </w:tc>
        <w:tc>
          <w:tcPr/>
          <w:p>
            <w:pPr>
              <w:pStyle w:val="Compact"/>
              <w:jc w:val="right"/>
            </w:pPr>
            <w:r>
              <w:t xml:space="preserve">★★★★</w:t>
            </w:r>
          </w:p>
        </w:tc>
        <w:tc>
          <w:tcPr/>
          <w:p>
            <w:pPr>
              <w:pStyle w:val="Compact"/>
            </w:pPr>
            <w:r>
              <w:rPr>
                <w:rFonts w:hint="eastAsia"/>
              </w:rPr>
              <w:t xml:space="preserve">预算、招标、验收与运维</w:t>
            </w:r>
          </w:p>
        </w:tc>
      </w:tr>
      <w:tr>
        <w:tc>
          <w:tcPr/>
          <w:p>
            <w:pPr>
              <w:pStyle w:val="Compact"/>
            </w:pPr>
            <w:r>
              <w:rPr>
                <w:rFonts w:hint="eastAsia"/>
              </w:rPr>
              <w:t xml:space="preserve">AI终端/工业互联网/机器人</w:t>
            </w:r>
          </w:p>
        </w:tc>
        <w:tc>
          <w:tcPr/>
          <w:p>
            <w:pPr>
              <w:pStyle w:val="Compact"/>
            </w:pPr>
            <w:r>
              <w:rPr>
                <w:rFonts w:hint="eastAsia"/>
              </w:rPr>
              <w:t xml:space="preserve">展会与场景催化</w:t>
            </w:r>
          </w:p>
        </w:tc>
        <w:tc>
          <w:tcPr/>
          <w:p>
            <w:pPr>
              <w:pStyle w:val="Compact"/>
            </w:pPr>
            <w:r>
              <w:rPr>
                <w:rFonts w:hint="eastAsia"/>
              </w:rPr>
              <w:t xml:space="preserve">广交会23.5万件AI产品、外骨骼机器人</w:t>
            </w:r>
          </w:p>
        </w:tc>
        <w:tc>
          <w:tcPr/>
          <w:p>
            <w:pPr>
              <w:pStyle w:val="Compact"/>
              <w:jc w:val="right"/>
            </w:pPr>
            <w:r>
              <w:t xml:space="preserve">★★★★</w:t>
            </w:r>
          </w:p>
        </w:tc>
        <w:tc>
          <w:tcPr/>
          <w:p>
            <w:pPr>
              <w:pStyle w:val="Compact"/>
            </w:pPr>
            <w:r>
              <w:rPr>
                <w:rFonts w:hint="eastAsia"/>
              </w:rPr>
              <w:t xml:space="preserve">成交、认证、交付、复购和回款</w:t>
            </w:r>
          </w:p>
        </w:tc>
      </w:tr>
      <w:tr>
        <w:tc>
          <w:tcPr/>
          <w:p>
            <w:pPr>
              <w:pStyle w:val="Compact"/>
            </w:pPr>
            <w:r>
              <w:rPr>
                <w:rFonts w:hint="eastAsia"/>
              </w:rPr>
              <w:t xml:space="preserve">智慧供热/节能改造</w:t>
            </w:r>
          </w:p>
        </w:tc>
        <w:tc>
          <w:tcPr/>
          <w:p>
            <w:pPr>
              <w:pStyle w:val="Compact"/>
            </w:pPr>
            <w:r>
              <w:rPr>
                <w:rFonts w:hint="eastAsia"/>
              </w:rPr>
              <w:t xml:space="preserve">季节性与中期改造利好</w:t>
            </w:r>
          </w:p>
        </w:tc>
        <w:tc>
          <w:tcPr/>
          <w:p>
            <w:pPr>
              <w:pStyle w:val="Compact"/>
            </w:pPr>
            <w:r>
              <w:rPr>
                <w:rFonts w:hint="eastAsia"/>
              </w:rPr>
              <w:t xml:space="preserve">AI巡检、换热站升级、老旧管网治理</w:t>
            </w:r>
          </w:p>
        </w:tc>
        <w:tc>
          <w:tcPr/>
          <w:p>
            <w:pPr>
              <w:pStyle w:val="Compact"/>
              <w:jc w:val="right"/>
            </w:pPr>
            <w:r>
              <w:t xml:space="preserve">★★★</w:t>
            </w:r>
          </w:p>
        </w:tc>
        <w:tc>
          <w:tcPr/>
          <w:p>
            <w:pPr>
              <w:pStyle w:val="Compact"/>
            </w:pPr>
            <w:r>
              <w:rPr>
                <w:rFonts w:hint="eastAsia"/>
              </w:rPr>
              <w:t xml:space="preserve">地方资本开支、招标、节能效果和回款</w:t>
            </w:r>
          </w:p>
        </w:tc>
      </w:tr>
      <w:tr>
        <w:tc>
          <w:tcPr/>
          <w:p>
            <w:pPr>
              <w:pStyle w:val="Compact"/>
            </w:pPr>
            <w:r>
              <w:rPr>
                <w:rFonts w:hint="eastAsia"/>
              </w:rPr>
              <w:t xml:space="preserve">中医药/传统医药服务</w:t>
            </w:r>
          </w:p>
        </w:tc>
        <w:tc>
          <w:tcPr/>
          <w:p>
            <w:pPr>
              <w:pStyle w:val="Compact"/>
            </w:pPr>
            <w:r>
              <w:rPr>
                <w:rFonts w:hint="eastAsia"/>
              </w:rPr>
              <w:t xml:space="preserve">中长期偏利好</w:t>
            </w:r>
          </w:p>
        </w:tc>
        <w:tc>
          <w:tcPr/>
          <w:p>
            <w:pPr>
              <w:pStyle w:val="Compact"/>
            </w:pPr>
            <w:r>
              <w:rPr>
                <w:rFonts w:hint="eastAsia"/>
              </w:rPr>
              <w:t xml:space="preserve">世界传统医药大会</w:t>
            </w:r>
          </w:p>
        </w:tc>
        <w:tc>
          <w:tcPr/>
          <w:p>
            <w:pPr>
              <w:pStyle w:val="Compact"/>
              <w:jc w:val="right"/>
            </w:pPr>
            <w:r>
              <w:t xml:space="preserve">★★★★</w:t>
            </w:r>
          </w:p>
        </w:tc>
        <w:tc>
          <w:tcPr/>
          <w:p>
            <w:pPr>
              <w:pStyle w:val="Compact"/>
            </w:pPr>
            <w:r>
              <w:rPr>
                <w:rFonts w:hint="eastAsia"/>
              </w:rPr>
              <w:t xml:space="preserve">标准互认、注册、临床证据、科研合作与出口</w:t>
            </w:r>
          </w:p>
        </w:tc>
      </w:tr>
      <w:tr>
        <w:tc>
          <w:tcPr/>
          <w:p>
            <w:pPr>
              <w:pStyle w:val="Compact"/>
            </w:pPr>
            <w:r>
              <w:rPr>
                <w:rFonts w:hint="eastAsia"/>
              </w:rPr>
              <w:t xml:space="preserve">服务贸易/运输服务</w:t>
            </w:r>
          </w:p>
        </w:tc>
        <w:tc>
          <w:tcPr/>
          <w:p>
            <w:pPr>
              <w:pStyle w:val="Compact"/>
            </w:pPr>
            <w:r>
              <w:rPr>
                <w:rFonts w:hint="eastAsia"/>
              </w:rPr>
              <w:t xml:space="preserve">数据偏利好</w:t>
            </w:r>
          </w:p>
        </w:tc>
        <w:tc>
          <w:tcPr/>
          <w:p>
            <w:pPr>
              <w:pStyle w:val="Compact"/>
            </w:pPr>
            <w:r>
              <w:rPr>
                <w:rFonts w:hint="eastAsia"/>
              </w:rPr>
              <w:t xml:space="preserve">服务出口增长14.8%、运输出口增长28.2%</w:t>
            </w:r>
          </w:p>
        </w:tc>
        <w:tc>
          <w:tcPr/>
          <w:p>
            <w:pPr>
              <w:pStyle w:val="Compact"/>
              <w:jc w:val="right"/>
            </w:pPr>
            <w:r>
              <w:t xml:space="preserve">★★★★</w:t>
            </w:r>
          </w:p>
        </w:tc>
        <w:tc>
          <w:tcPr/>
          <w:p>
            <w:pPr>
              <w:pStyle w:val="Compact"/>
            </w:pPr>
            <w:r>
              <w:rPr>
                <w:rFonts w:hint="eastAsia"/>
              </w:rPr>
              <w:t xml:space="preserve">企业境外收入、订单、利润率与回款</w:t>
            </w:r>
          </w:p>
        </w:tc>
      </w:tr>
      <w:tr>
        <w:tc>
          <w:tcPr/>
          <w:p>
            <w:pPr>
              <w:pStyle w:val="Compact"/>
            </w:pPr>
            <w:r>
              <w:rPr>
                <w:rFonts w:hint="eastAsia"/>
              </w:rPr>
              <w:t xml:space="preserve">文化娱乐与金融服务出口</w:t>
            </w:r>
          </w:p>
        </w:tc>
        <w:tc>
          <w:tcPr/>
          <w:p>
            <w:pPr>
              <w:pStyle w:val="Compact"/>
            </w:pPr>
            <w:r>
              <w:rPr>
                <w:rFonts w:hint="eastAsia"/>
              </w:rPr>
              <w:t xml:space="preserve">结构性偏利好</w:t>
            </w:r>
          </w:p>
        </w:tc>
        <w:tc>
          <w:tcPr/>
          <w:p>
            <w:pPr>
              <w:pStyle w:val="Compact"/>
            </w:pPr>
            <w:r>
              <w:rPr>
                <w:rFonts w:hint="eastAsia"/>
              </w:rPr>
              <w:t xml:space="preserve">知识密集型服务出口增长</w:t>
            </w:r>
          </w:p>
        </w:tc>
        <w:tc>
          <w:tcPr/>
          <w:p>
            <w:pPr>
              <w:pStyle w:val="Compact"/>
              <w:jc w:val="right"/>
            </w:pPr>
            <w:r>
              <w:t xml:space="preserve">★★★★</w:t>
            </w:r>
          </w:p>
        </w:tc>
        <w:tc>
          <w:tcPr/>
          <w:p>
            <w:pPr>
              <w:pStyle w:val="Compact"/>
            </w:pPr>
            <w:r>
              <w:rPr>
                <w:rFonts w:hint="eastAsia"/>
              </w:rPr>
              <w:t xml:space="preserve">低基数核验、业务口径、境外收入持续性</w:t>
            </w:r>
          </w:p>
        </w:tc>
      </w:tr>
      <w:tr>
        <w:tc>
          <w:tcPr/>
          <w:p>
            <w:pPr>
              <w:pStyle w:val="Compact"/>
            </w:pPr>
            <w:r>
              <w:rPr>
                <w:rFonts w:hint="eastAsia"/>
              </w:rPr>
              <w:t xml:space="preserve">职业教育/实训设备</w:t>
            </w:r>
          </w:p>
        </w:tc>
        <w:tc>
          <w:tcPr/>
          <w:p>
            <w:pPr>
              <w:pStyle w:val="Compact"/>
            </w:pPr>
            <w:r>
              <w:rPr>
                <w:rFonts w:hint="eastAsia"/>
              </w:rPr>
              <w:t xml:space="preserve">中长期偏利好</w:t>
            </w:r>
          </w:p>
        </w:tc>
        <w:tc>
          <w:tcPr/>
          <w:p>
            <w:pPr>
              <w:pStyle w:val="Compact"/>
            </w:pPr>
            <w:r>
              <w:rPr>
                <w:rFonts w:hint="eastAsia"/>
              </w:rPr>
              <w:t xml:space="preserve">《北京协议》发布</w:t>
            </w:r>
          </w:p>
        </w:tc>
        <w:tc>
          <w:tcPr/>
          <w:p>
            <w:pPr>
              <w:pStyle w:val="Compact"/>
              <w:jc w:val="right"/>
            </w:pPr>
            <w:r>
              <w:t xml:space="preserve">★★★★</w:t>
            </w:r>
          </w:p>
        </w:tc>
        <w:tc>
          <w:tcPr/>
          <w:p>
            <w:pPr>
              <w:pStyle w:val="Compact"/>
            </w:pPr>
            <w:r>
              <w:rPr>
                <w:rFonts w:hint="eastAsia"/>
              </w:rPr>
              <w:t xml:space="preserve">标准落地、认证、实训基地与企业岗位合作</w:t>
            </w:r>
          </w:p>
        </w:tc>
      </w:tr>
      <w:tr>
        <w:tc>
          <w:tcPr/>
          <w:p>
            <w:pPr>
              <w:pStyle w:val="Compact"/>
            </w:pPr>
            <w:r>
              <w:rPr>
                <w:rFonts w:hint="eastAsia"/>
              </w:rPr>
              <w:t xml:space="preserve">综保区/保税维修/跨境物流</w:t>
            </w:r>
          </w:p>
        </w:tc>
        <w:tc>
          <w:tcPr/>
          <w:p>
            <w:pPr>
              <w:pStyle w:val="Compact"/>
            </w:pPr>
            <w:r>
              <w:rPr>
                <w:rFonts w:hint="eastAsia"/>
              </w:rPr>
              <w:t xml:space="preserve">区域性利好</w:t>
            </w:r>
          </w:p>
        </w:tc>
        <w:tc>
          <w:tcPr/>
          <w:p>
            <w:pPr>
              <w:pStyle w:val="Compact"/>
            </w:pPr>
            <w:r>
              <w:rPr>
                <w:rFonts w:hint="eastAsia"/>
              </w:rPr>
              <w:t xml:space="preserve">广州知识城综保区封关</w:t>
            </w:r>
          </w:p>
        </w:tc>
        <w:tc>
          <w:tcPr/>
          <w:p>
            <w:pPr>
              <w:pStyle w:val="Compact"/>
              <w:jc w:val="right"/>
            </w:pPr>
            <w:r>
              <w:t xml:space="preserve">★★★★</w:t>
            </w:r>
          </w:p>
        </w:tc>
        <w:tc>
          <w:tcPr/>
          <w:p>
            <w:pPr>
              <w:pStyle w:val="Compact"/>
            </w:pPr>
            <w:r>
              <w:rPr>
                <w:rFonts w:hint="eastAsia"/>
              </w:rPr>
              <w:t xml:space="preserve">入驻、通关量、维修订单和园区利用率</w:t>
            </w:r>
          </w:p>
        </w:tc>
      </w:tr>
      <w:tr>
        <w:tc>
          <w:tcPr/>
          <w:p>
            <w:pPr>
              <w:pStyle w:val="Compact"/>
            </w:pPr>
            <w:r>
              <w:rPr>
                <w:rFonts w:hint="eastAsia"/>
              </w:rPr>
              <w:t xml:space="preserve">户外运动/体育装备</w:t>
            </w:r>
          </w:p>
        </w:tc>
        <w:tc>
          <w:tcPr/>
          <w:p>
            <w:pPr>
              <w:pStyle w:val="Compact"/>
            </w:pPr>
            <w:r>
              <w:rPr>
                <w:rFonts w:hint="eastAsia"/>
              </w:rPr>
              <w:t xml:space="preserve">消费方向偏利好</w:t>
            </w:r>
          </w:p>
        </w:tc>
        <w:tc>
          <w:tcPr/>
          <w:p>
            <w:pPr>
              <w:pStyle w:val="Compact"/>
            </w:pPr>
            <w:r>
              <w:rPr>
                <w:rFonts w:hint="eastAsia"/>
              </w:rPr>
              <w:t xml:space="preserve">5亿参与者、3.17万亿元产业规模</w:t>
            </w:r>
          </w:p>
        </w:tc>
        <w:tc>
          <w:tcPr/>
          <w:p>
            <w:pPr>
              <w:pStyle w:val="Compact"/>
              <w:jc w:val="right"/>
            </w:pPr>
            <w:r>
              <w:t xml:space="preserve">★★★</w:t>
            </w:r>
          </w:p>
        </w:tc>
        <w:tc>
          <w:tcPr/>
          <w:p>
            <w:pPr>
              <w:pStyle w:val="Compact"/>
            </w:pPr>
            <w:r>
              <w:rPr>
                <w:rFonts w:hint="eastAsia"/>
              </w:rPr>
              <w:t xml:space="preserve">消费频次、品牌份额、库存和赛事变现</w:t>
            </w:r>
          </w:p>
        </w:tc>
      </w:tr>
      <w:tr>
        <w:tc>
          <w:tcPr/>
          <w:p>
            <w:pPr>
              <w:pStyle w:val="Compact"/>
            </w:pPr>
            <w:r>
              <w:rPr>
                <w:rFonts w:hint="eastAsia"/>
              </w:rPr>
              <w:t xml:space="preserve">水利遗产保护/文旅</w:t>
            </w:r>
          </w:p>
        </w:tc>
        <w:tc>
          <w:tcPr/>
          <w:p>
            <w:pPr>
              <w:pStyle w:val="Compact"/>
            </w:pPr>
            <w:r>
              <w:rPr>
                <w:rFonts w:hint="eastAsia"/>
              </w:rPr>
              <w:t xml:space="preserve">长期弱利好</w:t>
            </w:r>
          </w:p>
        </w:tc>
        <w:tc>
          <w:tcPr/>
          <w:p>
            <w:pPr>
              <w:pStyle w:val="Compact"/>
            </w:pPr>
            <w:r>
              <w:rPr>
                <w:rFonts w:hint="eastAsia"/>
              </w:rPr>
              <w:t xml:space="preserve">四处世界灌溉工程遗产入选</w:t>
            </w:r>
          </w:p>
        </w:tc>
        <w:tc>
          <w:tcPr/>
          <w:p>
            <w:pPr>
              <w:pStyle w:val="Compact"/>
              <w:jc w:val="right"/>
            </w:pPr>
            <w:r>
              <w:t xml:space="preserve">★★</w:t>
            </w:r>
          </w:p>
        </w:tc>
        <w:tc>
          <w:tcPr/>
          <w:p>
            <w:pPr>
              <w:pStyle w:val="Compact"/>
            </w:pPr>
            <w:r>
              <w:rPr>
                <w:rFonts w:hint="eastAsia"/>
              </w:rPr>
              <w:t xml:space="preserve">保护预算、修缮和文旅客流</w:t>
            </w:r>
          </w:p>
        </w:tc>
      </w:tr>
      <w:tr>
        <w:tc>
          <w:tcPr/>
          <w:p>
            <w:pPr>
              <w:pStyle w:val="Compact"/>
            </w:pPr>
            <w:r>
              <w:rPr>
                <w:rFonts w:hint="eastAsia"/>
              </w:rPr>
              <w:t xml:space="preserve">防灾排涝/气象服务</w:t>
            </w:r>
          </w:p>
        </w:tc>
        <w:tc>
          <w:tcPr/>
          <w:p>
            <w:pPr>
              <w:pStyle w:val="Compact"/>
            </w:pPr>
            <w:r>
              <w:rPr>
                <w:rFonts w:hint="eastAsia"/>
              </w:rPr>
              <w:t xml:space="preserve">事件型需求</w:t>
            </w:r>
          </w:p>
        </w:tc>
        <w:tc>
          <w:tcPr/>
          <w:p>
            <w:pPr>
              <w:pStyle w:val="Compact"/>
            </w:pPr>
            <w:r>
              <w:rPr>
                <w:rFonts w:hint="eastAsia"/>
              </w:rPr>
              <w:t xml:space="preserve">东北华北强降雨与暴雨预警</w:t>
            </w:r>
          </w:p>
        </w:tc>
        <w:tc>
          <w:tcPr/>
          <w:p>
            <w:pPr>
              <w:pStyle w:val="Compact"/>
              <w:jc w:val="right"/>
            </w:pPr>
            <w:r>
              <w:t xml:space="preserve">★★★</w:t>
            </w:r>
          </w:p>
        </w:tc>
        <w:tc>
          <w:tcPr/>
          <w:p>
            <w:pPr>
              <w:pStyle w:val="Compact"/>
            </w:pPr>
            <w:r>
              <w:rPr>
                <w:rFonts w:hint="eastAsia"/>
              </w:rPr>
              <w:t xml:space="preserve">实际灾情、应急采购和修复项目</w:t>
            </w:r>
          </w:p>
        </w:tc>
      </w:tr>
      <w:tr>
        <w:tc>
          <w:tcPr/>
          <w:p>
            <w:pPr>
              <w:pStyle w:val="Compact"/>
            </w:pPr>
            <w:r>
              <w:rPr>
                <w:rFonts w:hint="eastAsia"/>
              </w:rPr>
              <w:t xml:space="preserve">“一带一路”与中亚合作</w:t>
            </w:r>
          </w:p>
        </w:tc>
        <w:tc>
          <w:tcPr/>
          <w:p>
            <w:pPr>
              <w:pStyle w:val="Compact"/>
            </w:pPr>
            <w:r>
              <w:rPr>
                <w:rFonts w:hint="eastAsia"/>
              </w:rPr>
              <w:t xml:space="preserve">中长期观察</w:t>
            </w:r>
          </w:p>
        </w:tc>
        <w:tc>
          <w:tcPr/>
          <w:p>
            <w:pPr>
              <w:pStyle w:val="Compact"/>
            </w:pPr>
            <w:r>
              <w:rPr>
                <w:rFonts w:hint="eastAsia"/>
              </w:rPr>
              <w:t xml:space="preserve">李强访问乌兹别克斯坦</w:t>
            </w:r>
          </w:p>
        </w:tc>
        <w:tc>
          <w:tcPr/>
          <w:p>
            <w:pPr>
              <w:pStyle w:val="Compact"/>
              <w:jc w:val="right"/>
            </w:pPr>
            <w:r>
              <w:t xml:space="preserve">★★★</w:t>
            </w:r>
          </w:p>
        </w:tc>
        <w:tc>
          <w:tcPr/>
          <w:p>
            <w:pPr>
              <w:pStyle w:val="Compact"/>
            </w:pPr>
            <w:r>
              <w:rPr>
                <w:rFonts w:hint="eastAsia"/>
              </w:rPr>
              <w:t xml:space="preserve">协议、合同、融资和项目开工</w:t>
            </w:r>
          </w:p>
        </w:tc>
      </w:tr>
      <w:tr>
        <w:tc>
          <w:tcPr/>
          <w:p>
            <w:pPr>
              <w:pStyle w:val="Compact"/>
            </w:pPr>
            <w:r>
              <w:rPr>
                <w:rFonts w:hint="eastAsia"/>
              </w:rPr>
              <w:t xml:space="preserve">油气开采与服务</w:t>
            </w:r>
          </w:p>
        </w:tc>
        <w:tc>
          <w:tcPr/>
          <w:p>
            <w:pPr>
              <w:pStyle w:val="Compact"/>
            </w:pPr>
            <w:r>
              <w:rPr>
                <w:rFonts w:hint="eastAsia"/>
              </w:rPr>
              <w:t xml:space="preserve">短期价格支撑</w:t>
            </w:r>
          </w:p>
        </w:tc>
        <w:tc>
          <w:tcPr/>
          <w:p>
            <w:pPr>
              <w:pStyle w:val="Compact"/>
            </w:pPr>
            <w:r>
              <w:rPr>
                <w:rFonts w:hint="eastAsia"/>
              </w:rPr>
              <w:t xml:space="preserve">布伦特触及110美元、地缘冲突</w:t>
            </w:r>
          </w:p>
        </w:tc>
        <w:tc>
          <w:tcPr/>
          <w:p>
            <w:pPr>
              <w:pStyle w:val="Compact"/>
              <w:jc w:val="right"/>
            </w:pPr>
            <w:r>
              <w:t xml:space="preserve">★★★★</w:t>
            </w:r>
          </w:p>
        </w:tc>
        <w:tc>
          <w:tcPr/>
          <w:p>
            <w:pPr>
              <w:pStyle w:val="Compact"/>
            </w:pPr>
            <w:r>
              <w:rPr>
                <w:rFonts w:hint="eastAsia"/>
              </w:rPr>
              <w:t xml:space="preserve">油价持续性、产量、成本和结算价格</w:t>
            </w:r>
          </w:p>
        </w:tc>
      </w:tr>
      <w:tr>
        <w:tc>
          <w:tcPr/>
          <w:p>
            <w:pPr>
              <w:pStyle w:val="Compact"/>
            </w:pPr>
            <w:r>
              <w:rPr>
                <w:rFonts w:hint="eastAsia"/>
              </w:rPr>
              <w:t xml:space="preserve">航空/物流/化工下游</w:t>
            </w:r>
          </w:p>
        </w:tc>
        <w:tc>
          <w:tcPr/>
          <w:p>
            <w:pPr>
              <w:pStyle w:val="Compact"/>
            </w:pPr>
            <w:r>
              <w:rPr>
                <w:rFonts w:hint="eastAsia"/>
              </w:rPr>
              <w:t xml:space="preserve">成本端承压</w:t>
            </w:r>
          </w:p>
        </w:tc>
        <w:tc>
          <w:tcPr/>
          <w:p>
            <w:pPr>
              <w:pStyle w:val="Compact"/>
            </w:pPr>
            <w:r>
              <w:rPr>
                <w:rFonts w:hint="eastAsia"/>
              </w:rPr>
              <w:t xml:space="preserve">原油上涨、亚丁机场和红海风险</w:t>
            </w:r>
          </w:p>
        </w:tc>
        <w:tc>
          <w:tcPr/>
          <w:p>
            <w:pPr>
              <w:pStyle w:val="Compact"/>
              <w:jc w:val="right"/>
            </w:pPr>
            <w:r>
              <w:t xml:space="preserve">★★★★</w:t>
            </w:r>
          </w:p>
        </w:tc>
        <w:tc>
          <w:tcPr/>
          <w:p>
            <w:pPr>
              <w:pStyle w:val="Compact"/>
            </w:pPr>
            <w:r>
              <w:rPr>
                <w:rFonts w:hint="eastAsia"/>
              </w:rPr>
              <w:t xml:space="preserve">燃料成本、运价、保险及成本转嫁能力</w:t>
            </w:r>
          </w:p>
        </w:tc>
      </w:tr>
      <w:tr>
        <w:tc>
          <w:tcPr/>
          <w:p>
            <w:pPr>
              <w:pStyle w:val="Compact"/>
            </w:pPr>
            <w:r>
              <w:rPr>
                <w:rFonts w:hint="eastAsia"/>
              </w:rPr>
              <w:t xml:space="preserve">黄金/防务/海事安全</w:t>
            </w:r>
          </w:p>
        </w:tc>
        <w:tc>
          <w:tcPr/>
          <w:p>
            <w:pPr>
              <w:pStyle w:val="Compact"/>
            </w:pPr>
            <w:r>
              <w:rPr>
                <w:rFonts w:hint="eastAsia"/>
              </w:rPr>
              <w:t xml:space="preserve">风险溢价可能上升</w:t>
            </w:r>
          </w:p>
        </w:tc>
        <w:tc>
          <w:tcPr/>
          <w:p>
            <w:pPr>
              <w:pStyle w:val="Compact"/>
            </w:pPr>
            <w:r>
              <w:rPr>
                <w:rFonts w:hint="eastAsia"/>
              </w:rPr>
              <w:t xml:space="preserve">俄乌与也门冲突、美国财政赤字</w:t>
            </w:r>
          </w:p>
        </w:tc>
        <w:tc>
          <w:tcPr/>
          <w:p>
            <w:pPr>
              <w:pStyle w:val="Compact"/>
              <w:jc w:val="right"/>
            </w:pPr>
            <w:r>
              <w:t xml:space="preserve">★★★★</w:t>
            </w:r>
          </w:p>
        </w:tc>
        <w:tc>
          <w:tcPr/>
          <w:p>
            <w:pPr>
              <w:pStyle w:val="Compact"/>
            </w:pPr>
            <w:r>
              <w:rPr>
                <w:rFonts w:hint="eastAsia"/>
              </w:rPr>
              <w:t xml:space="preserve">冲突持续性、订单、金价及风险偏好</w:t>
            </w:r>
          </w:p>
        </w:tc>
      </w:tr>
    </w:tbl>
    <w:bookmarkEnd w:id="33"/>
    <w:bookmarkStart w:id="37" w:name="八操作框架"/>
    <w:p>
      <w:pPr>
        <w:pStyle w:val="Heading2"/>
      </w:pPr>
      <w:r>
        <w:rPr>
          <w:rFonts w:hint="eastAsia"/>
        </w:rPr>
        <w:t xml:space="preserve">八、操作框架</w:t>
      </w:r>
    </w:p>
    <w:bookmarkStart w:id="34" w:name="短线方向"/>
    <w:p>
      <w:pPr>
        <w:pStyle w:val="Heading3"/>
      </w:pPr>
      <w:r>
        <w:rPr>
          <w:rFonts w:hint="eastAsia"/>
        </w:rPr>
        <w:t xml:space="preserve">短线方向</w:t>
      </w:r>
    </w:p>
    <w:p>
      <w:pPr>
        <w:pStyle w:val="Compact"/>
        <w:numPr>
          <w:ilvl w:val="0"/>
          <w:numId w:val="1021"/>
        </w:numPr>
      </w:pPr>
      <w:r>
        <w:rPr>
          <w:rFonts w:hint="eastAsia"/>
          <w:b/>
          <w:bCs/>
        </w:rPr>
        <w:t xml:space="preserve">第一优先观察绿色算力与AI产品出海。</w:t>
      </w:r>
      <w:r>
        <w:t xml:space="preserve"> </w:t>
      </w:r>
      <w:r>
        <w:rPr>
          <w:rFonts w:hint="eastAsia"/>
        </w:rPr>
        <w:t xml:space="preserve">头条级政策信号与广交会真实产品场景形成呼应，但必须观察板块成交、项目清单、订单和交付；若仅因标题高开且缺乏量价承接，不追。</w:t>
      </w:r>
    </w:p>
    <w:p>
      <w:pPr>
        <w:pStyle w:val="Compact"/>
        <w:numPr>
          <w:ilvl w:val="0"/>
          <w:numId w:val="1021"/>
        </w:numPr>
      </w:pPr>
      <w:r>
        <w:rPr>
          <w:rFonts w:hint="eastAsia"/>
          <w:b/>
          <w:bCs/>
        </w:rPr>
        <w:t xml:space="preserve">第二优先观察油气与成本传导。</w:t>
      </w:r>
      <w:r>
        <w:t xml:space="preserve"> </w:t>
      </w:r>
      <w:r>
        <w:rPr>
          <w:rFonts w:hint="eastAsia"/>
        </w:rPr>
        <w:t xml:space="preserve">布伦特触及110美元具有现实价格信号，上游与下游影响方向相反；需同步看油价持续性、航空和物流成本以及化工品价差，不能只做单边叙事。</w:t>
      </w:r>
    </w:p>
    <w:p>
      <w:pPr>
        <w:pStyle w:val="Compact"/>
        <w:numPr>
          <w:ilvl w:val="0"/>
          <w:numId w:val="1021"/>
        </w:numPr>
      </w:pPr>
      <w:r>
        <w:rPr>
          <w:rFonts w:hint="eastAsia"/>
          <w:b/>
          <w:bCs/>
        </w:rPr>
        <w:t xml:space="preserve">事件线关注中医药、智慧供热和综保区。</w:t>
      </w:r>
      <w:r>
        <w:t xml:space="preserve"> </w:t>
      </w:r>
      <w:r>
        <w:rPr>
          <w:rFonts w:hint="eastAsia"/>
        </w:rPr>
        <w:t xml:space="preserve">三条线都有明确新闻事实，但产业兑现需要注册合作、地方改造投资、园区入驻和业务量，不把会议或封关本身等同于利润。</w:t>
      </w:r>
    </w:p>
    <w:bookmarkEnd w:id="34"/>
    <w:bookmarkStart w:id="35" w:name="中线布局"/>
    <w:p>
      <w:pPr>
        <w:pStyle w:val="Heading3"/>
      </w:pPr>
      <w:r>
        <w:rPr>
          <w:rFonts w:hint="eastAsia"/>
        </w:rPr>
        <w:t xml:space="preserve">中线布局</w:t>
      </w:r>
    </w:p>
    <w:p>
      <w:pPr>
        <w:pStyle w:val="Compact"/>
        <w:numPr>
          <w:ilvl w:val="0"/>
          <w:numId w:val="1022"/>
        </w:numPr>
      </w:pPr>
      <w:r>
        <w:rPr>
          <w:rFonts w:hint="eastAsia"/>
        </w:rPr>
        <w:t xml:space="preserve">绿色算力沿“枢纽节点—绿电和网络—设备建设—调度运营—实体应用”跟踪，同时核验生态、能耗、水耗与利用率约束。</w:t>
      </w:r>
    </w:p>
    <w:p>
      <w:pPr>
        <w:pStyle w:val="Compact"/>
        <w:numPr>
          <w:ilvl w:val="0"/>
          <w:numId w:val="1022"/>
        </w:numPr>
      </w:pPr>
      <w:r>
        <w:rPr>
          <w:rFonts w:hint="eastAsia"/>
        </w:rPr>
        <w:t xml:space="preserve">AI产品优先选择有明确场景、认证、量产、出口渠道和回款闭环的企业，回避仅有展会标签或概念叙事的标的。</w:t>
      </w:r>
    </w:p>
    <w:p>
      <w:pPr>
        <w:pStyle w:val="Compact"/>
        <w:numPr>
          <w:ilvl w:val="0"/>
          <w:numId w:val="1022"/>
        </w:numPr>
      </w:pPr>
      <w:r>
        <w:rPr>
          <w:rFonts w:hint="eastAsia"/>
        </w:rPr>
        <w:t xml:space="preserve">中医药国际化关注标准、临床证据、境外注册与销售，不以大会表态替代商业化证据。</w:t>
      </w:r>
    </w:p>
    <w:p>
      <w:pPr>
        <w:pStyle w:val="Compact"/>
        <w:numPr>
          <w:ilvl w:val="0"/>
          <w:numId w:val="1022"/>
        </w:numPr>
      </w:pPr>
      <w:r>
        <w:rPr>
          <w:rFonts w:hint="eastAsia"/>
        </w:rPr>
        <w:t xml:space="preserve">服务贸易关注运输、文化娱乐、金融服务等细分的收入与利润兑现，并核验基数、汇率和统计口径。</w:t>
      </w:r>
    </w:p>
    <w:p>
      <w:pPr>
        <w:pStyle w:val="Compact"/>
        <w:numPr>
          <w:ilvl w:val="0"/>
          <w:numId w:val="1022"/>
        </w:numPr>
      </w:pPr>
      <w:r>
        <w:rPr>
          <w:rFonts w:hint="eastAsia"/>
        </w:rPr>
        <w:t xml:space="preserve">职业教育、保税维修和户外运动按“标准或园区—项目—用户—收入—现金流”逐级验证。</w:t>
      </w:r>
    </w:p>
    <w:bookmarkEnd w:id="35"/>
    <w:bookmarkStart w:id="36" w:name="风险与证伪"/>
    <w:p>
      <w:pPr>
        <w:pStyle w:val="Heading3"/>
      </w:pPr>
      <w:r>
        <w:rPr>
          <w:rFonts w:hint="eastAsia"/>
        </w:rPr>
        <w:t xml:space="preserve">风险与证伪</w:t>
      </w:r>
    </w:p>
    <w:p>
      <w:pPr>
        <w:pStyle w:val="Compact"/>
        <w:numPr>
          <w:ilvl w:val="0"/>
          <w:numId w:val="1023"/>
        </w:numPr>
      </w:pPr>
      <w:r>
        <w:rPr>
          <w:rFonts w:hint="eastAsia"/>
          <w:b/>
          <w:bCs/>
        </w:rPr>
        <w:t xml:space="preserve">算力兑现风险：</w:t>
      </w:r>
      <w:r>
        <w:t xml:space="preserve"> </w:t>
      </w:r>
      <w:r>
        <w:rPr>
          <w:rFonts w:hint="eastAsia"/>
        </w:rPr>
        <w:t xml:space="preserve">若项目上架率、绿电配套、设备订单或实体应用不足，绿色算力主题可能出现建设与需求错配。</w:t>
      </w:r>
    </w:p>
    <w:p>
      <w:pPr>
        <w:pStyle w:val="Compact"/>
        <w:numPr>
          <w:ilvl w:val="0"/>
          <w:numId w:val="1023"/>
        </w:numPr>
      </w:pPr>
      <w:r>
        <w:rPr>
          <w:rFonts w:hint="eastAsia"/>
          <w:b/>
          <w:bCs/>
        </w:rPr>
        <w:t xml:space="preserve">AI商业化风险：</w:t>
      </w:r>
      <w:r>
        <w:t xml:space="preserve"> </w:t>
      </w:r>
      <w:r>
        <w:rPr>
          <w:rFonts w:hint="eastAsia"/>
        </w:rPr>
        <w:t xml:space="preserve">展品数量和现场关注不等于订单；认证、量产、渠道、售后与回款任一环节不及预期都可能证伪。</w:t>
      </w:r>
    </w:p>
    <w:p>
      <w:pPr>
        <w:pStyle w:val="Compact"/>
        <w:numPr>
          <w:ilvl w:val="0"/>
          <w:numId w:val="1023"/>
        </w:numPr>
      </w:pPr>
      <w:r>
        <w:rPr>
          <w:rFonts w:hint="eastAsia"/>
          <w:b/>
          <w:bCs/>
        </w:rPr>
        <w:t xml:space="preserve">能源成本风险：</w:t>
      </w:r>
      <w:r>
        <w:t xml:space="preserve"> </w:t>
      </w:r>
      <w:r>
        <w:rPr>
          <w:rFonts w:hint="eastAsia"/>
        </w:rPr>
        <w:t xml:space="preserve">油价若持续高位，将侵蚀航空、物流、化工下游及成本敏感制造利润；若冲突缓和、供应恢复，上游风险溢价也可能快速回落。</w:t>
      </w:r>
    </w:p>
    <w:p>
      <w:pPr>
        <w:pStyle w:val="Compact"/>
        <w:numPr>
          <w:ilvl w:val="0"/>
          <w:numId w:val="1023"/>
        </w:numPr>
      </w:pPr>
      <w:r>
        <w:rPr>
          <w:rFonts w:hint="eastAsia"/>
          <w:b/>
          <w:bCs/>
        </w:rPr>
        <w:t xml:space="preserve">地缘信息风险：</w:t>
      </w:r>
      <w:r>
        <w:t xml:space="preserve"> </w:t>
      </w:r>
      <w:r>
        <w:rPr>
          <w:rFonts w:hint="eastAsia"/>
        </w:rPr>
        <w:t xml:space="preserve">也门、沙特、俄乌各方数据与战况均为当事方口径，需持续交叉核验，不据单方数字下注。</w:t>
      </w:r>
    </w:p>
    <w:p>
      <w:pPr>
        <w:pStyle w:val="Compact"/>
        <w:numPr>
          <w:ilvl w:val="0"/>
          <w:numId w:val="1023"/>
        </w:numPr>
      </w:pPr>
      <w:r>
        <w:rPr>
          <w:rFonts w:hint="eastAsia"/>
          <w:b/>
          <w:bCs/>
        </w:rPr>
        <w:t xml:space="preserve">服务贸易结构风险：</w:t>
      </w:r>
      <w:r>
        <w:t xml:space="preserve"> </w:t>
      </w:r>
      <w:r>
        <w:rPr>
          <w:rFonts w:hint="eastAsia"/>
        </w:rPr>
        <w:t xml:space="preserve">高增速可能受基数和统计分类影响，宏观数据不能直接映射到单家公司收入。</w:t>
      </w:r>
    </w:p>
    <w:p>
      <w:pPr>
        <w:pStyle w:val="Compact"/>
        <w:numPr>
          <w:ilvl w:val="0"/>
          <w:numId w:val="1023"/>
        </w:numPr>
      </w:pPr>
      <w:r>
        <w:rPr>
          <w:rFonts w:hint="eastAsia"/>
          <w:b/>
          <w:bCs/>
        </w:rPr>
        <w:t xml:space="preserve">外交与会议兑现风险：</w:t>
      </w:r>
      <w:r>
        <w:t xml:space="preserve"> </w:t>
      </w:r>
      <w:r>
        <w:rPr>
          <w:rFonts w:hint="eastAsia"/>
        </w:rPr>
        <w:t xml:space="preserve">访问、倡议、标准发布和大会召开不等于合同，必须等待协议、预算、订单与执行。</w:t>
      </w:r>
    </w:p>
    <w:p>
      <w:pPr>
        <w:pStyle w:val="Compact"/>
        <w:numPr>
          <w:ilvl w:val="0"/>
          <w:numId w:val="1023"/>
        </w:numPr>
      </w:pPr>
      <w:r>
        <w:rPr>
          <w:rFonts w:hint="eastAsia"/>
          <w:b/>
          <w:bCs/>
        </w:rPr>
        <w:t xml:space="preserve">灾害交易风险：</w:t>
      </w:r>
      <w:r>
        <w:t xml:space="preserve"> </w:t>
      </w:r>
      <w:r>
        <w:rPr>
          <w:rFonts w:hint="eastAsia"/>
        </w:rPr>
        <w:t xml:space="preserve">强降雨首先是民生和经济损失风险，不应把灾害本身包装为利好。</w:t>
      </w:r>
    </w:p>
    <w:p>
      <w:pPr>
        <w:pStyle w:val="Compact"/>
        <w:numPr>
          <w:ilvl w:val="0"/>
          <w:numId w:val="1023"/>
        </w:numPr>
      </w:pPr>
      <w:r>
        <w:rPr>
          <w:rFonts w:hint="eastAsia"/>
          <w:b/>
          <w:bCs/>
        </w:rPr>
        <w:t xml:space="preserve">交易拥挤风险：</w:t>
      </w:r>
      <w:r>
        <w:t xml:space="preserve"> </w:t>
      </w:r>
      <w:r>
        <w:rPr>
          <w:rFonts w:hint="eastAsia"/>
        </w:rPr>
        <w:t xml:space="preserve">绿色算力、AI机器人、中医药、油气和户外消费若脱离订单和基本面快速上涨，应防范情绪退潮。</w:t>
      </w:r>
    </w:p>
    <w:p>
      <w:pPr>
        <w:pStyle w:val="Compact"/>
        <w:numPr>
          <w:ilvl w:val="0"/>
          <w:numId w:val="1023"/>
        </w:numPr>
      </w:pPr>
      <w:r>
        <w:rPr>
          <w:rFonts w:hint="eastAsia"/>
          <w:b/>
          <w:bCs/>
        </w:rPr>
        <w:t xml:space="preserve">信息边界：</w:t>
      </w:r>
      <w:r>
        <w:t xml:space="preserve"> </w:t>
      </w:r>
      <w:r>
        <w:rPr>
          <w:rFonts w:hint="eastAsia"/>
        </w:rPr>
        <w:t xml:space="preserve">本文未引入行情、资金流、估值、公司公告或指定底稿之外的新闻，执行前需另行核验市场数据。</w:t>
      </w:r>
    </w:p>
    <w:bookmarkEnd w:id="36"/>
    <w:bookmarkEnd w:id="37"/>
    <w:bookmarkStart w:id="38" w:name="九事实核验与覆盖清单"/>
    <w:p>
      <w:pPr>
        <w:pStyle w:val="Heading2"/>
      </w:pPr>
      <w:r>
        <w:rPr>
          <w:rFonts w:hint="eastAsia"/>
        </w:rPr>
        <w:t xml:space="preserve">九、事实核验与覆盖清单</w:t>
      </w:r>
    </w:p>
    <w:p>
      <w:pPr>
        <w:pStyle w:val="Compact"/>
        <w:numPr>
          <w:ilvl w:val="0"/>
          <w:numId w:val="1024"/>
        </w:numPr>
      </w:pPr>
      <w:r>
        <w:rPr>
          <w:rFonts w:hint="eastAsia"/>
        </w:rPr>
        <w:t xml:space="preserve">已按指定底稿原顺序覆盖全部12个一级条目。</w:t>
      </w:r>
    </w:p>
    <w:p>
      <w:pPr>
        <w:pStyle w:val="Compact"/>
        <w:numPr>
          <w:ilvl w:val="0"/>
          <w:numId w:val="1024"/>
        </w:numPr>
      </w:pPr>
      <w:r>
        <w:rPr>
          <w:rFonts w:hint="eastAsia"/>
        </w:rPr>
        <w:t xml:space="preserve">已把“国内联播快讯”5个分项逐项展开：职业教育标准、知识型综保区、户外运动产业、灌溉工程遗产、东北华北强降雨。</w:t>
      </w:r>
    </w:p>
    <w:p>
      <w:pPr>
        <w:pStyle w:val="Compact"/>
        <w:numPr>
          <w:ilvl w:val="0"/>
          <w:numId w:val="1024"/>
        </w:numPr>
      </w:pPr>
      <w:r>
        <w:rPr>
          <w:rFonts w:hint="eastAsia"/>
        </w:rPr>
        <w:t xml:space="preserve">已把“国际联播快讯”3个分项逐项展开：俄乌冲突、美国财政赤字、布伦特原油价格。</w:t>
      </w:r>
    </w:p>
    <w:p>
      <w:pPr>
        <w:pStyle w:val="Compact"/>
        <w:numPr>
          <w:ilvl w:val="0"/>
          <w:numId w:val="1024"/>
        </w:numPr>
      </w:pPr>
      <w:r>
        <w:rPr>
          <w:rFonts w:hint="eastAsia"/>
        </w:rPr>
        <w:t xml:space="preserve">已核对生态与算力关键数字：黄旗海时隔27年再次监测到鱼类活动；“三北”工程累计完成生态建设1.3亿亩；草原综合植被盖度46.48%；乌兰察布机架规模超700万架；“东数西算”八大国家枢纽节点。</w:t>
      </w:r>
    </w:p>
    <w:p>
      <w:pPr>
        <w:pStyle w:val="Compact"/>
        <w:numPr>
          <w:ilvl w:val="0"/>
          <w:numId w:val="1024"/>
        </w:numPr>
      </w:pPr>
      <w:r>
        <w:rPr>
          <w:rFonts w:hint="eastAsia"/>
        </w:rPr>
        <w:t xml:space="preserve">已核对服务贸易关键数字：总额50701.6亿元、增长7.9%；出口增长14.8%、进口增长3.8%；旅行和运输服务出口分别增长15.3%和28.2%；知识密集型服务出口增长10.9%、占比53.7%；个人文化娱乐和金融服务分别增长66%和21.6%。</w:t>
      </w:r>
    </w:p>
    <w:p>
      <w:pPr>
        <w:pStyle w:val="Compact"/>
        <w:numPr>
          <w:ilvl w:val="0"/>
          <w:numId w:val="1024"/>
        </w:numPr>
      </w:pPr>
      <w:r>
        <w:rPr>
          <w:rFonts w:hint="eastAsia"/>
        </w:rPr>
        <w:t xml:space="preserve">已核对AI、供热与消费数据：广交会23.5万件AI产品、超过2万家企业应用相关技术；白银3000多万平方米供热区域；济南18个中继泵站和2000多座换热站；户外运动参与人数超过5亿、产业规模约3.17万亿元；世界灌溉工程遗产总数46项。</w:t>
      </w:r>
    </w:p>
    <w:p>
      <w:pPr>
        <w:pStyle w:val="Compact"/>
        <w:numPr>
          <w:ilvl w:val="0"/>
          <w:numId w:val="1024"/>
        </w:numPr>
      </w:pPr>
      <w:r>
        <w:rPr>
          <w:rFonts w:hint="eastAsia"/>
        </w:rPr>
        <w:t xml:space="preserve">已核对国际关键数字：俄方所称610架无人机、310个居民点和约6500平方公里；乌方所称289架无人机、4枚巡航导弹及700亿欧元援助要求；美国财政赤字约1.99万亿美元、增长12%、连续25个财年赤字；WTI收于101.41美元、涨3.51%，布伦特一度110美元并收于109.86美元。</w:t>
      </w:r>
    </w:p>
    <w:p>
      <w:pPr>
        <w:pStyle w:val="Compact"/>
        <w:numPr>
          <w:ilvl w:val="0"/>
          <w:numId w:val="1024"/>
        </w:numPr>
      </w:pPr>
      <w:r>
        <w:rPr>
          <w:rFonts w:hint="eastAsia"/>
        </w:rPr>
        <w:t xml:space="preserve">对日本媒体、日本人士、也门政府、胡塞武装、多国联军、俄罗斯和乌克兰相关叙述均保留报道主体，没有把当事方口径改写为独立核验事实。</w:t>
      </w:r>
    </w:p>
    <w:p>
      <w:pPr>
        <w:pStyle w:val="Compact"/>
        <w:numPr>
          <w:ilvl w:val="0"/>
          <w:numId w:val="1024"/>
        </w:numPr>
      </w:pPr>
      <w:r>
        <w:rPr>
          <w:rFonts w:hint="eastAsia"/>
        </w:rPr>
        <w:t xml:space="preserve">未写入底稿未披露的上市公司名单、订单金额、财政规模、市场涨跌、资金流或估值；所有行业判断均为条件性映射并给出兑现或证伪条件。</w:t>
      </w:r>
    </w:p>
    <w:p>
      <w:r>
        <w:pict>
          <v:rect style="width:0;height:1.5pt" o:hralign="center" o:hrstd="t" o:hr="t"/>
        </w:pict>
      </w:r>
    </w:p>
    <w:p>
      <w:pPr>
        <w:pStyle w:val="FirstParagraph"/>
      </w:pPr>
      <w:r>
        <w:rPr>
          <w:rFonts w:hint="eastAsia"/>
          <w:i/>
          <w:iCs/>
        </w:rPr>
        <w:t xml:space="preserve">分析和写稿模型：GPT-5.6</w:t>
      </w:r>
      <w:r>
        <w:rPr>
          <w:i/>
          <w:iCs/>
        </w:rPr>
        <w:t xml:space="preserve"> Sol (openai-codex)</w:t>
      </w:r>
    </w:p>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2026-10-17T12:33:13Z</dcterms:created>
  <dcterms:modified xsi:type="dcterms:W3CDTF">2026-10-17T12:33:13Z</dcterms:modified>
</cp:coreProperties>
</file>

<file path=docProps/custom.xml><?xml version="1.0" encoding="utf-8"?>
<Properties xmlns="http://schemas.openxmlformats.org/officeDocument/2006/custom-properties" xmlns:vt="http://schemas.openxmlformats.org/officeDocument/2006/docPropsVTypes"/>
</file>