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2026年10月16日《新闻联播》A股影响深度解读</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41" w:name="X188abcf620a26cb1ae0c7740b0ea886cf10e280"/>
    <w:p>
      <w:pPr>
        <w:pStyle w:val="Heading1"/>
      </w:pPr>
      <w:r>
        <w:rPr>
          <w:rFonts w:hint="eastAsia"/>
        </w:rPr>
        <w:t xml:space="preserve">2026年10月16日《新闻联播》A股影响深度解读</w:t>
      </w:r>
    </w:p>
    <w:p>
      <w:pPr>
        <w:pStyle w:val="BlockText"/>
      </w:pPr>
      <w:r>
        <w:rPr>
          <w:rFonts w:hint="eastAsia"/>
        </w:rPr>
        <w:t xml:space="preserve">数据边界：本文唯一事实底稿为</w:t>
      </w:r>
      <w:r>
        <w:t xml:space="preserve"> </w:t>
      </w:r>
      <w:r>
        <w:rPr>
          <w:rStyle w:val="VerbatimChar"/>
        </w:rPr>
        <w:t xml:space="preserve">/Users/qiji/.hermes/skills/finance/qiji-morning-know/memory/xinwenlianbo/2026-10-16.md</w:t>
      </w:r>
      <w:r>
        <w:rPr>
          <w:rFonts w:hint="eastAsia"/>
        </w:rPr>
        <w:t xml:space="preserve">。文中“受益”“承压”均为从底稿政策与事件向A股行业的条件映射，不代表政策已经转化为上市公司订单、利润或资金流，也不构成投资建议。</w:t>
      </w:r>
    </w:p>
    <w:bookmarkStart w:id="9" w:name="一今日联播总评"/>
    <w:p>
      <w:pPr>
        <w:pStyle w:val="Heading2"/>
      </w:pPr>
      <w:r>
        <w:rPr>
          <w:rFonts w:hint="eastAsia"/>
        </w:rPr>
        <w:t xml:space="preserve">一、今日联播总评</w:t>
      </w:r>
    </w:p>
    <w:p>
      <w:pPr>
        <w:pStyle w:val="Compact"/>
        <w:numPr>
          <w:ilvl w:val="0"/>
          <w:numId w:val="1001"/>
        </w:numPr>
      </w:pPr>
      <w:r>
        <w:rPr>
          <w:rFonts w:hint="eastAsia"/>
          <w:b/>
          <w:bCs/>
        </w:rPr>
        <w:t xml:space="preserve">整体基调：国内政策积极且主线集中，外部地缘与通胀风险偏高。</w:t>
      </w:r>
      <w:r>
        <w:t xml:space="preserve"> </w:t>
      </w:r>
      <w:r>
        <w:rPr>
          <w:rFonts w:hint="eastAsia"/>
        </w:rPr>
        <w:t xml:space="preserve">头条把生态保护、绿色算力和“东数西算”放在同一发展框架；国务院常务会议进一步部署“人工智能+”、算电协同、高质量数据供给和价格治理；养老、粮仓、先进制造、职业教育与研发投入提供多条结构线索。</w:t>
      </w:r>
    </w:p>
    <w:p>
      <w:pPr>
        <w:pStyle w:val="Compact"/>
        <w:numPr>
          <w:ilvl w:val="0"/>
          <w:numId w:val="1001"/>
        </w:numPr>
      </w:pPr>
      <w:r>
        <w:rPr>
          <w:rFonts w:hint="eastAsia"/>
          <w:b/>
          <w:bCs/>
        </w:rPr>
        <w:t xml:space="preserve">政策信号强度：强。</w:t>
      </w:r>
      <w:r>
        <w:t xml:space="preserve"> </w:t>
      </w:r>
      <w:r>
        <w:rPr>
          <w:rFonts w:hint="eastAsia"/>
        </w:rPr>
        <w:t xml:space="preserve">最高级别信号来自总书记考察对绿色发展、湿地保护、全国一体化算力网及“算电协同”“算水协同”的部署；国常会对人工智能落地、低价无序竞争和平台价格行为给出执行层要求。</w:t>
      </w:r>
    </w:p>
    <w:p>
      <w:pPr>
        <w:pStyle w:val="Compact"/>
        <w:numPr>
          <w:ilvl w:val="0"/>
          <w:numId w:val="1001"/>
        </w:numPr>
      </w:pPr>
      <w:r>
        <w:rPr>
          <w:rFonts w:hint="eastAsia"/>
          <w:b/>
          <w:bCs/>
        </w:rPr>
        <w:t xml:space="preserve">对A股总体影响：结构性利好为主，分化与约束并存。</w:t>
      </w:r>
      <w:r>
        <w:t xml:space="preserve"> </w:t>
      </w:r>
      <w:r>
        <w:rPr>
          <w:rFonts w:hint="eastAsia"/>
        </w:rPr>
        <w:t xml:space="preserve">绿色算力、数据供给、AI中试与行业应用、清洁能源、新型储能、智能粮仓、先进制造、职业教育和普惠养老具备政策映射；高耗能高耗水算力项目、低价倾销和平台不正当价格行为面临更强约束。</w:t>
      </w:r>
    </w:p>
    <w:p>
      <w:pPr>
        <w:pStyle w:val="Compact"/>
        <w:numPr>
          <w:ilvl w:val="0"/>
          <w:numId w:val="1001"/>
        </w:numPr>
      </w:pPr>
      <w:r>
        <w:rPr>
          <w:rFonts w:hint="eastAsia"/>
          <w:b/>
          <w:bCs/>
        </w:rPr>
        <w:t xml:space="preserve">一句话结论：</w:t>
      </w:r>
      <w:r>
        <w:t xml:space="preserve"> </w:t>
      </w:r>
      <w:r>
        <w:rPr>
          <w:rFonts w:hint="eastAsia"/>
        </w:rPr>
        <w:t xml:space="preserve">今日最强主线是“绿色算力基础设施+人工智能应用落地”，第二梯队为反内卷价格治理、绿色产业、智能粮仓与先进制造；交易上必须等待项目、订单、价格和量价确认，不能把政策方向直接等同于个股业绩。</w:t>
      </w:r>
    </w:p>
    <w:bookmarkEnd w:id="9"/>
    <w:bookmarkStart w:id="10" w:name="二核心政策与市场信号"/>
    <w:p>
      <w:pPr>
        <w:pStyle w:val="Heading2"/>
      </w:pPr>
      <w:r>
        <w:rPr>
          <w:rFonts w:hint="eastAsia"/>
        </w:rPr>
        <w:t xml:space="preserve">二、核心政策与市场信号</w:t>
      </w:r>
    </w:p>
    <w:p>
      <w:pPr>
        <w:pStyle w:val="Compact"/>
        <w:numPr>
          <w:ilvl w:val="0"/>
          <w:numId w:val="1002"/>
        </w:numPr>
      </w:pPr>
      <w:r>
        <w:rPr>
          <w:rFonts w:hint="eastAsia"/>
          <w:b/>
          <w:bCs/>
        </w:rPr>
        <w:t xml:space="preserve">绿色算力上升为头条级国家网络建设信号（★★★★★）</w:t>
      </w:r>
      <w:r>
        <w:rPr>
          <w:rFonts w:hint="eastAsia"/>
        </w:rPr>
        <w:t xml:space="preserve">：总书记考察“东数西算”枢纽节点，明确全国一体化算力网、高效绿色安全、算电协同和算水协同，并要求把算力优势转化为发展优势。</w:t>
      </w:r>
    </w:p>
    <w:p>
      <w:pPr>
        <w:pStyle w:val="Compact"/>
        <w:numPr>
          <w:ilvl w:val="0"/>
          <w:numId w:val="1002"/>
        </w:numPr>
      </w:pPr>
      <w:r>
        <w:rPr>
          <w:rFonts w:hint="eastAsia"/>
          <w:b/>
          <w:bCs/>
        </w:rPr>
        <w:t xml:space="preserve">“人工智能+”由方向推进到技术、数据、中试、场景与安全并举（★★★★★）</w:t>
      </w:r>
      <w:r>
        <w:rPr>
          <w:rFonts w:hint="eastAsia"/>
        </w:rPr>
        <w:t xml:space="preserve">：国常会强调技术攻关、算法创新、高质量数据、供需衔接、联合研发、中试验证和行业分级分类施策。</w:t>
      </w:r>
    </w:p>
    <w:p>
      <w:pPr>
        <w:pStyle w:val="Compact"/>
        <w:numPr>
          <w:ilvl w:val="0"/>
          <w:numId w:val="1002"/>
        </w:numPr>
      </w:pPr>
      <w:r>
        <w:rPr>
          <w:rFonts w:hint="eastAsia"/>
          <w:b/>
          <w:bCs/>
        </w:rPr>
        <w:t xml:space="preserve">价格治理与反低价无序竞争进入法律和配套规则完善阶段（★★★★）</w:t>
      </w:r>
      <w:r>
        <w:rPr>
          <w:rFonts w:hint="eastAsia"/>
        </w:rPr>
        <w:t xml:space="preserve">：价格法修正草案原则通过，明确行业成本调查、制止低价倾销、平台价格竞争规范和执法监管。</w:t>
      </w:r>
    </w:p>
    <w:p>
      <w:pPr>
        <w:pStyle w:val="Compact"/>
        <w:numPr>
          <w:ilvl w:val="0"/>
          <w:numId w:val="1002"/>
        </w:numPr>
      </w:pPr>
      <w:r>
        <w:rPr>
          <w:rFonts w:hint="eastAsia"/>
          <w:b/>
          <w:bCs/>
        </w:rPr>
        <w:t xml:space="preserve">绿色产业与先进制造形成多地、多场景共振（★★★★）</w:t>
      </w:r>
      <w:r>
        <w:rPr>
          <w:rFonts w:hint="eastAsia"/>
        </w:rPr>
        <w:t xml:space="preserve">：内蒙古绿色算力、青海清洁能源与新材料、广交会新型储能和无人机、船舶绿色智能化共同出现。</w:t>
      </w:r>
    </w:p>
    <w:p>
      <w:pPr>
        <w:pStyle w:val="Compact"/>
        <w:numPr>
          <w:ilvl w:val="0"/>
          <w:numId w:val="1002"/>
        </w:numPr>
      </w:pPr>
      <w:r>
        <w:rPr>
          <w:rFonts w:hint="eastAsia"/>
          <w:b/>
          <w:bCs/>
        </w:rPr>
        <w:t xml:space="preserve">粮食安全从收购延伸到智能仓储和节粮减损（★★★★）</w:t>
      </w:r>
      <w:r>
        <w:rPr>
          <w:rFonts w:hint="eastAsia"/>
        </w:rPr>
        <w:t xml:space="preserve">：高标准粮仓、智慧管控、绿色储粮技术示范点和全谷物行动构成长周期建设方向。</w:t>
      </w:r>
    </w:p>
    <w:bookmarkEnd w:id="10"/>
    <w:bookmarkStart w:id="23" w:name="三逐条a股影响分析"/>
    <w:p>
      <w:pPr>
        <w:pStyle w:val="Heading2"/>
      </w:pPr>
      <w:r>
        <w:rPr>
          <w:rFonts w:hint="eastAsia"/>
        </w:rPr>
        <w:t xml:space="preserve">三、逐条A股影响分析</w:t>
      </w:r>
    </w:p>
    <w:bookmarkStart w:id="11" w:name="X976f6b1697a67df96aaf1200a33d5d3077d956b"/>
    <w:p>
      <w:pPr>
        <w:pStyle w:val="Heading3"/>
      </w:pPr>
      <w:r>
        <w:t xml:space="preserve">1. </w:t>
      </w:r>
      <w:r>
        <w:rPr>
          <w:rFonts w:hint="eastAsia"/>
        </w:rPr>
        <w:t xml:space="preserve">习近平在乌兰察布考察：生态保护、绿色算力与“东数西算”同框</w:t>
      </w:r>
    </w:p>
    <w:p>
      <w:pPr>
        <w:pStyle w:val="Compact"/>
        <w:numPr>
          <w:ilvl w:val="0"/>
          <w:numId w:val="1003"/>
        </w:numPr>
      </w:pPr>
      <w:r>
        <w:rPr>
          <w:rFonts w:hint="eastAsia"/>
          <w:b/>
          <w:bCs/>
        </w:rPr>
        <w:t xml:space="preserve">信号强度：★★★★★</w:t>
      </w:r>
    </w:p>
    <w:p>
      <w:pPr>
        <w:pStyle w:val="Compact"/>
        <w:numPr>
          <w:ilvl w:val="0"/>
          <w:numId w:val="1003"/>
        </w:numPr>
      </w:pPr>
      <w:r>
        <w:rPr>
          <w:rFonts w:hint="eastAsia"/>
          <w:b/>
          <w:bCs/>
        </w:rPr>
        <w:t xml:space="preserve">A股影响：中长期结构性利好，资源约束与运营效率要求同步提高</w:t>
      </w:r>
    </w:p>
    <w:p>
      <w:pPr>
        <w:pStyle w:val="Compact"/>
        <w:numPr>
          <w:ilvl w:val="0"/>
          <w:numId w:val="1003"/>
        </w:numPr>
      </w:pPr>
      <w:r>
        <w:rPr>
          <w:rFonts w:hint="eastAsia"/>
          <w:b/>
          <w:bCs/>
        </w:rPr>
        <w:t xml:space="preserve">影响时效：短期1—3日形成主题关注；中期1—4周等待项目与规划；长期看全国一体化算力网建设</w:t>
      </w:r>
    </w:p>
    <w:p>
      <w:pPr>
        <w:pStyle w:val="Compact"/>
        <w:numPr>
          <w:ilvl w:val="0"/>
          <w:numId w:val="1003"/>
        </w:numPr>
      </w:pPr>
      <w:r>
        <w:rPr>
          <w:rFonts w:hint="eastAsia"/>
          <w:b/>
          <w:bCs/>
        </w:rPr>
        <w:t xml:space="preserve">受益映射：</w:t>
      </w:r>
      <w:r>
        <w:t xml:space="preserve"> </w:t>
      </w:r>
      <w:r>
        <w:rPr>
          <w:rFonts w:hint="eastAsia"/>
        </w:rPr>
        <w:t xml:space="preserve">数据中心、算力调度、服务器及网络设备、绿色电力、储能、液冷与节能设备、算力安全、湿地修复和生态监测。</w:t>
      </w:r>
    </w:p>
    <w:p>
      <w:pPr>
        <w:pStyle w:val="Compact"/>
        <w:numPr>
          <w:ilvl w:val="0"/>
          <w:numId w:val="1003"/>
        </w:numPr>
      </w:pPr>
      <w:r>
        <w:rPr>
          <w:rFonts w:hint="eastAsia"/>
          <w:b/>
          <w:bCs/>
        </w:rPr>
        <w:t xml:space="preserve">约束方向：</w:t>
      </w:r>
      <w:r>
        <w:t xml:space="preserve"> </w:t>
      </w:r>
      <w:r>
        <w:rPr>
          <w:rFonts w:hint="eastAsia"/>
        </w:rPr>
        <w:t xml:space="preserve">能效低、用水强度高、安全能力弱、建成后利用率不足的算力项目。</w:t>
      </w:r>
    </w:p>
    <w:p>
      <w:pPr>
        <w:pStyle w:val="FirstParagraph"/>
      </w:pPr>
      <w:r>
        <w:rPr>
          <w:rFonts w:hint="eastAsia"/>
          <w:b/>
          <w:bCs/>
        </w:rPr>
        <w:t xml:space="preserve">原文事实：</w:t>
      </w:r>
      <w:r>
        <w:t xml:space="preserve"> </w:t>
      </w:r>
      <w:r>
        <w:rPr>
          <w:rFonts w:hint="eastAsia"/>
        </w:rPr>
        <w:t xml:space="preserve">习近平在乌兰察布考察黄旗海自然保护区和察哈尔高新技术开发区。报道明确湿地保护以自然恢复为主、人工干预为辅，严守生态保护红线；在算力领域，要求加强科学规划、要素支撑和安全保障，确保已建项目高效运行并完成后续项目，延伸产业链，推动数字经济与实体经济融合，注重“算电协同”“算水协同”。报道还提到当地特色农牧产品及产销衔接。</w:t>
      </w:r>
    </w:p>
    <w:p>
      <w:pPr>
        <w:pStyle w:val="BodyText"/>
      </w:pPr>
      <w:r>
        <w:rPr>
          <w:rFonts w:hint="eastAsia"/>
          <w:b/>
          <w:bCs/>
        </w:rPr>
        <w:t xml:space="preserve">通俗解读与A股映射：</w:t>
      </w:r>
      <w:r>
        <w:t xml:space="preserve"> </w:t>
      </w:r>
      <w:r>
        <w:rPr>
          <w:rFonts w:hint="eastAsia"/>
        </w:rPr>
        <w:t xml:space="preserve">头条不是单纯扩建数据中心，而是把算力、电力、水资源、安全和利用效率放在同一约束框架内。受益逻辑应沿“枢纽规划—电网与绿电配套—设备建设—调度和运营—行业应用”验证；湿地与生态线则看保护修复和监测项目。底稿没有投资金额、设备采购清单、企业名单或新增容量，不能确认具体公司订单。</w:t>
      </w:r>
    </w:p>
    <w:p>
      <w:pPr>
        <w:pStyle w:val="BodyText"/>
      </w:pPr>
      <w:r>
        <w:rPr>
          <w:rFonts w:hint="eastAsia"/>
          <w:b/>
          <w:bCs/>
        </w:rPr>
        <w:t xml:space="preserve">后续验证点：</w:t>
      </w:r>
      <w:r>
        <w:t xml:space="preserve"> </w:t>
      </w:r>
      <w:r>
        <w:rPr>
          <w:rFonts w:hint="eastAsia"/>
        </w:rPr>
        <w:t xml:space="preserve">“东数西算”后续项目清单、算力利用率、绿电占比、PUE及用水指标、算力调度与安全标准、生态修复预算和招标。</w:t>
      </w:r>
    </w:p>
    <w:bookmarkEnd w:id="11"/>
    <w:bookmarkStart w:id="12" w:name="X8f18266cebe21f4ed0b1665964de79e6b51bc37"/>
    <w:p>
      <w:pPr>
        <w:pStyle w:val="Heading3"/>
      </w:pPr>
      <w:r>
        <w:t xml:space="preserve">2. </w:t>
      </w:r>
      <w:r>
        <w:rPr>
          <w:rFonts w:hint="eastAsia"/>
        </w:rPr>
        <w:t xml:space="preserve">央视快评：生态优先、绿色发展立场再次强化</w:t>
      </w:r>
    </w:p>
    <w:p>
      <w:pPr>
        <w:pStyle w:val="Compact"/>
        <w:numPr>
          <w:ilvl w:val="0"/>
          <w:numId w:val="1004"/>
        </w:numPr>
      </w:pPr>
      <w:r>
        <w:rPr>
          <w:rFonts w:hint="eastAsia"/>
          <w:b/>
          <w:bCs/>
        </w:rPr>
        <w:t xml:space="preserve">信号强度：★★★</w:t>
      </w:r>
    </w:p>
    <w:p>
      <w:pPr>
        <w:pStyle w:val="Compact"/>
        <w:numPr>
          <w:ilvl w:val="0"/>
          <w:numId w:val="1004"/>
        </w:numPr>
      </w:pPr>
      <w:r>
        <w:rPr>
          <w:rFonts w:hint="eastAsia"/>
          <w:b/>
          <w:bCs/>
        </w:rPr>
        <w:t xml:space="preserve">A股影响：强化上一条政策预期，不构成独立新增项目</w:t>
      </w:r>
    </w:p>
    <w:p>
      <w:pPr>
        <w:pStyle w:val="Compact"/>
        <w:numPr>
          <w:ilvl w:val="0"/>
          <w:numId w:val="1004"/>
        </w:numPr>
      </w:pPr>
      <w:r>
        <w:rPr>
          <w:rFonts w:hint="eastAsia"/>
          <w:b/>
          <w:bCs/>
        </w:rPr>
        <w:t xml:space="preserve">影响时效：中长期</w:t>
      </w:r>
    </w:p>
    <w:p>
      <w:pPr>
        <w:pStyle w:val="Compact"/>
        <w:numPr>
          <w:ilvl w:val="0"/>
          <w:numId w:val="1004"/>
        </w:numPr>
      </w:pPr>
      <w:r>
        <w:rPr>
          <w:rFonts w:hint="eastAsia"/>
          <w:b/>
          <w:bCs/>
        </w:rPr>
        <w:t xml:space="preserve">关联方向：</w:t>
      </w:r>
      <w:r>
        <w:t xml:space="preserve"> </w:t>
      </w:r>
      <w:r>
        <w:rPr>
          <w:rFonts w:hint="eastAsia"/>
        </w:rPr>
        <w:t xml:space="preserve">生态修复、节能环保、绿色能源与绿色算力。</w:t>
      </w:r>
    </w:p>
    <w:p>
      <w:pPr>
        <w:pStyle w:val="FirstParagraph"/>
      </w:pPr>
      <w:r>
        <w:rPr>
          <w:rFonts w:hint="eastAsia"/>
        </w:rPr>
        <w:t xml:space="preserve">底稿仅记载当天播发同名央视快评，没有提供快评正文。可确认的是生态优先、绿色发展主题获得紧接头条的评论强化；不可据标题推演新增政策、资金、项目或行业细则，市场分析应并入头条而不是重复计算利好。</w:t>
      </w:r>
    </w:p>
    <w:bookmarkEnd w:id="12"/>
    <w:bookmarkStart w:id="13" w:name="Xeb934aab402de7ddf82fbad773db9c2f6a217be"/>
    <w:p>
      <w:pPr>
        <w:pStyle w:val="Heading3"/>
      </w:pPr>
      <w:r>
        <w:t xml:space="preserve">3. </w:t>
      </w:r>
      <w:r>
        <w:rPr>
          <w:rFonts w:hint="eastAsia"/>
        </w:rPr>
        <w:t xml:space="preserve">《求是》文章：重大部署监督、制度执行与反腐高压常态化</w:t>
      </w:r>
    </w:p>
    <w:p>
      <w:pPr>
        <w:pStyle w:val="Compact"/>
        <w:numPr>
          <w:ilvl w:val="0"/>
          <w:numId w:val="1005"/>
        </w:numPr>
      </w:pPr>
      <w:r>
        <w:rPr>
          <w:rFonts w:hint="eastAsia"/>
          <w:b/>
          <w:bCs/>
        </w:rPr>
        <w:t xml:space="preserve">信号强度：★★★★</w:t>
      </w:r>
    </w:p>
    <w:p>
      <w:pPr>
        <w:pStyle w:val="Compact"/>
        <w:numPr>
          <w:ilvl w:val="0"/>
          <w:numId w:val="1005"/>
        </w:numPr>
      </w:pPr>
      <w:r>
        <w:rPr>
          <w:rFonts w:hint="eastAsia"/>
          <w:b/>
          <w:bCs/>
        </w:rPr>
        <w:t xml:space="preserve">A股影响：直接交易催化有限，长期有利于政策执行与公平营商环境</w:t>
      </w:r>
    </w:p>
    <w:p>
      <w:pPr>
        <w:pStyle w:val="Compact"/>
        <w:numPr>
          <w:ilvl w:val="0"/>
          <w:numId w:val="1005"/>
        </w:numPr>
      </w:pPr>
      <w:r>
        <w:rPr>
          <w:rFonts w:hint="eastAsia"/>
          <w:b/>
          <w:bCs/>
        </w:rPr>
        <w:t xml:space="preserve">影响时效：长期</w:t>
      </w:r>
    </w:p>
    <w:p>
      <w:pPr>
        <w:pStyle w:val="Compact"/>
        <w:numPr>
          <w:ilvl w:val="0"/>
          <w:numId w:val="1005"/>
        </w:numPr>
      </w:pPr>
      <w:r>
        <w:rPr>
          <w:rFonts w:hint="eastAsia"/>
          <w:b/>
          <w:bCs/>
        </w:rPr>
        <w:t xml:space="preserve">关联方向：</w:t>
      </w:r>
      <w:r>
        <w:t xml:space="preserve"> </w:t>
      </w:r>
      <w:r>
        <w:rPr>
          <w:rFonts w:hint="eastAsia"/>
        </w:rPr>
        <w:t xml:space="preserve">审计监督、政务数字化、内控合规、国资与公共资金治理。</w:t>
      </w:r>
    </w:p>
    <w:p>
      <w:pPr>
        <w:pStyle w:val="FirstParagraph"/>
      </w:pPr>
      <w:r>
        <w:rPr>
          <w:rFonts w:hint="eastAsia"/>
          <w:b/>
          <w:bCs/>
        </w:rPr>
        <w:t xml:space="preserve">原文事实：</w:t>
      </w:r>
      <w:r>
        <w:t xml:space="preserve"> </w:t>
      </w:r>
      <w:r>
        <w:rPr>
          <w:rFonts w:hint="eastAsia"/>
        </w:rPr>
        <w:t xml:space="preserve">文章提出围绕新发展理念、高质量发展、现代化产业体系和新质生产力加强具体化、精准化、常态化监督，用好巡视成果并强化整改监督；同时强调完善制度、提高执行力、加强对“一把手”监督，保持反腐败高压态势并增强穿透力和全链条协作。</w:t>
      </w:r>
    </w:p>
    <w:p>
      <w:pPr>
        <w:pStyle w:val="BodyText"/>
      </w:pPr>
      <w:r>
        <w:rPr>
          <w:rFonts w:hint="eastAsia"/>
          <w:b/>
          <w:bCs/>
        </w:rPr>
        <w:t xml:space="preserve">分析：</w:t>
      </w:r>
      <w:r>
        <w:t xml:space="preserve"> </w:t>
      </w:r>
      <w:r>
        <w:rPr>
          <w:rFonts w:hint="eastAsia"/>
        </w:rPr>
        <w:t xml:space="preserve">这类信号主要改善政策执行约束和治理质量，不等于审计软件或政务系统立即获得订单。对依赖不规范关系、低透明度交易或薄弱内控的经营主体构成长期约束；底稿未披露采购、预算、处罚对象或上市公司信息。</w:t>
      </w:r>
    </w:p>
    <w:bookmarkEnd w:id="13"/>
    <w:bookmarkStart w:id="14" w:name="Xe61f70f8f133260ff7e409d30b97b24fedc4b2c"/>
    <w:p>
      <w:pPr>
        <w:pStyle w:val="Heading3"/>
      </w:pPr>
      <w:r>
        <w:t xml:space="preserve">4. </w:t>
      </w:r>
      <w:r>
        <w:rPr>
          <w:rFonts w:hint="eastAsia"/>
        </w:rPr>
        <w:t xml:space="preserve">习近平致信祝贺湖南大学建校100周年：教育强国与经世致用人才培养</w:t>
      </w:r>
    </w:p>
    <w:p>
      <w:pPr>
        <w:pStyle w:val="Compact"/>
        <w:numPr>
          <w:ilvl w:val="0"/>
          <w:numId w:val="1006"/>
        </w:numPr>
      </w:pPr>
      <w:r>
        <w:rPr>
          <w:rFonts w:hint="eastAsia"/>
          <w:b/>
          <w:bCs/>
        </w:rPr>
        <w:t xml:space="preserve">信号强度：★★★</w:t>
      </w:r>
    </w:p>
    <w:p>
      <w:pPr>
        <w:pStyle w:val="Compact"/>
        <w:numPr>
          <w:ilvl w:val="0"/>
          <w:numId w:val="1006"/>
        </w:numPr>
      </w:pPr>
      <w:r>
        <w:rPr>
          <w:rFonts w:hint="eastAsia"/>
          <w:b/>
          <w:bCs/>
        </w:rPr>
        <w:t xml:space="preserve">A股影响：长期教育与人才建设方向偏利好，短期直接催化弱</w:t>
      </w:r>
    </w:p>
    <w:p>
      <w:pPr>
        <w:pStyle w:val="Compact"/>
        <w:numPr>
          <w:ilvl w:val="0"/>
          <w:numId w:val="1006"/>
        </w:numPr>
      </w:pPr>
      <w:r>
        <w:rPr>
          <w:rFonts w:hint="eastAsia"/>
          <w:b/>
          <w:bCs/>
        </w:rPr>
        <w:t xml:space="preserve">影响时效：长期</w:t>
      </w:r>
    </w:p>
    <w:p>
      <w:pPr>
        <w:pStyle w:val="Compact"/>
        <w:numPr>
          <w:ilvl w:val="0"/>
          <w:numId w:val="1006"/>
        </w:numPr>
      </w:pPr>
      <w:r>
        <w:rPr>
          <w:rFonts w:hint="eastAsia"/>
          <w:b/>
          <w:bCs/>
        </w:rPr>
        <w:t xml:space="preserve">关联方向：</w:t>
      </w:r>
      <w:r>
        <w:t xml:space="preserve"> </w:t>
      </w:r>
      <w:r>
        <w:rPr>
          <w:rFonts w:hint="eastAsia"/>
        </w:rPr>
        <w:t xml:space="preserve">高等教育服务、教育数字化、科研仪器、产学研合作。</w:t>
      </w:r>
    </w:p>
    <w:p>
      <w:pPr>
        <w:pStyle w:val="FirstParagraph"/>
      </w:pPr>
      <w:r>
        <w:rPr>
          <w:rFonts w:hint="eastAsia"/>
        </w:rPr>
        <w:t xml:space="preserve">原文要求湖南大学提升办学质量和水平，培养更多经世致用的优秀人才，为教育强国和中国式现代化作贡献。该条确认教育和人才培养的长期方向，但没有新增经费、学科项目、设备采购或校企合作名单，不能外推为教育信息化或科研设备的确定订单。</w:t>
      </w:r>
    </w:p>
    <w:bookmarkEnd w:id="14"/>
    <w:bookmarkStart w:id="15" w:name="X8c103aa7df44b7cf957bac034167bac8b995937"/>
    <w:p>
      <w:pPr>
        <w:pStyle w:val="Heading3"/>
      </w:pPr>
      <w:r>
        <w:t xml:space="preserve">5. </w:t>
      </w:r>
      <w:r>
        <w:rPr>
          <w:rFonts w:hint="eastAsia"/>
        </w:rPr>
        <w:t xml:space="preserve">国务院常务会议：“人工智能+”落地与价格治理同时推进</w:t>
      </w:r>
    </w:p>
    <w:p>
      <w:pPr>
        <w:pStyle w:val="Compact"/>
        <w:numPr>
          <w:ilvl w:val="0"/>
          <w:numId w:val="1007"/>
        </w:numPr>
      </w:pPr>
      <w:r>
        <w:rPr>
          <w:rFonts w:hint="eastAsia"/>
          <w:b/>
          <w:bCs/>
        </w:rPr>
        <w:t xml:space="preserve">信号强度：★★★★★</w:t>
      </w:r>
    </w:p>
    <w:p>
      <w:pPr>
        <w:pStyle w:val="Compact"/>
        <w:numPr>
          <w:ilvl w:val="0"/>
          <w:numId w:val="1007"/>
        </w:numPr>
      </w:pPr>
      <w:r>
        <w:rPr>
          <w:rFonts w:hint="eastAsia"/>
          <w:b/>
          <w:bCs/>
        </w:rPr>
        <w:t xml:space="preserve">A股影响：AI产业链结构性利好；低价竞争和平台价格不规范行为承压</w:t>
      </w:r>
    </w:p>
    <w:p>
      <w:pPr>
        <w:pStyle w:val="Compact"/>
        <w:numPr>
          <w:ilvl w:val="0"/>
          <w:numId w:val="1007"/>
        </w:numPr>
      </w:pPr>
      <w:r>
        <w:rPr>
          <w:rFonts w:hint="eastAsia"/>
          <w:b/>
          <w:bCs/>
        </w:rPr>
        <w:t xml:space="preserve">影响时效：短期形成主题催化，中期看细则、场景和中试项目</w:t>
      </w:r>
    </w:p>
    <w:p>
      <w:pPr>
        <w:pStyle w:val="Compact"/>
        <w:numPr>
          <w:ilvl w:val="0"/>
          <w:numId w:val="1007"/>
        </w:numPr>
      </w:pPr>
      <w:r>
        <w:rPr>
          <w:rFonts w:hint="eastAsia"/>
          <w:b/>
          <w:bCs/>
        </w:rPr>
        <w:t xml:space="preserve">受益映射：</w:t>
      </w:r>
      <w:r>
        <w:t xml:space="preserve"> </w:t>
      </w:r>
      <w:r>
        <w:rPr>
          <w:rFonts w:hint="eastAsia"/>
        </w:rPr>
        <w:t xml:space="preserve">AI基础软硬件、算法、行业模型、高质量数据、数据治理、中试验证、工业软件、智能制造、算力与电力协同、AI安全。</w:t>
      </w:r>
    </w:p>
    <w:p>
      <w:pPr>
        <w:pStyle w:val="Compact"/>
        <w:numPr>
          <w:ilvl w:val="0"/>
          <w:numId w:val="1007"/>
        </w:numPr>
      </w:pPr>
      <w:r>
        <w:rPr>
          <w:rFonts w:hint="eastAsia"/>
          <w:b/>
          <w:bCs/>
        </w:rPr>
        <w:t xml:space="preserve">约束方向：</w:t>
      </w:r>
      <w:r>
        <w:t xml:space="preserve"> </w:t>
      </w:r>
      <w:r>
        <w:rPr>
          <w:rFonts w:hint="eastAsia"/>
        </w:rPr>
        <w:t xml:space="preserve">低价倾销、平台价格不正当竞争、只讲概念而缺乏应用验证的供给。</w:t>
      </w:r>
    </w:p>
    <w:p>
      <w:pPr>
        <w:pStyle w:val="FirstParagraph"/>
      </w:pPr>
      <w:r>
        <w:rPr>
          <w:rFonts w:hint="eastAsia"/>
          <w:b/>
          <w:bCs/>
        </w:rPr>
        <w:t xml:space="preserve">原文事实：</w:t>
      </w:r>
      <w:r>
        <w:t xml:space="preserve"> </w:t>
      </w:r>
      <w:r>
        <w:rPr>
          <w:rFonts w:hint="eastAsia"/>
        </w:rPr>
        <w:t xml:space="preserve">会议听取“人工智能+”行动进展，要求以落地应用牵引技术创新，推进技术攻关、算法创新、算电协同和高质量数据供给，以实体经济为重点加强供需衔接、联合研发、中试验证和场景培育，并按行业分级分类加强安全治理。会议原则通过教师法修订草案和价格法修正草案；价格治理部分提出完善政府定价程序、不正当价格行为认定和法律责任，治理低价无序竞争，健全行业成本调查、制止低价倾销等规则，规范平台经济价格竞争。会议还通过修改和废止部分行政法规的决定草案。</w:t>
      </w:r>
    </w:p>
    <w:p>
      <w:pPr>
        <w:pStyle w:val="BodyText"/>
      </w:pPr>
      <w:r>
        <w:rPr>
          <w:rFonts w:hint="eastAsia"/>
          <w:b/>
          <w:bCs/>
        </w:rPr>
        <w:t xml:space="preserve">分析：</w:t>
      </w:r>
      <w:r>
        <w:t xml:space="preserve"> </w:t>
      </w:r>
      <w:r>
        <w:rPr>
          <w:rFonts w:hint="eastAsia"/>
        </w:rPr>
        <w:t xml:space="preserve">“人工智能+”的政策重心是从底座到场景的转化效率，利好具备真实数据、客户、联合研发和中试能力的企业；安全要求意味着合规成本也会上升。价格法修正方向有助于缓和部分行业恶性价格竞争，但具体受益程度取决于法律审议、配套规则和执法尺度，不能据此断言产品价格或利润率必然回升。</w:t>
      </w:r>
    </w:p>
    <w:p>
      <w:pPr>
        <w:pStyle w:val="BodyText"/>
      </w:pPr>
      <w:r>
        <w:rPr>
          <w:rFonts w:hint="eastAsia"/>
          <w:b/>
          <w:bCs/>
        </w:rPr>
        <w:t xml:space="preserve">教师法支线：</w:t>
      </w:r>
      <w:r>
        <w:t xml:space="preserve"> </w:t>
      </w:r>
      <w:r>
        <w:rPr>
          <w:rFonts w:hint="eastAsia"/>
        </w:rPr>
        <w:t xml:space="preserve">待遇权益、减轻非教学负担、教师教育体系和专业化队伍建设有利于教育服务与数字化减负场景，但底稿没有采购和预算数据。</w:t>
      </w:r>
    </w:p>
    <w:bookmarkEnd w:id="15"/>
    <w:bookmarkStart w:id="16" w:name="X24a15f35d8ee7fa257488320f20c118c2030cd2"/>
    <w:p>
      <w:pPr>
        <w:pStyle w:val="Heading3"/>
      </w:pPr>
      <w:r>
        <w:t xml:space="preserve">6. </w:t>
      </w:r>
      <w:r>
        <w:rPr>
          <w:rFonts w:hint="eastAsia"/>
        </w:rPr>
        <w:t xml:space="preserve">世界职业技术教育发展大会：产教融合、数智与绿色技能国际合作</w:t>
      </w:r>
    </w:p>
    <w:p>
      <w:pPr>
        <w:pStyle w:val="Compact"/>
        <w:numPr>
          <w:ilvl w:val="0"/>
          <w:numId w:val="1008"/>
        </w:numPr>
      </w:pPr>
      <w:r>
        <w:rPr>
          <w:rFonts w:hint="eastAsia"/>
          <w:b/>
          <w:bCs/>
        </w:rPr>
        <w:t xml:space="preserve">信号强度：★★★★</w:t>
      </w:r>
    </w:p>
    <w:p>
      <w:pPr>
        <w:pStyle w:val="Compact"/>
        <w:numPr>
          <w:ilvl w:val="0"/>
          <w:numId w:val="1008"/>
        </w:numPr>
      </w:pPr>
      <w:r>
        <w:rPr>
          <w:rFonts w:hint="eastAsia"/>
          <w:b/>
          <w:bCs/>
        </w:rPr>
        <w:t xml:space="preserve">A股影响：职业教育与产业培训方向中长期偏利好</w:t>
      </w:r>
    </w:p>
    <w:p>
      <w:pPr>
        <w:pStyle w:val="Compact"/>
        <w:numPr>
          <w:ilvl w:val="0"/>
          <w:numId w:val="1008"/>
        </w:numPr>
      </w:pPr>
      <w:r>
        <w:rPr>
          <w:rFonts w:hint="eastAsia"/>
          <w:b/>
          <w:bCs/>
        </w:rPr>
        <w:t xml:space="preserve">影响时效：中长期</w:t>
      </w:r>
    </w:p>
    <w:p>
      <w:pPr>
        <w:pStyle w:val="Compact"/>
        <w:numPr>
          <w:ilvl w:val="0"/>
          <w:numId w:val="1008"/>
        </w:numPr>
      </w:pPr>
      <w:r>
        <w:rPr>
          <w:rFonts w:hint="eastAsia"/>
          <w:b/>
          <w:bCs/>
        </w:rPr>
        <w:t xml:space="preserve">受益映射：</w:t>
      </w:r>
      <w:r>
        <w:t xml:space="preserve"> </w:t>
      </w:r>
      <w:r>
        <w:rPr>
          <w:rFonts w:hint="eastAsia"/>
        </w:rPr>
        <w:t xml:space="preserve">职业教育、实训设备、工业培训、教育数字化、产教融合服务、绿色技能培训。</w:t>
      </w:r>
    </w:p>
    <w:p>
      <w:pPr>
        <w:pStyle w:val="FirstParagraph"/>
      </w:pPr>
      <w:r>
        <w:rPr>
          <w:rFonts w:hint="eastAsia"/>
          <w:b/>
          <w:bCs/>
        </w:rPr>
        <w:t xml:space="preserve">原文事实：</w:t>
      </w:r>
      <w:r>
        <w:t xml:space="preserve"> </w:t>
      </w:r>
      <w:r>
        <w:rPr>
          <w:rFonts w:hint="eastAsia"/>
        </w:rPr>
        <w:t xml:space="preserve">丁薛祥提出以标准共建、变革创新、公平包容和互学互鉴推动职业教育合作，明确推进数智技术、绿色技术与职业教育融合，并提到教学、实训、师资、评价标准。与马来西亚方面会见还涉及基础设施、高科技、农业和职业教育合作。</w:t>
      </w:r>
    </w:p>
    <w:p>
      <w:pPr>
        <w:pStyle w:val="BodyText"/>
      </w:pPr>
      <w:r>
        <w:rPr>
          <w:rFonts w:hint="eastAsia"/>
          <w:b/>
          <w:bCs/>
        </w:rPr>
        <w:t xml:space="preserve">分析：</w:t>
      </w:r>
      <w:r>
        <w:t xml:space="preserve"> </w:t>
      </w:r>
      <w:r>
        <w:rPr>
          <w:rFonts w:hint="eastAsia"/>
        </w:rPr>
        <w:t xml:space="preserve">政策方向利好能提供课程、实训、设备和企业岗位连接的主体，国际合作可能拓展标准和培训输出。但大会倡议不等同于合同，底稿没有项目金额、采购计划和公司名单，需等待产教融合项目、招生、付费和设备订单。</w:t>
      </w:r>
    </w:p>
    <w:bookmarkEnd w:id="16"/>
    <w:bookmarkStart w:id="17" w:name="X1b51401c1fc5a587c717e39a42117221c9c9254"/>
    <w:p>
      <w:pPr>
        <w:pStyle w:val="Heading3"/>
      </w:pPr>
      <w:r>
        <w:t xml:space="preserve">7. </w:t>
      </w:r>
      <w:r>
        <w:rPr>
          <w:rFonts w:hint="eastAsia"/>
        </w:rPr>
        <w:t xml:space="preserve">青海绿色产业体系：清洁能源、盐湖、新材料、氢能协同布局</w:t>
      </w:r>
    </w:p>
    <w:p>
      <w:pPr>
        <w:pStyle w:val="Compact"/>
        <w:numPr>
          <w:ilvl w:val="0"/>
          <w:numId w:val="1009"/>
        </w:numPr>
      </w:pPr>
      <w:r>
        <w:rPr>
          <w:rFonts w:hint="eastAsia"/>
          <w:b/>
          <w:bCs/>
        </w:rPr>
        <w:t xml:space="preserve">信号强度：★★★★</w:t>
      </w:r>
    </w:p>
    <w:p>
      <w:pPr>
        <w:pStyle w:val="Compact"/>
        <w:numPr>
          <w:ilvl w:val="0"/>
          <w:numId w:val="1009"/>
        </w:numPr>
      </w:pPr>
      <w:r>
        <w:rPr>
          <w:rFonts w:hint="eastAsia"/>
          <w:b/>
          <w:bCs/>
        </w:rPr>
        <w:t xml:space="preserve">A股影响：区域性中长期利好</w:t>
      </w:r>
    </w:p>
    <w:p>
      <w:pPr>
        <w:pStyle w:val="Compact"/>
        <w:numPr>
          <w:ilvl w:val="0"/>
          <w:numId w:val="1009"/>
        </w:numPr>
      </w:pPr>
      <w:r>
        <w:rPr>
          <w:rFonts w:hint="eastAsia"/>
          <w:b/>
          <w:bCs/>
        </w:rPr>
        <w:t xml:space="preserve">影响时效：中长期</w:t>
      </w:r>
    </w:p>
    <w:p>
      <w:pPr>
        <w:pStyle w:val="Compact"/>
        <w:numPr>
          <w:ilvl w:val="0"/>
          <w:numId w:val="1009"/>
        </w:numPr>
      </w:pPr>
      <w:r>
        <w:rPr>
          <w:rFonts w:hint="eastAsia"/>
          <w:b/>
          <w:bCs/>
        </w:rPr>
        <w:t xml:space="preserve">受益映射：</w:t>
      </w:r>
      <w:r>
        <w:t xml:space="preserve"> </w:t>
      </w:r>
      <w:r>
        <w:rPr>
          <w:rFonts w:hint="eastAsia"/>
        </w:rPr>
        <w:t xml:space="preserve">清洁能源、储能与电网配套、盐湖资源开发、新材料、节能环保、氢能、特色农牧和生态文旅。</w:t>
      </w:r>
    </w:p>
    <w:p>
      <w:pPr>
        <w:pStyle w:val="FirstParagraph"/>
      </w:pPr>
      <w:r>
        <w:rPr>
          <w:rFonts w:hint="eastAsia"/>
          <w:b/>
          <w:bCs/>
        </w:rPr>
        <w:t xml:space="preserve">原文事实：</w:t>
      </w:r>
      <w:r>
        <w:t xml:space="preserve"> </w:t>
      </w:r>
      <w:r>
        <w:rPr>
          <w:rFonts w:hint="eastAsia"/>
        </w:rPr>
        <w:t xml:space="preserve">报道以长征历史和绿色发展为主线，提到生态管护、藏雪茶和林下菌菇等绿色产业。当前青海推动清洁能源、盐湖资源开发、特色农牧、生态文旅提质增效，清洁能源装机占比持续领跑全国；“十五五”将聚焦新能源、新材料、节能环保等新兴支柱产业，布局高性能复合纤维、氢能等新业态。</w:t>
      </w:r>
    </w:p>
    <w:p>
      <w:pPr>
        <w:pStyle w:val="BodyText"/>
      </w:pPr>
      <w:r>
        <w:rPr>
          <w:rFonts w:hint="eastAsia"/>
          <w:b/>
          <w:bCs/>
        </w:rPr>
        <w:t xml:space="preserve">分析：</w:t>
      </w:r>
      <w:r>
        <w:t xml:space="preserve"> </w:t>
      </w:r>
      <w:r>
        <w:rPr>
          <w:rFonts w:hint="eastAsia"/>
        </w:rPr>
        <w:t xml:space="preserve">方向较明确，但仍是地区产业布局。产业兑现需要电源、电网、消纳、储能、资源开发审批、产品价格、项目资本开支和订单支撑；生态保护要求也会提高开发边界和合规门槛。</w:t>
      </w:r>
    </w:p>
    <w:bookmarkEnd w:id="17"/>
    <w:bookmarkStart w:id="18" w:name="X2da6892490a1a7dbae544f93d59738c925daa93"/>
    <w:p>
      <w:pPr>
        <w:pStyle w:val="Heading3"/>
      </w:pPr>
      <w:r>
        <w:t xml:space="preserve">8. </w:t>
      </w:r>
      <w:r>
        <w:rPr>
          <w:rFonts w:hint="eastAsia"/>
        </w:rPr>
        <w:t xml:space="preserve">养老服务价格机制：分类定价、收费清单与普惠扩面</w:t>
      </w:r>
    </w:p>
    <w:p>
      <w:pPr>
        <w:pStyle w:val="Compact"/>
        <w:numPr>
          <w:ilvl w:val="0"/>
          <w:numId w:val="1010"/>
        </w:numPr>
      </w:pPr>
      <w:r>
        <w:rPr>
          <w:rFonts w:hint="eastAsia"/>
          <w:b/>
          <w:bCs/>
        </w:rPr>
        <w:t xml:space="preserve">信号强度：★★★★</w:t>
      </w:r>
    </w:p>
    <w:p>
      <w:pPr>
        <w:pStyle w:val="Compact"/>
        <w:numPr>
          <w:ilvl w:val="0"/>
          <w:numId w:val="1010"/>
        </w:numPr>
      </w:pPr>
      <w:r>
        <w:rPr>
          <w:rFonts w:hint="eastAsia"/>
          <w:b/>
          <w:bCs/>
        </w:rPr>
        <w:t xml:space="preserve">A股影响：普惠养老服务中长期利好，收费透明和合规要求提高</w:t>
      </w:r>
    </w:p>
    <w:p>
      <w:pPr>
        <w:pStyle w:val="Compact"/>
        <w:numPr>
          <w:ilvl w:val="0"/>
          <w:numId w:val="1010"/>
        </w:numPr>
      </w:pPr>
      <w:r>
        <w:rPr>
          <w:rFonts w:hint="eastAsia"/>
          <w:b/>
          <w:bCs/>
        </w:rPr>
        <w:t xml:space="preserve">影响时效：中期看地方落实，长期看服务扩容</w:t>
      </w:r>
    </w:p>
    <w:p>
      <w:pPr>
        <w:pStyle w:val="Compact"/>
        <w:numPr>
          <w:ilvl w:val="0"/>
          <w:numId w:val="1010"/>
        </w:numPr>
      </w:pPr>
      <w:r>
        <w:rPr>
          <w:rFonts w:hint="eastAsia"/>
          <w:b/>
          <w:bCs/>
        </w:rPr>
        <w:t xml:space="preserve">受益映射：</w:t>
      </w:r>
      <w:r>
        <w:t xml:space="preserve"> </w:t>
      </w:r>
      <w:r>
        <w:rPr>
          <w:rFonts w:hint="eastAsia"/>
        </w:rPr>
        <w:t xml:space="preserve">养老服务运营、适老化改造、养老信息化、照护培训、医养协同服务。</w:t>
      </w:r>
    </w:p>
    <w:p>
      <w:pPr>
        <w:pStyle w:val="Compact"/>
        <w:numPr>
          <w:ilvl w:val="0"/>
          <w:numId w:val="1010"/>
        </w:numPr>
      </w:pPr>
      <w:r>
        <w:rPr>
          <w:rFonts w:hint="eastAsia"/>
          <w:b/>
          <w:bCs/>
        </w:rPr>
        <w:t xml:space="preserve">约束方向：</w:t>
      </w:r>
      <w:r>
        <w:t xml:space="preserve"> </w:t>
      </w:r>
      <w:r>
        <w:rPr>
          <w:rFonts w:hint="eastAsia"/>
        </w:rPr>
        <w:t xml:space="preserve">收费项目不透明、依赖目录外收费的机构。</w:t>
      </w:r>
    </w:p>
    <w:p>
      <w:pPr>
        <w:pStyle w:val="FirstParagraph"/>
      </w:pPr>
      <w:r>
        <w:rPr>
          <w:rFonts w:hint="eastAsia"/>
        </w:rPr>
        <w:t xml:space="preserve">三部门指导意见把养老机构分为兜底保障型、普惠支持型和完全市场型，分类完善价格形成机制，要求建立并公示收费目录清单，清单之外不得收费。政策有利于价格可负担、质量有保障和运营可持续的正规供给，但也压缩不透明收费空间；底稿没有补贴标准、床位目标或企业名单。</w:t>
      </w:r>
    </w:p>
    <w:bookmarkEnd w:id="18"/>
    <w:bookmarkStart w:id="19" w:name="Xa9dcd6d481c51bbbe0983a15719d0a285291352"/>
    <w:p>
      <w:pPr>
        <w:pStyle w:val="Heading3"/>
      </w:pPr>
      <w:r>
        <w:t xml:space="preserve">9. </w:t>
      </w:r>
      <w:r>
        <w:rPr>
          <w:rFonts w:hint="eastAsia"/>
        </w:rPr>
        <w:t xml:space="preserve">第140届广交会：先进制造从产品出口走向智造、绿造和整案输出</w:t>
      </w:r>
    </w:p>
    <w:p>
      <w:pPr>
        <w:pStyle w:val="Compact"/>
        <w:numPr>
          <w:ilvl w:val="0"/>
          <w:numId w:val="1011"/>
        </w:numPr>
      </w:pPr>
      <w:r>
        <w:rPr>
          <w:rFonts w:hint="eastAsia"/>
          <w:b/>
          <w:bCs/>
        </w:rPr>
        <w:t xml:space="preserve">信号强度：★★★★</w:t>
      </w:r>
    </w:p>
    <w:p>
      <w:pPr>
        <w:pStyle w:val="Compact"/>
        <w:numPr>
          <w:ilvl w:val="0"/>
          <w:numId w:val="1011"/>
        </w:numPr>
      </w:pPr>
      <w:r>
        <w:rPr>
          <w:rFonts w:hint="eastAsia"/>
          <w:b/>
          <w:bCs/>
        </w:rPr>
        <w:t xml:space="preserve">A股影响：先进制造与外贸链事件型、结构性利好</w:t>
      </w:r>
    </w:p>
    <w:p>
      <w:pPr>
        <w:pStyle w:val="Compact"/>
        <w:numPr>
          <w:ilvl w:val="0"/>
          <w:numId w:val="1011"/>
        </w:numPr>
      </w:pPr>
      <w:r>
        <w:rPr>
          <w:rFonts w:hint="eastAsia"/>
          <w:b/>
          <w:bCs/>
        </w:rPr>
        <w:t xml:space="preserve">影响时效：短期看展会订单，中期看出口兑现</w:t>
      </w:r>
    </w:p>
    <w:p>
      <w:pPr>
        <w:pStyle w:val="Compact"/>
        <w:numPr>
          <w:ilvl w:val="0"/>
          <w:numId w:val="1011"/>
        </w:numPr>
      </w:pPr>
      <w:r>
        <w:rPr>
          <w:rFonts w:hint="eastAsia"/>
          <w:b/>
          <w:bCs/>
        </w:rPr>
        <w:t xml:space="preserve">受益映射：</w:t>
      </w:r>
      <w:r>
        <w:t xml:space="preserve"> </w:t>
      </w:r>
      <w:r>
        <w:rPr>
          <w:rFonts w:hint="eastAsia"/>
        </w:rPr>
        <w:t xml:space="preserve">电子家电、工业制造、照明电气、五金工具、车辆及两轮车、无人机、新型储能、脑机接口、新型显示和外贸服务。</w:t>
      </w:r>
    </w:p>
    <w:p>
      <w:pPr>
        <w:pStyle w:val="FirstParagraph"/>
      </w:pPr>
      <w:r>
        <w:rPr>
          <w:rFonts w:hint="eastAsia"/>
          <w:b/>
          <w:bCs/>
        </w:rPr>
        <w:t xml:space="preserve">原文事实：</w:t>
      </w:r>
      <w:r>
        <w:t xml:space="preserve"> </w:t>
      </w:r>
      <w:r>
        <w:rPr>
          <w:rFonts w:hint="eastAsia"/>
        </w:rPr>
        <w:t xml:space="preserve">首期聚焦先进制造，参展企业超过1.2万家；高新技术、专精特新和制造业单项冠军等优质企业超过6000家，同比增长约8.2%。17个新兴未来产业专区展示无人机、新型储能、脑机接口和新型显示等成果，并形成从核心元器件到终端整机的展示链条。</w:t>
      </w:r>
    </w:p>
    <w:p>
      <w:pPr>
        <w:pStyle w:val="BodyText"/>
      </w:pPr>
      <w:r>
        <w:rPr>
          <w:rFonts w:hint="eastAsia"/>
          <w:b/>
          <w:bCs/>
        </w:rPr>
        <w:t xml:space="preserve">分析：</w:t>
      </w:r>
      <w:r>
        <w:t xml:space="preserve"> </w:t>
      </w:r>
      <w:r>
        <w:rPr>
          <w:rFonts w:hint="eastAsia"/>
        </w:rPr>
        <w:t xml:space="preserve">展会提供需求对接和产品验证窗口，但“参展”和“采购商关注”不是订单或收入。后续需看成交、交付、出口价格、汇率、贸易政策和回款，不应据展品热度确认产业景气全面上行。</w:t>
      </w:r>
    </w:p>
    <w:bookmarkEnd w:id="19"/>
    <w:bookmarkStart w:id="20" w:name="Xac4ec9012b06003a581b34c8ffc6b1e04e19f7d"/>
    <w:p>
      <w:pPr>
        <w:pStyle w:val="Heading3"/>
      </w:pPr>
      <w:r>
        <w:t xml:space="preserve">10. </w:t>
      </w:r>
      <w:r>
        <w:rPr>
          <w:rFonts w:hint="eastAsia"/>
        </w:rPr>
        <w:t xml:space="preserve">第九届进博会：参展规模与首发首展数量创新高</w:t>
      </w:r>
    </w:p>
    <w:p>
      <w:pPr>
        <w:pStyle w:val="Compact"/>
        <w:numPr>
          <w:ilvl w:val="0"/>
          <w:numId w:val="1012"/>
        </w:numPr>
      </w:pPr>
      <w:r>
        <w:rPr>
          <w:rFonts w:hint="eastAsia"/>
          <w:b/>
          <w:bCs/>
        </w:rPr>
        <w:t xml:space="preserve">信号强度：★★★</w:t>
      </w:r>
    </w:p>
    <w:p>
      <w:pPr>
        <w:pStyle w:val="Compact"/>
        <w:numPr>
          <w:ilvl w:val="0"/>
          <w:numId w:val="1012"/>
        </w:numPr>
      </w:pPr>
      <w:r>
        <w:rPr>
          <w:rFonts w:hint="eastAsia"/>
          <w:b/>
          <w:bCs/>
        </w:rPr>
        <w:t xml:space="preserve">A股影响：开放消费、会展与进口服务偏利好</w:t>
      </w:r>
    </w:p>
    <w:p>
      <w:pPr>
        <w:pStyle w:val="Compact"/>
        <w:numPr>
          <w:ilvl w:val="0"/>
          <w:numId w:val="1012"/>
        </w:numPr>
      </w:pPr>
      <w:r>
        <w:rPr>
          <w:rFonts w:hint="eastAsia"/>
          <w:b/>
          <w:bCs/>
        </w:rPr>
        <w:t xml:space="preserve">影响时效：短期事件窗口，中期看成交与渠道导入</w:t>
      </w:r>
    </w:p>
    <w:p>
      <w:pPr>
        <w:pStyle w:val="Compact"/>
        <w:numPr>
          <w:ilvl w:val="0"/>
          <w:numId w:val="1012"/>
        </w:numPr>
      </w:pPr>
      <w:r>
        <w:rPr>
          <w:rFonts w:hint="eastAsia"/>
          <w:b/>
          <w:bCs/>
        </w:rPr>
        <w:t xml:space="preserve">受益映射：</w:t>
      </w:r>
      <w:r>
        <w:t xml:space="preserve"> </w:t>
      </w:r>
      <w:r>
        <w:rPr>
          <w:rFonts w:hint="eastAsia"/>
        </w:rPr>
        <w:t xml:space="preserve">会展服务、商贸零售、跨境物流、供应链服务、进口消费与首发经济。</w:t>
      </w:r>
    </w:p>
    <w:p>
      <w:pPr>
        <w:pStyle w:val="FirstParagraph"/>
      </w:pPr>
      <w:r>
        <w:rPr>
          <w:rFonts w:hint="eastAsia"/>
        </w:rPr>
        <w:t xml:space="preserve">原文称进博会将于11月5日至10日在上海举办，162个国家、地区和国际组织参与，4100多家境外企业参展，首次参展企业超2000家；企业展面积首次突破37万平方米，全球首发、亚洲首展、中国首秀代表性展品超过480件。数据说明开放平台规模扩大，但没有成交额、品类占比和上市公司收入，短线应按事件催化而非业绩事实处理。</w:t>
      </w:r>
    </w:p>
    <w:bookmarkEnd w:id="20"/>
    <w:bookmarkStart w:id="21" w:name="X8c839b5ec45c3839519354d433c8d245752ceb0"/>
    <w:p>
      <w:pPr>
        <w:pStyle w:val="Heading3"/>
      </w:pPr>
      <w:r>
        <w:t xml:space="preserve">11. </w:t>
      </w:r>
      <w:r>
        <w:rPr>
          <w:rFonts w:hint="eastAsia"/>
        </w:rPr>
        <w:t xml:space="preserve">智能粮仓：高标准仓储、智慧管控和绿色储粮进入扩围期</w:t>
      </w:r>
    </w:p>
    <w:p>
      <w:pPr>
        <w:pStyle w:val="Compact"/>
        <w:numPr>
          <w:ilvl w:val="0"/>
          <w:numId w:val="1013"/>
        </w:numPr>
      </w:pPr>
      <w:r>
        <w:rPr>
          <w:rFonts w:hint="eastAsia"/>
          <w:b/>
          <w:bCs/>
        </w:rPr>
        <w:t xml:space="preserve">信号强度：★★★★</w:t>
      </w:r>
    </w:p>
    <w:p>
      <w:pPr>
        <w:pStyle w:val="Compact"/>
        <w:numPr>
          <w:ilvl w:val="0"/>
          <w:numId w:val="1013"/>
        </w:numPr>
      </w:pPr>
      <w:r>
        <w:rPr>
          <w:rFonts w:hint="eastAsia"/>
          <w:b/>
          <w:bCs/>
        </w:rPr>
        <w:t xml:space="preserve">A股影响：粮食仓储设备、节能技术和数字化中长期利好</w:t>
      </w:r>
    </w:p>
    <w:p>
      <w:pPr>
        <w:pStyle w:val="Compact"/>
        <w:numPr>
          <w:ilvl w:val="0"/>
          <w:numId w:val="1013"/>
        </w:numPr>
      </w:pPr>
      <w:r>
        <w:rPr>
          <w:rFonts w:hint="eastAsia"/>
          <w:b/>
          <w:bCs/>
        </w:rPr>
        <w:t xml:space="preserve">影响时效：中长期</w:t>
      </w:r>
    </w:p>
    <w:p>
      <w:pPr>
        <w:pStyle w:val="Compact"/>
        <w:numPr>
          <w:ilvl w:val="0"/>
          <w:numId w:val="1013"/>
        </w:numPr>
      </w:pPr>
      <w:r>
        <w:rPr>
          <w:rFonts w:hint="eastAsia"/>
          <w:b/>
          <w:bCs/>
        </w:rPr>
        <w:t xml:space="preserve">受益映射：</w:t>
      </w:r>
      <w:r>
        <w:t xml:space="preserve"> </w:t>
      </w:r>
      <w:r>
        <w:rPr>
          <w:rFonts w:hint="eastAsia"/>
        </w:rPr>
        <w:t xml:space="preserve">智能粮仓、温湿度传感器、仓储自动化、粮情监测、氮气气调、低温储粮、粮食加工与节粮减损。</w:t>
      </w:r>
    </w:p>
    <w:p>
      <w:pPr>
        <w:pStyle w:val="FirstParagraph"/>
      </w:pPr>
      <w:r>
        <w:rPr>
          <w:rFonts w:hint="eastAsia"/>
          <w:b/>
          <w:bCs/>
        </w:rPr>
        <w:t xml:space="preserve">原文事实：</w:t>
      </w:r>
      <w:r>
        <w:t xml:space="preserve"> </w:t>
      </w:r>
      <w:r>
        <w:rPr>
          <w:rFonts w:hint="eastAsia"/>
        </w:rPr>
        <w:t xml:space="preserve">全国各类粮食经营主体累计收购中晚稻1800万吨，同比增加160万吨；秦皇岛一处分库新投用28个仓房，以500多个测温点监测80多万吨粮食。全国粮食标准仓房完好仓容达到7.3亿吨；广州一座新粮库较传统仓型仓容提升约80%，采用氮气气调、准低温储粮等技术后能耗降低约20%。“十五五”将建设100个以上绿色储粮技术集成应用示范点，覆盖7个储粮生态区，并实施全谷物行动计划。</w:t>
      </w:r>
    </w:p>
    <w:p>
      <w:pPr>
        <w:pStyle w:val="BodyText"/>
      </w:pPr>
      <w:r>
        <w:rPr>
          <w:rFonts w:hint="eastAsia"/>
          <w:b/>
          <w:bCs/>
        </w:rPr>
        <w:t xml:space="preserve">分析：</w:t>
      </w:r>
      <w:r>
        <w:t xml:space="preserve"> </w:t>
      </w:r>
      <w:r>
        <w:rPr>
          <w:rFonts w:hint="eastAsia"/>
        </w:rPr>
        <w:t xml:space="preserve">这是从明确应用、技术效果到未来示范点数量较完整的产业线索。受益仍需落到项目招标、设备更新、运维和技术复制；报道中的单库效果不能直接外推到全国所有项目或具体企业利润。</w:t>
      </w:r>
    </w:p>
    <w:bookmarkEnd w:id="21"/>
    <w:bookmarkStart w:id="22" w:name="X671a1afa33f1fb5a13cf24fe9c7bcbd708a7420"/>
    <w:p>
      <w:pPr>
        <w:pStyle w:val="Heading3"/>
      </w:pPr>
      <w:r>
        <w:t xml:space="preserve">12. </w:t>
      </w:r>
      <w:r>
        <w:rPr>
          <w:rFonts w:hint="eastAsia"/>
        </w:rPr>
        <w:t xml:space="preserve">交通领域记者见面会：交通强国与一线技能、技术创新继续受重视</w:t>
      </w:r>
    </w:p>
    <w:p>
      <w:pPr>
        <w:pStyle w:val="Compact"/>
        <w:numPr>
          <w:ilvl w:val="0"/>
          <w:numId w:val="1014"/>
        </w:numPr>
      </w:pPr>
      <w:r>
        <w:rPr>
          <w:rFonts w:hint="eastAsia"/>
          <w:b/>
          <w:bCs/>
        </w:rPr>
        <w:t xml:space="preserve">信号强度：★★</w:t>
      </w:r>
    </w:p>
    <w:p>
      <w:pPr>
        <w:pStyle w:val="Compact"/>
        <w:numPr>
          <w:ilvl w:val="0"/>
          <w:numId w:val="1014"/>
        </w:numPr>
      </w:pPr>
      <w:r>
        <w:rPr>
          <w:rFonts w:hint="eastAsia"/>
          <w:b/>
          <w:bCs/>
        </w:rPr>
        <w:t xml:space="preserve">A股影响：直接催化弱，长期关联交通运维和装备技术</w:t>
      </w:r>
    </w:p>
    <w:p>
      <w:pPr>
        <w:pStyle w:val="Compact"/>
        <w:numPr>
          <w:ilvl w:val="0"/>
          <w:numId w:val="1014"/>
        </w:numPr>
      </w:pPr>
      <w:r>
        <w:rPr>
          <w:rFonts w:hint="eastAsia"/>
          <w:b/>
          <w:bCs/>
        </w:rPr>
        <w:t xml:space="preserve">影响时效：长期</w:t>
      </w:r>
    </w:p>
    <w:p>
      <w:pPr>
        <w:pStyle w:val="Compact"/>
        <w:numPr>
          <w:ilvl w:val="0"/>
          <w:numId w:val="1014"/>
        </w:numPr>
      </w:pPr>
      <w:r>
        <w:rPr>
          <w:rFonts w:hint="eastAsia"/>
          <w:b/>
          <w:bCs/>
        </w:rPr>
        <w:t xml:space="preserve">关联方向：</w:t>
      </w:r>
      <w:r>
        <w:t xml:space="preserve"> </w:t>
      </w:r>
      <w:r>
        <w:rPr>
          <w:rFonts w:hint="eastAsia"/>
        </w:rPr>
        <w:t xml:space="preserve">公路养护、船闸运维、深海装备、交通实训、货运服务。</w:t>
      </w:r>
    </w:p>
    <w:p>
      <w:pPr>
        <w:pStyle w:val="FirstParagraph"/>
      </w:pPr>
      <w:r>
        <w:rPr>
          <w:rFonts w:hint="eastAsia"/>
        </w:rPr>
        <w:t xml:space="preserve">该条以五位基层代表的工作故事为主，涉及藏北高原养路、三峡船闸技术创新、深海极限、实训技能和货运服务，主题是“奋进‘十五五’</w:t>
      </w:r>
      <w:r>
        <w:t xml:space="preserve"> </w:t>
      </w:r>
      <w:r>
        <w:rPr>
          <w:rFonts w:hint="eastAsia"/>
        </w:rPr>
        <w:t xml:space="preserve">勇当开路先锋”。它体现交通强国的人才和技术导向，但没有新增项目、投资、设备采购或行业目标，对A股直接影响较弱。</w:t>
      </w:r>
    </w:p>
    <w:bookmarkEnd w:id="22"/>
    <w:bookmarkEnd w:id="23"/>
    <w:bookmarkStart w:id="27" w:name="四国内联播快讯逐项分析"/>
    <w:p>
      <w:pPr>
        <w:pStyle w:val="Heading2"/>
      </w:pPr>
      <w:r>
        <w:rPr>
          <w:rFonts w:hint="eastAsia"/>
        </w:rPr>
        <w:t xml:space="preserve">四、国内联播快讯逐项分析</w:t>
      </w:r>
    </w:p>
    <w:bookmarkStart w:id="24" w:name="Xc6a316575002817bac7f6240b4850b7b7daf7b7"/>
    <w:p>
      <w:pPr>
        <w:pStyle w:val="Heading3"/>
      </w:pPr>
      <w:r>
        <w:t xml:space="preserve">13.1 </w:t>
      </w:r>
      <w:r>
        <w:rPr>
          <w:rFonts w:hint="eastAsia"/>
        </w:rPr>
        <w:t xml:space="preserve">2025年研发经费达到39288.2亿元</w:t>
      </w:r>
    </w:p>
    <w:p>
      <w:pPr>
        <w:pStyle w:val="Compact"/>
        <w:numPr>
          <w:ilvl w:val="0"/>
          <w:numId w:val="1015"/>
        </w:numPr>
      </w:pPr>
      <w:r>
        <w:rPr>
          <w:rFonts w:hint="eastAsia"/>
          <w:b/>
          <w:bCs/>
        </w:rPr>
        <w:t xml:space="preserve">信号强度：★★★★</w:t>
      </w:r>
    </w:p>
    <w:p>
      <w:pPr>
        <w:pStyle w:val="Compact"/>
        <w:numPr>
          <w:ilvl w:val="0"/>
          <w:numId w:val="1015"/>
        </w:numPr>
      </w:pPr>
      <w:r>
        <w:rPr>
          <w:rFonts w:hint="eastAsia"/>
          <w:b/>
          <w:bCs/>
        </w:rPr>
        <w:t xml:space="preserve">A股影响：科技创新生态中长期偏利好</w:t>
      </w:r>
    </w:p>
    <w:p>
      <w:pPr>
        <w:pStyle w:val="Compact"/>
        <w:numPr>
          <w:ilvl w:val="0"/>
          <w:numId w:val="1015"/>
        </w:numPr>
      </w:pPr>
      <w:r>
        <w:rPr>
          <w:rFonts w:hint="eastAsia"/>
          <w:b/>
          <w:bCs/>
        </w:rPr>
        <w:t xml:space="preserve">关联方向：</w:t>
      </w:r>
      <w:r>
        <w:t xml:space="preserve"> </w:t>
      </w:r>
      <w:r>
        <w:rPr>
          <w:rFonts w:hint="eastAsia"/>
        </w:rPr>
        <w:t xml:space="preserve">科研仪器、研发服务、工业软件、科技成果转化和高研发强度产业。</w:t>
      </w:r>
    </w:p>
    <w:p>
      <w:pPr>
        <w:pStyle w:val="FirstParagraph"/>
      </w:pPr>
      <w:r>
        <w:rPr>
          <w:rFonts w:hint="eastAsia"/>
        </w:rPr>
        <w:t xml:space="preserve">原文称2025年我国研究与试验发展经费投入总量39288.2亿元，同比增长8.2%，总量位居世界第二，投入强度首次超过OECD国家平均水平。该数据支持研发投入继续增长，但不能仅凭总量推导所有科技企业收入；需结合投入结构、财政与企业来源、成果转化和具体行业研发效率。</w:t>
      </w:r>
    </w:p>
    <w:bookmarkEnd w:id="24"/>
    <w:bookmarkStart w:id="25" w:name="Xb4afc9e824985e93f5a53cae35fc35e1dc42a87"/>
    <w:p>
      <w:pPr>
        <w:pStyle w:val="Heading3"/>
      </w:pPr>
      <w:r>
        <w:t xml:space="preserve">13.2 </w:t>
      </w:r>
      <w:r>
        <w:rPr>
          <w:rFonts w:hint="eastAsia"/>
        </w:rPr>
        <w:t xml:space="preserve">船舶工业市场份额连续16年全球领先</w:t>
      </w:r>
    </w:p>
    <w:p>
      <w:pPr>
        <w:pStyle w:val="Compact"/>
        <w:numPr>
          <w:ilvl w:val="0"/>
          <w:numId w:val="1016"/>
        </w:numPr>
      </w:pPr>
      <w:r>
        <w:rPr>
          <w:rFonts w:hint="eastAsia"/>
          <w:b/>
          <w:bCs/>
        </w:rPr>
        <w:t xml:space="preserve">信号强度：★★★★</w:t>
      </w:r>
    </w:p>
    <w:p>
      <w:pPr>
        <w:pStyle w:val="Compact"/>
        <w:numPr>
          <w:ilvl w:val="0"/>
          <w:numId w:val="1016"/>
        </w:numPr>
      </w:pPr>
      <w:r>
        <w:rPr>
          <w:rFonts w:hint="eastAsia"/>
          <w:b/>
          <w:bCs/>
        </w:rPr>
        <w:t xml:space="preserve">A股影响：船舶制造、配套和绿色智能船舶方向偏利好</w:t>
      </w:r>
    </w:p>
    <w:p>
      <w:pPr>
        <w:pStyle w:val="Compact"/>
        <w:numPr>
          <w:ilvl w:val="0"/>
          <w:numId w:val="1016"/>
        </w:numPr>
      </w:pPr>
      <w:r>
        <w:rPr>
          <w:rFonts w:hint="eastAsia"/>
          <w:b/>
          <w:bCs/>
        </w:rPr>
        <w:t xml:space="preserve">关联方向：</w:t>
      </w:r>
      <w:r>
        <w:t xml:space="preserve"> </w:t>
      </w:r>
      <w:r>
        <w:rPr>
          <w:rFonts w:hint="eastAsia"/>
        </w:rPr>
        <w:t xml:space="preserve">船舶制造、船用动力、导航通信、海工配套、绿色燃料与智能航运。</w:t>
      </w:r>
    </w:p>
    <w:p>
      <w:pPr>
        <w:pStyle w:val="FirstParagraph"/>
      </w:pPr>
      <w:r>
        <w:rPr>
          <w:rFonts w:hint="eastAsia"/>
        </w:rPr>
        <w:t xml:space="preserve">报道指出我国船舶工业市场份额连续16年保持全球领先，中资海运船舶接近10万艘、规模4.9亿载重吨，绿色智能船舶应用规模位居世界前列。行业地位构成基本面支撑，但底稿没有新增订单、价格、交付周期和盈利数据，仍需防范周期、原材料、汇率与产能兑现风险。</w:t>
      </w:r>
    </w:p>
    <w:bookmarkEnd w:id="25"/>
    <w:bookmarkStart w:id="26" w:name="X2e3ecdadf299c0c83419c0fa64cebbb631f37a3"/>
    <w:p>
      <w:pPr>
        <w:pStyle w:val="Heading3"/>
      </w:pPr>
      <w:r>
        <w:t xml:space="preserve">13.3 </w:t>
      </w:r>
      <w:r>
        <w:rPr>
          <w:rFonts w:hint="eastAsia"/>
        </w:rPr>
        <w:t xml:space="preserve">博茨瓦纳总统专访预告</w:t>
      </w:r>
    </w:p>
    <w:p>
      <w:pPr>
        <w:pStyle w:val="Compact"/>
        <w:numPr>
          <w:ilvl w:val="0"/>
          <w:numId w:val="1017"/>
        </w:numPr>
      </w:pPr>
      <w:r>
        <w:rPr>
          <w:rFonts w:hint="eastAsia"/>
          <w:b/>
          <w:bCs/>
        </w:rPr>
        <w:t xml:space="preserve">信号强度：★</w:t>
      </w:r>
    </w:p>
    <w:p>
      <w:pPr>
        <w:pStyle w:val="Compact"/>
        <w:numPr>
          <w:ilvl w:val="0"/>
          <w:numId w:val="1017"/>
        </w:numPr>
      </w:pPr>
      <w:r>
        <w:rPr>
          <w:rFonts w:hint="eastAsia"/>
          <w:b/>
          <w:bCs/>
        </w:rPr>
        <w:t xml:space="preserve">A股影响：总体中性</w:t>
      </w:r>
    </w:p>
    <w:p>
      <w:pPr>
        <w:pStyle w:val="Compact"/>
        <w:numPr>
          <w:ilvl w:val="0"/>
          <w:numId w:val="1017"/>
        </w:numPr>
      </w:pPr>
      <w:r>
        <w:rPr>
          <w:rFonts w:hint="eastAsia"/>
          <w:b/>
          <w:bCs/>
        </w:rPr>
        <w:t xml:space="preserve">关联方向：</w:t>
      </w:r>
      <w:r>
        <w:t xml:space="preserve"> </w:t>
      </w:r>
      <w:r>
        <w:rPr>
          <w:rFonts w:hint="eastAsia"/>
        </w:rPr>
        <w:t xml:space="preserve">中非合作的后续观察。</w:t>
      </w:r>
    </w:p>
    <w:p>
      <w:pPr>
        <w:pStyle w:val="FirstParagraph"/>
      </w:pPr>
      <w:r>
        <w:rPr>
          <w:rFonts w:hint="eastAsia"/>
        </w:rPr>
        <w:t xml:space="preserve">该条仅预告《高端访谈》播出并概述博科对四大全球倡议及两国全面战略合作伙伴关系的评价，没有新增项目、协议、贸易数据或企业信息，对A股不构成独立产业催化。</w:t>
      </w:r>
    </w:p>
    <w:bookmarkEnd w:id="26"/>
    <w:bookmarkEnd w:id="27"/>
    <w:bookmarkStart w:id="30" w:name="五国际新闻逐条分析"/>
    <w:p>
      <w:pPr>
        <w:pStyle w:val="Heading2"/>
      </w:pPr>
      <w:r>
        <w:rPr>
          <w:rFonts w:hint="eastAsia"/>
        </w:rPr>
        <w:t xml:space="preserve">五、国际新闻逐条分析</w:t>
      </w:r>
    </w:p>
    <w:bookmarkStart w:id="28" w:name="X73279a4816861ef9579b717067cdb0971c3ec20"/>
    <w:p>
      <w:pPr>
        <w:pStyle w:val="Heading3"/>
      </w:pPr>
      <w:r>
        <w:t xml:space="preserve">14. </w:t>
      </w:r>
      <w:r>
        <w:rPr>
          <w:rFonts w:hint="eastAsia"/>
        </w:rPr>
        <w:t xml:space="preserve">也门与沙特相关冲突升级：机场、港口与地区供应链风险上升</w:t>
      </w:r>
    </w:p>
    <w:p>
      <w:pPr>
        <w:pStyle w:val="Compact"/>
        <w:numPr>
          <w:ilvl w:val="0"/>
          <w:numId w:val="1018"/>
        </w:numPr>
      </w:pPr>
      <w:r>
        <w:rPr>
          <w:rFonts w:hint="eastAsia"/>
          <w:b/>
          <w:bCs/>
        </w:rPr>
        <w:t xml:space="preserve">信号强度：★★★★</w:t>
      </w:r>
    </w:p>
    <w:p>
      <w:pPr>
        <w:pStyle w:val="Compact"/>
        <w:numPr>
          <w:ilvl w:val="0"/>
          <w:numId w:val="1018"/>
        </w:numPr>
      </w:pPr>
      <w:r>
        <w:rPr>
          <w:rFonts w:hint="eastAsia"/>
          <w:b/>
          <w:bCs/>
        </w:rPr>
        <w:t xml:space="preserve">A股影响：能源、航运与防务方向可能获得风险溢价；航空、外贸物流及成本敏感行业可能承压</w:t>
      </w:r>
    </w:p>
    <w:p>
      <w:pPr>
        <w:pStyle w:val="Compact"/>
        <w:numPr>
          <w:ilvl w:val="0"/>
          <w:numId w:val="1018"/>
        </w:numPr>
      </w:pPr>
      <w:r>
        <w:rPr>
          <w:rFonts w:hint="eastAsia"/>
          <w:b/>
          <w:bCs/>
        </w:rPr>
        <w:t xml:space="preserve">影响时效：短期1—3日；若交通节点持续受扰则延长</w:t>
      </w:r>
    </w:p>
    <w:p>
      <w:pPr>
        <w:pStyle w:val="Compact"/>
        <w:numPr>
          <w:ilvl w:val="0"/>
          <w:numId w:val="1018"/>
        </w:numPr>
      </w:pPr>
      <w:r>
        <w:rPr>
          <w:rFonts w:hint="eastAsia"/>
          <w:b/>
          <w:bCs/>
        </w:rPr>
        <w:t xml:space="preserve">可能受益映射：</w:t>
      </w:r>
      <w:r>
        <w:t xml:space="preserve"> </w:t>
      </w:r>
      <w:r>
        <w:rPr>
          <w:rFonts w:hint="eastAsia"/>
        </w:rPr>
        <w:t xml:space="preserve">油气安全、海事安全、防空反导、卫星侦察和替代航线运输。</w:t>
      </w:r>
    </w:p>
    <w:p>
      <w:pPr>
        <w:pStyle w:val="Compact"/>
        <w:numPr>
          <w:ilvl w:val="0"/>
          <w:numId w:val="1018"/>
        </w:numPr>
      </w:pPr>
      <w:r>
        <w:rPr>
          <w:rFonts w:hint="eastAsia"/>
          <w:b/>
          <w:bCs/>
        </w:rPr>
        <w:t xml:space="preserve">可能承压映射：</w:t>
      </w:r>
      <w:r>
        <w:t xml:space="preserve"> </w:t>
      </w:r>
      <w:r>
        <w:rPr>
          <w:rFonts w:hint="eastAsia"/>
        </w:rPr>
        <w:t xml:space="preserve">航空机场、国际物流、燃料成本敏感制造与化工下游。</w:t>
      </w:r>
    </w:p>
    <w:p>
      <w:pPr>
        <w:pStyle w:val="FirstParagraph"/>
      </w:pPr>
      <w:r>
        <w:rPr>
          <w:rFonts w:hint="eastAsia"/>
          <w:b/>
          <w:bCs/>
        </w:rPr>
        <w:t xml:space="preserve">原文事实：</w:t>
      </w:r>
      <w:r>
        <w:t xml:space="preserve"> </w:t>
      </w:r>
      <w:r>
        <w:rPr>
          <w:rFonts w:hint="eastAsia"/>
        </w:rPr>
        <w:t xml:space="preserve">也门政府官员称胡塞武装向亚丁总统府发射多枚导弹，造成5人死亡、16人受伤；胡塞武装称目标是沙特位于亚丁的军事行动指挥部。沙特主导的多国联军称本月利雅得机场遭袭20次，造成17人死亡、333人受伤，并称摧毁相关仓库和发射装置；胡塞武装称沙特对也门发动超过2350次空袭和导弹袭击，并将自身行动称为防御性质。</w:t>
      </w:r>
    </w:p>
    <w:p>
      <w:pPr>
        <w:pStyle w:val="BodyText"/>
      </w:pPr>
      <w:r>
        <w:rPr>
          <w:rFonts w:hint="eastAsia"/>
          <w:b/>
          <w:bCs/>
        </w:rPr>
        <w:t xml:space="preserve">分析：</w:t>
      </w:r>
      <w:r>
        <w:t xml:space="preserve"> </w:t>
      </w:r>
      <w:r>
        <w:rPr>
          <w:rFonts w:hint="eastAsia"/>
        </w:rPr>
        <w:t xml:space="preserve">以上均为冲突各方口径，报告不将其改写为独立核验结论。风险溢价是否持续，要看机场、港口、航线和能源供应是否真实受限，以及油价、运价和保险成本是否持续变化；底稿未提供这些市场数据。</w:t>
      </w:r>
    </w:p>
    <w:bookmarkEnd w:id="28"/>
    <w:bookmarkStart w:id="29" w:name="X7de67632e46f7e2fb840fc124d598572d005558"/>
    <w:p>
      <w:pPr>
        <w:pStyle w:val="Heading3"/>
      </w:pPr>
      <w:r>
        <w:t xml:space="preserve">15. </w:t>
      </w:r>
      <w:r>
        <w:rPr>
          <w:rFonts w:hint="eastAsia"/>
        </w:rPr>
        <w:t xml:space="preserve">三位中国女性获粮农组织表彰：治沙、乡村工匠与农机合作社获国际认可</w:t>
      </w:r>
    </w:p>
    <w:p>
      <w:pPr>
        <w:pStyle w:val="Compact"/>
        <w:numPr>
          <w:ilvl w:val="0"/>
          <w:numId w:val="1019"/>
        </w:numPr>
      </w:pPr>
      <w:r>
        <w:rPr>
          <w:rFonts w:hint="eastAsia"/>
          <w:b/>
          <w:bCs/>
        </w:rPr>
        <w:t xml:space="preserve">信号强度：★★</w:t>
      </w:r>
    </w:p>
    <w:p>
      <w:pPr>
        <w:pStyle w:val="Compact"/>
        <w:numPr>
          <w:ilvl w:val="0"/>
          <w:numId w:val="1019"/>
        </w:numPr>
      </w:pPr>
      <w:r>
        <w:rPr>
          <w:rFonts w:hint="eastAsia"/>
          <w:b/>
          <w:bCs/>
        </w:rPr>
        <w:t xml:space="preserve">A股影响：直接影响弱，长期关联乡村振兴与农业社会化服务</w:t>
      </w:r>
    </w:p>
    <w:p>
      <w:pPr>
        <w:pStyle w:val="Compact"/>
        <w:numPr>
          <w:ilvl w:val="0"/>
          <w:numId w:val="1019"/>
        </w:numPr>
      </w:pPr>
      <w:r>
        <w:rPr>
          <w:rFonts w:hint="eastAsia"/>
          <w:b/>
          <w:bCs/>
        </w:rPr>
        <w:t xml:space="preserve">影响时效：长期</w:t>
      </w:r>
    </w:p>
    <w:p>
      <w:pPr>
        <w:pStyle w:val="Compact"/>
        <w:numPr>
          <w:ilvl w:val="0"/>
          <w:numId w:val="1019"/>
        </w:numPr>
      </w:pPr>
      <w:r>
        <w:rPr>
          <w:rFonts w:hint="eastAsia"/>
          <w:b/>
          <w:bCs/>
        </w:rPr>
        <w:t xml:space="preserve">关联方向：</w:t>
      </w:r>
      <w:r>
        <w:t xml:space="preserve"> </w:t>
      </w:r>
      <w:r>
        <w:rPr>
          <w:rFonts w:hint="eastAsia"/>
        </w:rPr>
        <w:t xml:space="preserve">生态治沙、乡村工匠培训、农机服务、农村合作社和女性发展。</w:t>
      </w:r>
    </w:p>
    <w:p>
      <w:pPr>
        <w:pStyle w:val="FirstParagraph"/>
      </w:pPr>
      <w:r>
        <w:rPr>
          <w:rFonts w:hint="eastAsia"/>
        </w:rPr>
        <w:t xml:space="preserve">联合国粮农组织表彰农业粮食体系与农村发展领域百位女性，三位中国获奖者分别来自治沙、乡村工匠和农机专业合作社领域。该条是荣誉和示范性事件，没有新增产业政策、财政投入、采购或企业订单，不应外推为短线板块利好。</w:t>
      </w:r>
    </w:p>
    <w:bookmarkEnd w:id="29"/>
    <w:bookmarkEnd w:id="30"/>
    <w:bookmarkStart w:id="34" w:name="六国际联播快讯逐项分析"/>
    <w:p>
      <w:pPr>
        <w:pStyle w:val="Heading2"/>
      </w:pPr>
      <w:r>
        <w:rPr>
          <w:rFonts w:hint="eastAsia"/>
        </w:rPr>
        <w:t xml:space="preserve">六、国际联播快讯逐项分析</w:t>
      </w:r>
    </w:p>
    <w:bookmarkStart w:id="31" w:name="Xfb412f7ce4be0ee6b13ad5595c17b8daeeacbfa"/>
    <w:p>
      <w:pPr>
        <w:pStyle w:val="Heading3"/>
      </w:pPr>
      <w:r>
        <w:t xml:space="preserve">16.1 </w:t>
      </w:r>
      <w:r>
        <w:rPr>
          <w:rFonts w:hint="eastAsia"/>
        </w:rPr>
        <w:t xml:space="preserve">俄日围绕涉嫌间谍活动人员交涉</w:t>
      </w:r>
    </w:p>
    <w:p>
      <w:pPr>
        <w:pStyle w:val="Compact"/>
        <w:numPr>
          <w:ilvl w:val="0"/>
          <w:numId w:val="1020"/>
        </w:numPr>
      </w:pPr>
      <w:r>
        <w:rPr>
          <w:rFonts w:hint="eastAsia"/>
          <w:b/>
          <w:bCs/>
        </w:rPr>
        <w:t xml:space="preserve">信号强度：★</w:t>
      </w:r>
    </w:p>
    <w:p>
      <w:pPr>
        <w:pStyle w:val="Compact"/>
        <w:numPr>
          <w:ilvl w:val="0"/>
          <w:numId w:val="1020"/>
        </w:numPr>
      </w:pPr>
      <w:r>
        <w:rPr>
          <w:rFonts w:hint="eastAsia"/>
          <w:b/>
          <w:bCs/>
        </w:rPr>
        <w:t xml:space="preserve">A股影响：总体中性</w:t>
      </w:r>
    </w:p>
    <w:p>
      <w:pPr>
        <w:pStyle w:val="Compact"/>
        <w:numPr>
          <w:ilvl w:val="0"/>
          <w:numId w:val="1020"/>
        </w:numPr>
      </w:pPr>
      <w:r>
        <w:rPr>
          <w:rFonts w:hint="eastAsia"/>
          <w:b/>
          <w:bCs/>
        </w:rPr>
        <w:t xml:space="preserve">关联方向：</w:t>
      </w:r>
      <w:r>
        <w:t xml:space="preserve"> </w:t>
      </w:r>
      <w:r>
        <w:rPr>
          <w:rFonts w:hint="eastAsia"/>
        </w:rPr>
        <w:t xml:space="preserve">俄日外交风险观察。</w:t>
      </w:r>
    </w:p>
    <w:p>
      <w:pPr>
        <w:pStyle w:val="FirstParagraph"/>
      </w:pPr>
      <w:r>
        <w:rPr>
          <w:rFonts w:hint="eastAsia"/>
        </w:rPr>
        <w:t xml:space="preserve">俄方反对日方就一名日本记者在俄被捕提出的交涉，日方要求俄方提供相关信息。该事件主要涉及俄日外交与安全争议，底稿没有中国贸易、产业链或企业敞口信息，不宜外推为A股行业机会。</w:t>
      </w:r>
    </w:p>
    <w:bookmarkEnd w:id="31"/>
    <w:bookmarkStart w:id="32" w:name="Xd53786374d9434b86621dc12ca47b02714057a5"/>
    <w:p>
      <w:pPr>
        <w:pStyle w:val="Heading3"/>
      </w:pPr>
      <w:r>
        <w:t xml:space="preserve">16.2 </w:t>
      </w:r>
      <w:r>
        <w:rPr>
          <w:rFonts w:hint="eastAsia"/>
        </w:rPr>
        <w:t xml:space="preserve">美国高油价推升物价压力，PPI涨幅超预期</w:t>
      </w:r>
    </w:p>
    <w:p>
      <w:pPr>
        <w:pStyle w:val="Compact"/>
        <w:numPr>
          <w:ilvl w:val="0"/>
          <w:numId w:val="1021"/>
        </w:numPr>
      </w:pPr>
      <w:r>
        <w:rPr>
          <w:rFonts w:hint="eastAsia"/>
          <w:b/>
          <w:bCs/>
        </w:rPr>
        <w:t xml:space="preserve">信号强度：★★★★</w:t>
      </w:r>
    </w:p>
    <w:p>
      <w:pPr>
        <w:pStyle w:val="Compact"/>
        <w:numPr>
          <w:ilvl w:val="0"/>
          <w:numId w:val="1021"/>
        </w:numPr>
      </w:pPr>
      <w:r>
        <w:rPr>
          <w:rFonts w:hint="eastAsia"/>
          <w:b/>
          <w:bCs/>
        </w:rPr>
        <w:t xml:space="preserve">A股影响：海外流动性和成本端偏空；油气与通胀对冲方向相对占优</w:t>
      </w:r>
    </w:p>
    <w:p>
      <w:pPr>
        <w:pStyle w:val="Compact"/>
        <w:numPr>
          <w:ilvl w:val="0"/>
          <w:numId w:val="1021"/>
        </w:numPr>
      </w:pPr>
      <w:r>
        <w:rPr>
          <w:rFonts w:hint="eastAsia"/>
          <w:b/>
          <w:bCs/>
        </w:rPr>
        <w:t xml:space="preserve">关联方向：</w:t>
      </w:r>
      <w:r>
        <w:t xml:space="preserve"> </w:t>
      </w:r>
      <w:r>
        <w:rPr>
          <w:rFonts w:hint="eastAsia"/>
        </w:rPr>
        <w:t xml:space="preserve">油气、黄金、出口链、高估值成长、航空运输和化工下游。</w:t>
      </w:r>
    </w:p>
    <w:p>
      <w:pPr>
        <w:pStyle w:val="FirstParagraph"/>
      </w:pPr>
      <w:r>
        <w:rPr>
          <w:rFonts w:hint="eastAsia"/>
        </w:rPr>
        <w:t xml:space="preserve">美联储褐皮书显示，报告期内高油价令美国面临广泛物价上涨压力；12个联储区中3个物价强劲上涨、8个温和上涨、1个涨幅较小，4个地区报告物价增速加快。美国9月PPI环比和同比涨幅均明显扩大并超预期。其对A股的传导需经过油价、美元、美国利率和全球风险偏好，底稿未提供这些市场变量，不能断言市场已经完成定价。</w:t>
      </w:r>
    </w:p>
    <w:bookmarkEnd w:id="32"/>
    <w:bookmarkStart w:id="33" w:name="X6cc21a004fcc383f3747ccb1f9e7dd55c44de3f"/>
    <w:p>
      <w:pPr>
        <w:pStyle w:val="Heading3"/>
      </w:pPr>
      <w:r>
        <w:t xml:space="preserve">16.3 </w:t>
      </w:r>
      <w:r>
        <w:rPr>
          <w:rFonts w:hint="eastAsia"/>
        </w:rPr>
        <w:t xml:space="preserve">国际计量大会决定取消闰秒：关键基础设施时间同步规则将调整</w:t>
      </w:r>
    </w:p>
    <w:p>
      <w:pPr>
        <w:pStyle w:val="Compact"/>
        <w:numPr>
          <w:ilvl w:val="0"/>
          <w:numId w:val="1022"/>
        </w:numPr>
      </w:pPr>
      <w:r>
        <w:rPr>
          <w:rFonts w:hint="eastAsia"/>
          <w:b/>
          <w:bCs/>
        </w:rPr>
        <w:t xml:space="preserve">信号强度：★★★</w:t>
      </w:r>
    </w:p>
    <w:p>
      <w:pPr>
        <w:pStyle w:val="Compact"/>
        <w:numPr>
          <w:ilvl w:val="0"/>
          <w:numId w:val="1022"/>
        </w:numPr>
      </w:pPr>
      <w:r>
        <w:rPr>
          <w:rFonts w:hint="eastAsia"/>
          <w:b/>
          <w:bCs/>
        </w:rPr>
        <w:t xml:space="preserve">A股影响：长期利好高精度授时和基础设施时钟系统改造预期，短期影响有限</w:t>
      </w:r>
    </w:p>
    <w:p>
      <w:pPr>
        <w:pStyle w:val="Compact"/>
        <w:numPr>
          <w:ilvl w:val="0"/>
          <w:numId w:val="1022"/>
        </w:numPr>
      </w:pPr>
      <w:r>
        <w:rPr>
          <w:rFonts w:hint="eastAsia"/>
          <w:b/>
          <w:bCs/>
        </w:rPr>
        <w:t xml:space="preserve">关联方向：</w:t>
      </w:r>
      <w:r>
        <w:t xml:space="preserve"> </w:t>
      </w:r>
      <w:r>
        <w:rPr>
          <w:rFonts w:hint="eastAsia"/>
        </w:rPr>
        <w:t xml:space="preserve">北斗授时、原子钟、时间同步设备、通信网络、能源调度、交通信息系统和金融IT。</w:t>
      </w:r>
    </w:p>
    <w:p>
      <w:pPr>
        <w:pStyle w:val="FirstParagraph"/>
      </w:pPr>
      <w:r>
        <w:rPr>
          <w:rFonts w:hint="eastAsia"/>
        </w:rPr>
        <w:t xml:space="preserve">原文称自2027年5月20日起实施“连续协调世界时”，协调世界时不再通过增减闰秒调整，未来允许时差最大值设为1小时。闰秒曾对依赖精确、连续时间同步的交通、能源、电信等关键基础设施造成干扰。该规则变化提供系统适配和长期运维场景，但底稿没有国内改造计划、技术路线、预算或供应商名单，不能确认近期订单。</w:t>
      </w:r>
    </w:p>
    <w:bookmarkEnd w:id="33"/>
    <w:bookmarkEnd w:id="34"/>
    <w:bookmarkStart w:id="35" w:name="七板块影响汇总"/>
    <w:p>
      <w:pPr>
        <w:pStyle w:val="Heading2"/>
      </w:pPr>
      <w:r>
        <w:rPr>
          <w:rFonts w:hint="eastAsia"/>
        </w:rPr>
        <w:t xml:space="preserve">七、板块影响汇总</w:t>
      </w:r>
    </w:p>
    <w:tbl>
      <w:tblPr>
        <w:tblStyle w:val="Table"/>
        <w:tblW w:type="auto" w:w="0"/>
        <w:tblLook w:firstRow="1" w:lastRow="0" w:firstColumn="0" w:lastColumn="0" w:noHBand="0" w:noVBand="0" w:val="0020"/>
      </w:tblPr>
      <w:tblGrid>
        <w:gridCol w:w="1584"/>
        <w:gridCol w:w="1584"/>
        <w:gridCol w:w="1584"/>
        <w:gridCol w:w="1584"/>
        <w:gridCol w:w="1584"/>
      </w:tblGrid>
      <w:tr>
        <w:trPr>
          <w:tblHeader w:val="on"/>
        </w:trPr>
        <w:tc>
          <w:tcPr/>
          <w:p>
            <w:pPr>
              <w:pStyle w:val="Compact"/>
            </w:pPr>
            <w:r>
              <w:rPr>
                <w:rFonts w:hint="eastAsia"/>
              </w:rPr>
              <w:t xml:space="preserve">板块</w:t>
            </w:r>
          </w:p>
        </w:tc>
        <w:tc>
          <w:tcPr/>
          <w:p>
            <w:pPr>
              <w:pStyle w:val="Compact"/>
            </w:pPr>
            <w:r>
              <w:rPr>
                <w:rFonts w:hint="eastAsia"/>
              </w:rPr>
              <w:t xml:space="preserve">影响判断</w:t>
            </w:r>
          </w:p>
        </w:tc>
        <w:tc>
          <w:tcPr/>
          <w:p>
            <w:pPr>
              <w:pStyle w:val="Compact"/>
            </w:pPr>
            <w:r>
              <w:rPr>
                <w:rFonts w:hint="eastAsia"/>
              </w:rPr>
              <w:t xml:space="preserve">驱动新闻</w:t>
            </w:r>
          </w:p>
        </w:tc>
        <w:tc>
          <w:tcPr/>
          <w:p>
            <w:pPr>
              <w:pStyle w:val="Compact"/>
              <w:jc w:val="right"/>
            </w:pPr>
            <w:r>
              <w:rPr>
                <w:rFonts w:hint="eastAsia"/>
              </w:rPr>
              <w:t xml:space="preserve">信号强度</w:t>
            </w:r>
          </w:p>
        </w:tc>
        <w:tc>
          <w:tcPr/>
          <w:p>
            <w:pPr>
              <w:pStyle w:val="Compact"/>
            </w:pPr>
            <w:r>
              <w:rPr>
                <w:rFonts w:hint="eastAsia"/>
              </w:rPr>
              <w:t xml:space="preserve">兑现条件</w:t>
            </w:r>
          </w:p>
        </w:tc>
      </w:tr>
      <w:tr>
        <w:tc>
          <w:tcPr/>
          <w:p>
            <w:pPr>
              <w:pStyle w:val="Compact"/>
            </w:pPr>
            <w:r>
              <w:rPr>
                <w:rFonts w:hint="eastAsia"/>
              </w:rPr>
              <w:t xml:space="preserve">绿色算力/数据中心/算力调度</w:t>
            </w:r>
          </w:p>
        </w:tc>
        <w:tc>
          <w:tcPr/>
          <w:p>
            <w:pPr>
              <w:pStyle w:val="Compact"/>
            </w:pPr>
            <w:r>
              <w:rPr>
                <w:rFonts w:hint="eastAsia"/>
              </w:rPr>
              <w:t xml:space="preserve">中长期结构性利好</w:t>
            </w:r>
          </w:p>
        </w:tc>
        <w:tc>
          <w:tcPr/>
          <w:p>
            <w:pPr>
              <w:pStyle w:val="Compact"/>
            </w:pPr>
            <w:r>
              <w:rPr>
                <w:rFonts w:hint="eastAsia"/>
              </w:rPr>
              <w:t xml:space="preserve">乌兰察布考察、“东数西算”、全国一体化算力网</w:t>
            </w:r>
          </w:p>
        </w:tc>
        <w:tc>
          <w:tcPr/>
          <w:p>
            <w:pPr>
              <w:pStyle w:val="Compact"/>
              <w:jc w:val="right"/>
            </w:pPr>
            <w:r>
              <w:t xml:space="preserve">★★★★★</w:t>
            </w:r>
          </w:p>
        </w:tc>
        <w:tc>
          <w:tcPr/>
          <w:p>
            <w:pPr>
              <w:pStyle w:val="Compact"/>
            </w:pPr>
            <w:r>
              <w:rPr>
                <w:rFonts w:hint="eastAsia"/>
              </w:rPr>
              <w:t xml:space="preserve">项目清单、利用率、绿电与能水效率、设备订单</w:t>
            </w:r>
          </w:p>
        </w:tc>
      </w:tr>
      <w:tr>
        <w:tc>
          <w:tcPr/>
          <w:p>
            <w:pPr>
              <w:pStyle w:val="Compact"/>
            </w:pPr>
            <w:r>
              <w:rPr>
                <w:rFonts w:hint="eastAsia"/>
              </w:rPr>
              <w:t xml:space="preserve">AI基础软硬件/算法/行业应用</w:t>
            </w:r>
          </w:p>
        </w:tc>
        <w:tc>
          <w:tcPr/>
          <w:p>
            <w:pPr>
              <w:pStyle w:val="Compact"/>
            </w:pPr>
            <w:r>
              <w:rPr>
                <w:rFonts w:hint="eastAsia"/>
              </w:rPr>
              <w:t xml:space="preserve">结构性利好</w:t>
            </w:r>
          </w:p>
        </w:tc>
        <w:tc>
          <w:tcPr/>
          <w:p>
            <w:pPr>
              <w:pStyle w:val="Compact"/>
            </w:pPr>
            <w:r>
              <w:rPr>
                <w:rFonts w:hint="eastAsia"/>
              </w:rPr>
              <w:t xml:space="preserve">国常会部署“人工智能+”</w:t>
            </w:r>
          </w:p>
        </w:tc>
        <w:tc>
          <w:tcPr/>
          <w:p>
            <w:pPr>
              <w:pStyle w:val="Compact"/>
              <w:jc w:val="right"/>
            </w:pPr>
            <w:r>
              <w:t xml:space="preserve">★★★★★</w:t>
            </w:r>
          </w:p>
        </w:tc>
        <w:tc>
          <w:tcPr/>
          <w:p>
            <w:pPr>
              <w:pStyle w:val="Compact"/>
            </w:pPr>
            <w:r>
              <w:rPr>
                <w:rFonts w:hint="eastAsia"/>
              </w:rPr>
              <w:t xml:space="preserve">技术突破、联合研发、中试、付费场景和收入</w:t>
            </w:r>
          </w:p>
        </w:tc>
      </w:tr>
      <w:tr>
        <w:tc>
          <w:tcPr/>
          <w:p>
            <w:pPr>
              <w:pStyle w:val="Compact"/>
            </w:pPr>
            <w:r>
              <w:rPr>
                <w:rFonts w:hint="eastAsia"/>
              </w:rPr>
              <w:t xml:space="preserve">高质量数据/数据治理/AI安全</w:t>
            </w:r>
          </w:p>
        </w:tc>
        <w:tc>
          <w:tcPr/>
          <w:p>
            <w:pPr>
              <w:pStyle w:val="Compact"/>
            </w:pPr>
            <w:r>
              <w:rPr>
                <w:rFonts w:hint="eastAsia"/>
              </w:rPr>
              <w:t xml:space="preserve">政策利好</w:t>
            </w:r>
          </w:p>
        </w:tc>
        <w:tc>
          <w:tcPr/>
          <w:p>
            <w:pPr>
              <w:pStyle w:val="Compact"/>
            </w:pPr>
            <w:r>
              <w:rPr>
                <w:rFonts w:hint="eastAsia"/>
              </w:rPr>
              <w:t xml:space="preserve">数据供给、分级分类安全治理</w:t>
            </w:r>
          </w:p>
        </w:tc>
        <w:tc>
          <w:tcPr/>
          <w:p>
            <w:pPr>
              <w:pStyle w:val="Compact"/>
              <w:jc w:val="right"/>
            </w:pPr>
            <w:r>
              <w:t xml:space="preserve">★★★★</w:t>
            </w:r>
          </w:p>
        </w:tc>
        <w:tc>
          <w:tcPr/>
          <w:p>
            <w:pPr>
              <w:pStyle w:val="Compact"/>
            </w:pPr>
            <w:r>
              <w:rPr>
                <w:rFonts w:hint="eastAsia"/>
              </w:rPr>
              <w:t xml:space="preserve">标准、授权、数据质量、采购与安全合规</w:t>
            </w:r>
          </w:p>
        </w:tc>
      </w:tr>
      <w:tr>
        <w:tc>
          <w:tcPr/>
          <w:p>
            <w:pPr>
              <w:pStyle w:val="Compact"/>
            </w:pPr>
            <w:r>
              <w:rPr>
                <w:rFonts w:hint="eastAsia"/>
              </w:rPr>
              <w:t xml:space="preserve">电网/绿电/储能/节能设备</w:t>
            </w:r>
          </w:p>
        </w:tc>
        <w:tc>
          <w:tcPr/>
          <w:p>
            <w:pPr>
              <w:pStyle w:val="Compact"/>
            </w:pPr>
            <w:r>
              <w:rPr>
                <w:rFonts w:hint="eastAsia"/>
              </w:rPr>
              <w:t xml:space="preserve">中长期利好</w:t>
            </w:r>
          </w:p>
        </w:tc>
        <w:tc>
          <w:tcPr/>
          <w:p>
            <w:pPr>
              <w:pStyle w:val="Compact"/>
            </w:pPr>
            <w:r>
              <w:rPr>
                <w:rFonts w:hint="eastAsia"/>
              </w:rPr>
              <w:t xml:space="preserve">算电协同、青海清洁能源、新型储能展品</w:t>
            </w:r>
          </w:p>
        </w:tc>
        <w:tc>
          <w:tcPr/>
          <w:p>
            <w:pPr>
              <w:pStyle w:val="Compact"/>
              <w:jc w:val="right"/>
            </w:pPr>
            <w:r>
              <w:t xml:space="preserve">★★★★</w:t>
            </w:r>
          </w:p>
        </w:tc>
        <w:tc>
          <w:tcPr/>
          <w:p>
            <w:pPr>
              <w:pStyle w:val="Compact"/>
            </w:pPr>
            <w:r>
              <w:rPr>
                <w:rFonts w:hint="eastAsia"/>
              </w:rPr>
              <w:t xml:space="preserve">电源电网项目、消纳、储能收益与资本开支</w:t>
            </w:r>
          </w:p>
        </w:tc>
      </w:tr>
      <w:tr>
        <w:tc>
          <w:tcPr/>
          <w:p>
            <w:pPr>
              <w:pStyle w:val="Compact"/>
            </w:pPr>
            <w:r>
              <w:rPr>
                <w:rFonts w:hint="eastAsia"/>
              </w:rPr>
              <w:t xml:space="preserve">生态修复/环境监测</w:t>
            </w:r>
          </w:p>
        </w:tc>
        <w:tc>
          <w:tcPr/>
          <w:p>
            <w:pPr>
              <w:pStyle w:val="Compact"/>
            </w:pPr>
            <w:r>
              <w:rPr>
                <w:rFonts w:hint="eastAsia"/>
              </w:rPr>
              <w:t xml:space="preserve">长期利好</w:t>
            </w:r>
          </w:p>
        </w:tc>
        <w:tc>
          <w:tcPr/>
          <w:p>
            <w:pPr>
              <w:pStyle w:val="Compact"/>
            </w:pPr>
            <w:r>
              <w:rPr>
                <w:rFonts w:hint="eastAsia"/>
              </w:rPr>
              <w:t xml:space="preserve">黄旗海湿地保护、青海生态产业</w:t>
            </w:r>
          </w:p>
        </w:tc>
        <w:tc>
          <w:tcPr/>
          <w:p>
            <w:pPr>
              <w:pStyle w:val="Compact"/>
              <w:jc w:val="right"/>
            </w:pPr>
            <w:r>
              <w:t xml:space="preserve">★★★★</w:t>
            </w:r>
          </w:p>
        </w:tc>
        <w:tc>
          <w:tcPr/>
          <w:p>
            <w:pPr>
              <w:pStyle w:val="Compact"/>
            </w:pPr>
            <w:r>
              <w:rPr>
                <w:rFonts w:hint="eastAsia"/>
              </w:rPr>
              <w:t xml:space="preserve">预算、项目招标、验收与运维</w:t>
            </w:r>
          </w:p>
        </w:tc>
      </w:tr>
      <w:tr>
        <w:tc>
          <w:tcPr/>
          <w:p>
            <w:pPr>
              <w:pStyle w:val="Compact"/>
            </w:pPr>
            <w:r>
              <w:rPr>
                <w:rFonts w:hint="eastAsia"/>
              </w:rPr>
              <w:t xml:space="preserve">反内卷价格治理</w:t>
            </w:r>
          </w:p>
        </w:tc>
        <w:tc>
          <w:tcPr/>
          <w:p>
            <w:pPr>
              <w:pStyle w:val="Compact"/>
            </w:pPr>
            <w:r>
              <w:rPr>
                <w:rFonts w:hint="eastAsia"/>
              </w:rPr>
              <w:t xml:space="preserve">制度性利好、行业分化</w:t>
            </w:r>
          </w:p>
        </w:tc>
        <w:tc>
          <w:tcPr/>
          <w:p>
            <w:pPr>
              <w:pStyle w:val="Compact"/>
            </w:pPr>
            <w:r>
              <w:rPr>
                <w:rFonts w:hint="eastAsia"/>
              </w:rPr>
              <w:t xml:space="preserve">价格法修正、治理低价无序竞争</w:t>
            </w:r>
          </w:p>
        </w:tc>
        <w:tc>
          <w:tcPr/>
          <w:p>
            <w:pPr>
              <w:pStyle w:val="Compact"/>
              <w:jc w:val="right"/>
            </w:pPr>
            <w:r>
              <w:t xml:space="preserve">★★★★</w:t>
            </w:r>
          </w:p>
        </w:tc>
        <w:tc>
          <w:tcPr/>
          <w:p>
            <w:pPr>
              <w:pStyle w:val="Compact"/>
            </w:pPr>
            <w:r>
              <w:rPr>
                <w:rFonts w:hint="eastAsia"/>
              </w:rPr>
              <w:t xml:space="preserve">法律审议、成本调查规则、执法和供给出清</w:t>
            </w:r>
          </w:p>
        </w:tc>
      </w:tr>
      <w:tr>
        <w:tc>
          <w:tcPr/>
          <w:p>
            <w:pPr>
              <w:pStyle w:val="Compact"/>
            </w:pPr>
            <w:r>
              <w:rPr>
                <w:rFonts w:hint="eastAsia"/>
              </w:rPr>
              <w:t xml:space="preserve">平台经济</w:t>
            </w:r>
          </w:p>
        </w:tc>
        <w:tc>
          <w:tcPr/>
          <w:p>
            <w:pPr>
              <w:pStyle w:val="Compact"/>
            </w:pPr>
            <w:r>
              <w:rPr>
                <w:rFonts w:hint="eastAsia"/>
              </w:rPr>
              <w:t xml:space="preserve">合规约束提高</w:t>
            </w:r>
          </w:p>
        </w:tc>
        <w:tc>
          <w:tcPr/>
          <w:p>
            <w:pPr>
              <w:pStyle w:val="Compact"/>
            </w:pPr>
            <w:r>
              <w:rPr>
                <w:rFonts w:hint="eastAsia"/>
              </w:rPr>
              <w:t xml:space="preserve">规范平台价格竞争</w:t>
            </w:r>
          </w:p>
        </w:tc>
        <w:tc>
          <w:tcPr/>
          <w:p>
            <w:pPr>
              <w:pStyle w:val="Compact"/>
              <w:jc w:val="right"/>
            </w:pPr>
            <w:r>
              <w:t xml:space="preserve">★★★★</w:t>
            </w:r>
          </w:p>
        </w:tc>
        <w:tc>
          <w:tcPr/>
          <w:p>
            <w:pPr>
              <w:pStyle w:val="Compact"/>
            </w:pPr>
            <w:r>
              <w:rPr>
                <w:rFonts w:hint="eastAsia"/>
              </w:rPr>
              <w:t xml:space="preserve">行为认定标准、执法尺度与商业模式调整</w:t>
            </w:r>
          </w:p>
        </w:tc>
      </w:tr>
      <w:tr>
        <w:tc>
          <w:tcPr/>
          <w:p>
            <w:pPr>
              <w:pStyle w:val="Compact"/>
            </w:pPr>
            <w:r>
              <w:rPr>
                <w:rFonts w:hint="eastAsia"/>
              </w:rPr>
              <w:t xml:space="preserve">职业教育/实训设备</w:t>
            </w:r>
          </w:p>
        </w:tc>
        <w:tc>
          <w:tcPr/>
          <w:p>
            <w:pPr>
              <w:pStyle w:val="Compact"/>
            </w:pPr>
            <w:r>
              <w:rPr>
                <w:rFonts w:hint="eastAsia"/>
              </w:rPr>
              <w:t xml:space="preserve">中长期偏利好</w:t>
            </w:r>
          </w:p>
        </w:tc>
        <w:tc>
          <w:tcPr/>
          <w:p>
            <w:pPr>
              <w:pStyle w:val="Compact"/>
            </w:pPr>
            <w:r>
              <w:rPr>
                <w:rFonts w:hint="eastAsia"/>
              </w:rPr>
              <w:t xml:space="preserve">世界职业技术教育发展大会</w:t>
            </w:r>
          </w:p>
        </w:tc>
        <w:tc>
          <w:tcPr/>
          <w:p>
            <w:pPr>
              <w:pStyle w:val="Compact"/>
              <w:jc w:val="right"/>
            </w:pPr>
            <w:r>
              <w:t xml:space="preserve">★★★★</w:t>
            </w:r>
          </w:p>
        </w:tc>
        <w:tc>
          <w:tcPr/>
          <w:p>
            <w:pPr>
              <w:pStyle w:val="Compact"/>
            </w:pPr>
            <w:r>
              <w:rPr>
                <w:rFonts w:hint="eastAsia"/>
              </w:rPr>
              <w:t xml:space="preserve">产教融合项目、招生付费和设备采购</w:t>
            </w:r>
          </w:p>
        </w:tc>
      </w:tr>
      <w:tr>
        <w:tc>
          <w:tcPr/>
          <w:p>
            <w:pPr>
              <w:pStyle w:val="Compact"/>
            </w:pPr>
            <w:r>
              <w:rPr>
                <w:rFonts w:hint="eastAsia"/>
              </w:rPr>
              <w:t xml:space="preserve">普惠养老/养老信息化</w:t>
            </w:r>
          </w:p>
        </w:tc>
        <w:tc>
          <w:tcPr/>
          <w:p>
            <w:pPr>
              <w:pStyle w:val="Compact"/>
            </w:pPr>
            <w:r>
              <w:rPr>
                <w:rFonts w:hint="eastAsia"/>
              </w:rPr>
              <w:t xml:space="preserve">中长期偏利好</w:t>
            </w:r>
          </w:p>
        </w:tc>
        <w:tc>
          <w:tcPr/>
          <w:p>
            <w:pPr>
              <w:pStyle w:val="Compact"/>
            </w:pPr>
            <w:r>
              <w:rPr>
                <w:rFonts w:hint="eastAsia"/>
              </w:rPr>
              <w:t xml:space="preserve">养老服务分类价格与收费清单</w:t>
            </w:r>
          </w:p>
        </w:tc>
        <w:tc>
          <w:tcPr/>
          <w:p>
            <w:pPr>
              <w:pStyle w:val="Compact"/>
              <w:jc w:val="right"/>
            </w:pPr>
            <w:r>
              <w:t xml:space="preserve">★★★★</w:t>
            </w:r>
          </w:p>
        </w:tc>
        <w:tc>
          <w:tcPr/>
          <w:p>
            <w:pPr>
              <w:pStyle w:val="Compact"/>
            </w:pPr>
            <w:r>
              <w:rPr>
                <w:rFonts w:hint="eastAsia"/>
              </w:rPr>
              <w:t xml:space="preserve">地方细则、补贴、床位利用率和服务质量</w:t>
            </w:r>
          </w:p>
        </w:tc>
      </w:tr>
      <w:tr>
        <w:tc>
          <w:tcPr/>
          <w:p>
            <w:pPr>
              <w:pStyle w:val="Compact"/>
            </w:pPr>
            <w:r>
              <w:rPr>
                <w:rFonts w:hint="eastAsia"/>
              </w:rPr>
              <w:t xml:space="preserve">智能粮仓/粮情监测/绿色储粮</w:t>
            </w:r>
          </w:p>
        </w:tc>
        <w:tc>
          <w:tcPr/>
          <w:p>
            <w:pPr>
              <w:pStyle w:val="Compact"/>
            </w:pPr>
            <w:r>
              <w:rPr>
                <w:rFonts w:hint="eastAsia"/>
              </w:rPr>
              <w:t xml:space="preserve">中长期利好</w:t>
            </w:r>
          </w:p>
        </w:tc>
        <w:tc>
          <w:tcPr/>
          <w:p>
            <w:pPr>
              <w:pStyle w:val="Compact"/>
            </w:pPr>
            <w:r>
              <w:rPr>
                <w:rFonts w:hint="eastAsia"/>
              </w:rPr>
              <w:t xml:space="preserve">高标准粮仓、100个以上示范点</w:t>
            </w:r>
          </w:p>
        </w:tc>
        <w:tc>
          <w:tcPr/>
          <w:p>
            <w:pPr>
              <w:pStyle w:val="Compact"/>
              <w:jc w:val="right"/>
            </w:pPr>
            <w:r>
              <w:t xml:space="preserve">★★★★</w:t>
            </w:r>
          </w:p>
        </w:tc>
        <w:tc>
          <w:tcPr/>
          <w:p>
            <w:pPr>
              <w:pStyle w:val="Compact"/>
            </w:pPr>
            <w:r>
              <w:rPr>
                <w:rFonts w:hint="eastAsia"/>
              </w:rPr>
              <w:t xml:space="preserve">招标、设备更新、运维和技术复制</w:t>
            </w:r>
          </w:p>
        </w:tc>
      </w:tr>
      <w:tr>
        <w:tc>
          <w:tcPr/>
          <w:p>
            <w:pPr>
              <w:pStyle w:val="Compact"/>
            </w:pPr>
            <w:r>
              <w:rPr>
                <w:rFonts w:hint="eastAsia"/>
              </w:rPr>
              <w:t xml:space="preserve">先进制造/无人机/新型储能/新型显示</w:t>
            </w:r>
          </w:p>
        </w:tc>
        <w:tc>
          <w:tcPr/>
          <w:p>
            <w:pPr>
              <w:pStyle w:val="Compact"/>
            </w:pPr>
            <w:r>
              <w:rPr>
                <w:rFonts w:hint="eastAsia"/>
              </w:rPr>
              <w:t xml:space="preserve">展会催化、结构性利好</w:t>
            </w:r>
          </w:p>
        </w:tc>
        <w:tc>
          <w:tcPr/>
          <w:p>
            <w:pPr>
              <w:pStyle w:val="Compact"/>
            </w:pPr>
            <w:r>
              <w:rPr>
                <w:rFonts w:hint="eastAsia"/>
              </w:rPr>
              <w:t xml:space="preserve">第140届广交会</w:t>
            </w:r>
          </w:p>
        </w:tc>
        <w:tc>
          <w:tcPr/>
          <w:p>
            <w:pPr>
              <w:pStyle w:val="Compact"/>
              <w:jc w:val="right"/>
            </w:pPr>
            <w:r>
              <w:t xml:space="preserve">★★★★</w:t>
            </w:r>
          </w:p>
        </w:tc>
        <w:tc>
          <w:tcPr/>
          <w:p>
            <w:pPr>
              <w:pStyle w:val="Compact"/>
            </w:pPr>
            <w:r>
              <w:rPr>
                <w:rFonts w:hint="eastAsia"/>
              </w:rPr>
              <w:t xml:space="preserve">成交、出口订单、交付、汇率和回款</w:t>
            </w:r>
          </w:p>
        </w:tc>
      </w:tr>
      <w:tr>
        <w:tc>
          <w:tcPr/>
          <w:p>
            <w:pPr>
              <w:pStyle w:val="Compact"/>
            </w:pPr>
            <w:r>
              <w:rPr>
                <w:rFonts w:hint="eastAsia"/>
              </w:rPr>
              <w:t xml:space="preserve">会展/进口消费/跨境供应链</w:t>
            </w:r>
          </w:p>
        </w:tc>
        <w:tc>
          <w:tcPr/>
          <w:p>
            <w:pPr>
              <w:pStyle w:val="Compact"/>
            </w:pPr>
            <w:r>
              <w:rPr>
                <w:rFonts w:hint="eastAsia"/>
              </w:rPr>
              <w:t xml:space="preserve">事件型偏利好</w:t>
            </w:r>
          </w:p>
        </w:tc>
        <w:tc>
          <w:tcPr/>
          <w:p>
            <w:pPr>
              <w:pStyle w:val="Compact"/>
            </w:pPr>
            <w:r>
              <w:rPr>
                <w:rFonts w:hint="eastAsia"/>
              </w:rPr>
              <w:t xml:space="preserve">第九届进博会</w:t>
            </w:r>
          </w:p>
        </w:tc>
        <w:tc>
          <w:tcPr/>
          <w:p>
            <w:pPr>
              <w:pStyle w:val="Compact"/>
              <w:jc w:val="right"/>
            </w:pPr>
            <w:r>
              <w:t xml:space="preserve">★★★</w:t>
            </w:r>
          </w:p>
        </w:tc>
        <w:tc>
          <w:tcPr/>
          <w:p>
            <w:pPr>
              <w:pStyle w:val="Compact"/>
            </w:pPr>
            <w:r>
              <w:rPr>
                <w:rFonts w:hint="eastAsia"/>
              </w:rPr>
              <w:t xml:space="preserve">成交额、渠道导入、物流与消费兑现</w:t>
            </w:r>
          </w:p>
        </w:tc>
      </w:tr>
      <w:tr>
        <w:tc>
          <w:tcPr/>
          <w:p>
            <w:pPr>
              <w:pStyle w:val="Compact"/>
            </w:pPr>
            <w:r>
              <w:rPr>
                <w:rFonts w:hint="eastAsia"/>
              </w:rPr>
              <w:t xml:space="preserve">船舶制造/绿色智能船舶</w:t>
            </w:r>
          </w:p>
        </w:tc>
        <w:tc>
          <w:tcPr/>
          <w:p>
            <w:pPr>
              <w:pStyle w:val="Compact"/>
            </w:pPr>
            <w:r>
              <w:rPr>
                <w:rFonts w:hint="eastAsia"/>
              </w:rPr>
              <w:t xml:space="preserve">基本面方向偏利好</w:t>
            </w:r>
          </w:p>
        </w:tc>
        <w:tc>
          <w:tcPr/>
          <w:p>
            <w:pPr>
              <w:pStyle w:val="Compact"/>
            </w:pPr>
            <w:r>
              <w:rPr>
                <w:rFonts w:hint="eastAsia"/>
              </w:rPr>
              <w:t xml:space="preserve">全球市场份额领先</w:t>
            </w:r>
          </w:p>
        </w:tc>
        <w:tc>
          <w:tcPr/>
          <w:p>
            <w:pPr>
              <w:pStyle w:val="Compact"/>
              <w:jc w:val="right"/>
            </w:pPr>
            <w:r>
              <w:t xml:space="preserve">★★★★</w:t>
            </w:r>
          </w:p>
        </w:tc>
        <w:tc>
          <w:tcPr/>
          <w:p>
            <w:pPr>
              <w:pStyle w:val="Compact"/>
            </w:pPr>
            <w:r>
              <w:rPr>
                <w:rFonts w:hint="eastAsia"/>
              </w:rPr>
              <w:t xml:space="preserve">新接订单、船价、成本、交付与汇率</w:t>
            </w:r>
          </w:p>
        </w:tc>
      </w:tr>
      <w:tr>
        <w:tc>
          <w:tcPr/>
          <w:p>
            <w:pPr>
              <w:pStyle w:val="Compact"/>
            </w:pPr>
            <w:r>
              <w:rPr>
                <w:rFonts w:hint="eastAsia"/>
              </w:rPr>
              <w:t xml:space="preserve">科研仪器/研发服务</w:t>
            </w:r>
          </w:p>
        </w:tc>
        <w:tc>
          <w:tcPr/>
          <w:p>
            <w:pPr>
              <w:pStyle w:val="Compact"/>
            </w:pPr>
            <w:r>
              <w:rPr>
                <w:rFonts w:hint="eastAsia"/>
              </w:rPr>
              <w:t xml:space="preserve">长期偏利好</w:t>
            </w:r>
          </w:p>
        </w:tc>
        <w:tc>
          <w:tcPr/>
          <w:p>
            <w:pPr>
              <w:pStyle w:val="Compact"/>
            </w:pPr>
            <w:r>
              <w:rPr>
                <w:rFonts w:hint="eastAsia"/>
              </w:rPr>
              <w:t xml:space="preserve">研发经费增长8.2%</w:t>
            </w:r>
          </w:p>
        </w:tc>
        <w:tc>
          <w:tcPr/>
          <w:p>
            <w:pPr>
              <w:pStyle w:val="Compact"/>
              <w:jc w:val="right"/>
            </w:pPr>
            <w:r>
              <w:t xml:space="preserve">★★★★</w:t>
            </w:r>
          </w:p>
        </w:tc>
        <w:tc>
          <w:tcPr/>
          <w:p>
            <w:pPr>
              <w:pStyle w:val="Compact"/>
            </w:pPr>
            <w:r>
              <w:rPr>
                <w:rFonts w:hint="eastAsia"/>
              </w:rPr>
              <w:t xml:space="preserve">投入结构、专项预算、采购与成果转化</w:t>
            </w:r>
          </w:p>
        </w:tc>
      </w:tr>
      <w:tr>
        <w:tc>
          <w:tcPr/>
          <w:p>
            <w:pPr>
              <w:pStyle w:val="Compact"/>
            </w:pPr>
            <w:r>
              <w:rPr>
                <w:rFonts w:hint="eastAsia"/>
              </w:rPr>
              <w:t xml:space="preserve">油气/海事安全/防务</w:t>
            </w:r>
          </w:p>
        </w:tc>
        <w:tc>
          <w:tcPr/>
          <w:p>
            <w:pPr>
              <w:pStyle w:val="Compact"/>
            </w:pPr>
            <w:r>
              <w:rPr>
                <w:rFonts w:hint="eastAsia"/>
              </w:rPr>
              <w:t xml:space="preserve">风险溢价可能上升</w:t>
            </w:r>
          </w:p>
        </w:tc>
        <w:tc>
          <w:tcPr/>
          <w:p>
            <w:pPr>
              <w:pStyle w:val="Compact"/>
            </w:pPr>
            <w:r>
              <w:rPr>
                <w:rFonts w:hint="eastAsia"/>
              </w:rPr>
              <w:t xml:space="preserve">也门与沙特相关冲突、美国高油价</w:t>
            </w:r>
          </w:p>
        </w:tc>
        <w:tc>
          <w:tcPr/>
          <w:p>
            <w:pPr>
              <w:pStyle w:val="Compact"/>
              <w:jc w:val="right"/>
            </w:pPr>
            <w:r>
              <w:t xml:space="preserve">★★★★</w:t>
            </w:r>
          </w:p>
        </w:tc>
        <w:tc>
          <w:tcPr/>
          <w:p>
            <w:pPr>
              <w:pStyle w:val="Compact"/>
            </w:pPr>
            <w:r>
              <w:rPr>
                <w:rFonts w:hint="eastAsia"/>
              </w:rPr>
              <w:t xml:space="preserve">供应与航线扰动、油价和运价持续性</w:t>
            </w:r>
          </w:p>
        </w:tc>
      </w:tr>
      <w:tr>
        <w:tc>
          <w:tcPr/>
          <w:p>
            <w:pPr>
              <w:pStyle w:val="Compact"/>
            </w:pPr>
            <w:r>
              <w:rPr>
                <w:rFonts w:hint="eastAsia"/>
              </w:rPr>
              <w:t xml:space="preserve">航空/物流/化工下游</w:t>
            </w:r>
          </w:p>
        </w:tc>
        <w:tc>
          <w:tcPr/>
          <w:p>
            <w:pPr>
              <w:pStyle w:val="Compact"/>
            </w:pPr>
            <w:r>
              <w:rPr>
                <w:rFonts w:hint="eastAsia"/>
              </w:rPr>
              <w:t xml:space="preserve">成本端可能承压</w:t>
            </w:r>
          </w:p>
        </w:tc>
        <w:tc>
          <w:tcPr/>
          <w:p>
            <w:pPr>
              <w:pStyle w:val="Compact"/>
            </w:pPr>
            <w:r>
              <w:rPr>
                <w:rFonts w:hint="eastAsia"/>
              </w:rPr>
              <w:t xml:space="preserve">地区冲突与海外油价压力</w:t>
            </w:r>
          </w:p>
        </w:tc>
        <w:tc>
          <w:tcPr/>
          <w:p>
            <w:pPr>
              <w:pStyle w:val="Compact"/>
              <w:jc w:val="right"/>
            </w:pPr>
            <w:r>
              <w:t xml:space="preserve">★★★★</w:t>
            </w:r>
          </w:p>
        </w:tc>
        <w:tc>
          <w:tcPr/>
          <w:p>
            <w:pPr>
              <w:pStyle w:val="Compact"/>
            </w:pPr>
            <w:r>
              <w:rPr>
                <w:rFonts w:hint="eastAsia"/>
              </w:rPr>
              <w:t xml:space="preserve">燃料价格、保险、运价及成本传导能力</w:t>
            </w:r>
          </w:p>
        </w:tc>
      </w:tr>
      <w:tr>
        <w:tc>
          <w:tcPr/>
          <w:p>
            <w:pPr>
              <w:pStyle w:val="Compact"/>
            </w:pPr>
            <w:r>
              <w:rPr>
                <w:rFonts w:hint="eastAsia"/>
              </w:rPr>
              <w:t xml:space="preserve">高精度授时/通信时钟</w:t>
            </w:r>
          </w:p>
        </w:tc>
        <w:tc>
          <w:tcPr/>
          <w:p>
            <w:pPr>
              <w:pStyle w:val="Compact"/>
            </w:pPr>
            <w:r>
              <w:rPr>
                <w:rFonts w:hint="eastAsia"/>
              </w:rPr>
              <w:t xml:space="preserve">长期规则调整机会</w:t>
            </w:r>
          </w:p>
        </w:tc>
        <w:tc>
          <w:tcPr/>
          <w:p>
            <w:pPr>
              <w:pStyle w:val="Compact"/>
            </w:pPr>
            <w:r>
              <w:rPr>
                <w:rFonts w:hint="eastAsia"/>
              </w:rPr>
              <w:t xml:space="preserve">取消闰秒、连续协调世界时</w:t>
            </w:r>
          </w:p>
        </w:tc>
        <w:tc>
          <w:tcPr/>
          <w:p>
            <w:pPr>
              <w:pStyle w:val="Compact"/>
              <w:jc w:val="right"/>
            </w:pPr>
            <w:r>
              <w:t xml:space="preserve">★★★</w:t>
            </w:r>
          </w:p>
        </w:tc>
        <w:tc>
          <w:tcPr/>
          <w:p>
            <w:pPr>
              <w:pStyle w:val="Compact"/>
            </w:pPr>
            <w:r>
              <w:rPr>
                <w:rFonts w:hint="eastAsia"/>
              </w:rPr>
              <w:t xml:space="preserve">国内适配标准、改造计划、预算和订单</w:t>
            </w:r>
          </w:p>
        </w:tc>
      </w:tr>
    </w:tbl>
    <w:bookmarkEnd w:id="35"/>
    <w:bookmarkStart w:id="39" w:name="八操作框架"/>
    <w:p>
      <w:pPr>
        <w:pStyle w:val="Heading2"/>
      </w:pPr>
      <w:r>
        <w:rPr>
          <w:rFonts w:hint="eastAsia"/>
        </w:rPr>
        <w:t xml:space="preserve">八、操作框架</w:t>
      </w:r>
    </w:p>
    <w:bookmarkStart w:id="36" w:name="短线方向"/>
    <w:p>
      <w:pPr>
        <w:pStyle w:val="Heading3"/>
      </w:pPr>
      <w:r>
        <w:rPr>
          <w:rFonts w:hint="eastAsia"/>
        </w:rPr>
        <w:t xml:space="preserve">短线方向</w:t>
      </w:r>
    </w:p>
    <w:p>
      <w:pPr>
        <w:pStyle w:val="Compact"/>
        <w:numPr>
          <w:ilvl w:val="0"/>
          <w:numId w:val="1023"/>
        </w:numPr>
      </w:pPr>
      <w:r>
        <w:rPr>
          <w:rFonts w:hint="eastAsia"/>
          <w:b/>
          <w:bCs/>
        </w:rPr>
        <w:t xml:space="preserve">第一优先观察绿色算力与AI应用。</w:t>
      </w:r>
      <w:r>
        <w:t xml:space="preserve"> </w:t>
      </w:r>
      <w:r>
        <w:rPr>
          <w:rFonts w:hint="eastAsia"/>
        </w:rPr>
        <w:t xml:space="preserve">头条和国常会形成高层信号共振，但应优先看算力利用率、绿电配套、行业中试和真实付费场景；纯概念高开而无量价与订单验证时不追。</w:t>
      </w:r>
    </w:p>
    <w:p>
      <w:pPr>
        <w:pStyle w:val="Compact"/>
        <w:numPr>
          <w:ilvl w:val="0"/>
          <w:numId w:val="1023"/>
        </w:numPr>
      </w:pPr>
      <w:r>
        <w:rPr>
          <w:rFonts w:hint="eastAsia"/>
          <w:b/>
          <w:bCs/>
        </w:rPr>
        <w:t xml:space="preserve">第二优先观察反低价竞争相关行业。</w:t>
      </w:r>
      <w:r>
        <w:t xml:space="preserve"> </w:t>
      </w:r>
      <w:r>
        <w:rPr>
          <w:rFonts w:hint="eastAsia"/>
        </w:rPr>
        <w:t xml:space="preserve">价格法修正和成本调查规则预期可能改善市场情绪，但法律与执法尚需落地，不能提前把毛利率修复当成事实。</w:t>
      </w:r>
    </w:p>
    <w:p>
      <w:pPr>
        <w:pStyle w:val="Compact"/>
        <w:numPr>
          <w:ilvl w:val="0"/>
          <w:numId w:val="1023"/>
        </w:numPr>
      </w:pPr>
      <w:r>
        <w:rPr>
          <w:rFonts w:hint="eastAsia"/>
          <w:b/>
          <w:bCs/>
        </w:rPr>
        <w:t xml:space="preserve">事件线关注智能粮仓、先进制造和船舶。</w:t>
      </w:r>
      <w:r>
        <w:t xml:space="preserve"> </w:t>
      </w:r>
      <w:r>
        <w:rPr>
          <w:rFonts w:hint="eastAsia"/>
        </w:rPr>
        <w:t xml:space="preserve">三条线均有明确数据或应用，但短线持续性仍取决于板块成交、后续订单和公司公告。</w:t>
      </w:r>
    </w:p>
    <w:bookmarkEnd w:id="36"/>
    <w:bookmarkStart w:id="37" w:name="中线布局"/>
    <w:p>
      <w:pPr>
        <w:pStyle w:val="Heading3"/>
      </w:pPr>
      <w:r>
        <w:rPr>
          <w:rFonts w:hint="eastAsia"/>
        </w:rPr>
        <w:t xml:space="preserve">中线布局</w:t>
      </w:r>
    </w:p>
    <w:p>
      <w:pPr>
        <w:pStyle w:val="Compact"/>
        <w:numPr>
          <w:ilvl w:val="0"/>
          <w:numId w:val="1024"/>
        </w:numPr>
      </w:pPr>
      <w:r>
        <w:rPr>
          <w:rFonts w:hint="eastAsia"/>
        </w:rPr>
        <w:t xml:space="preserve">绿色算力沿“枢纽—绿电与电网—服务器和网络—冷却节能—调度运营—行业应用”跟踪，尤其核验算电、算水、安全和利用率约束。</w:t>
      </w:r>
    </w:p>
    <w:p>
      <w:pPr>
        <w:pStyle w:val="Compact"/>
        <w:numPr>
          <w:ilvl w:val="0"/>
          <w:numId w:val="1024"/>
        </w:numPr>
      </w:pPr>
      <w:r>
        <w:rPr>
          <w:rFonts w:hint="eastAsia"/>
        </w:rPr>
        <w:t xml:space="preserve">“人工智能+”优先选择具备数据、客户、中试、交付和回款闭环的企业，回避只有模型标签而没有应用证据的标的。</w:t>
      </w:r>
    </w:p>
    <w:p>
      <w:pPr>
        <w:pStyle w:val="Compact"/>
        <w:numPr>
          <w:ilvl w:val="0"/>
          <w:numId w:val="1024"/>
        </w:numPr>
      </w:pPr>
      <w:r>
        <w:rPr>
          <w:rFonts w:hint="eastAsia"/>
        </w:rPr>
        <w:t xml:space="preserve">青海绿色产业、职业教育、普惠养老、智能粮仓按规划或意见到项目、采购、服务量和现金流逐级验证。</w:t>
      </w:r>
    </w:p>
    <w:p>
      <w:pPr>
        <w:pStyle w:val="Compact"/>
        <w:numPr>
          <w:ilvl w:val="0"/>
          <w:numId w:val="1024"/>
        </w:numPr>
      </w:pPr>
      <w:r>
        <w:rPr>
          <w:rFonts w:hint="eastAsia"/>
        </w:rPr>
        <w:t xml:space="preserve">外贸展会与进口平台必须用成交、订单、交付和回款验证，参展数量与展品热度不能替代盈利数据。</w:t>
      </w:r>
    </w:p>
    <w:bookmarkEnd w:id="37"/>
    <w:bookmarkStart w:id="38" w:name="风险与证伪"/>
    <w:p>
      <w:pPr>
        <w:pStyle w:val="Heading3"/>
      </w:pPr>
      <w:r>
        <w:rPr>
          <w:rFonts w:hint="eastAsia"/>
        </w:rPr>
        <w:t xml:space="preserve">风险与证伪</w:t>
      </w:r>
    </w:p>
    <w:p>
      <w:pPr>
        <w:pStyle w:val="Compact"/>
        <w:numPr>
          <w:ilvl w:val="0"/>
          <w:numId w:val="1025"/>
        </w:numPr>
      </w:pPr>
      <w:r>
        <w:rPr>
          <w:rFonts w:hint="eastAsia"/>
          <w:b/>
          <w:bCs/>
        </w:rPr>
        <w:t xml:space="preserve">算力资源约束：</w:t>
      </w:r>
      <w:r>
        <w:t xml:space="preserve"> </w:t>
      </w:r>
      <w:r>
        <w:rPr>
          <w:rFonts w:hint="eastAsia"/>
        </w:rPr>
        <w:t xml:space="preserve">若项目利用率低、绿电和水资源配套不足、建设进度不及预期，绿色算力主题将被证伪或延后。</w:t>
      </w:r>
    </w:p>
    <w:p>
      <w:pPr>
        <w:pStyle w:val="Compact"/>
        <w:numPr>
          <w:ilvl w:val="0"/>
          <w:numId w:val="1025"/>
        </w:numPr>
      </w:pPr>
      <w:r>
        <w:rPr>
          <w:rFonts w:hint="eastAsia"/>
          <w:b/>
          <w:bCs/>
        </w:rPr>
        <w:t xml:space="preserve">AI商业化风险：</w:t>
      </w:r>
      <w:r>
        <w:t xml:space="preserve"> </w:t>
      </w:r>
      <w:r>
        <w:rPr>
          <w:rFonts w:hint="eastAsia"/>
        </w:rPr>
        <w:t xml:space="preserve">技术攻关和场景培育不等于稳定付费，联合研发和中试可能存在周期长、收入小、毛利不确定等问题。</w:t>
      </w:r>
    </w:p>
    <w:p>
      <w:pPr>
        <w:pStyle w:val="Compact"/>
        <w:numPr>
          <w:ilvl w:val="0"/>
          <w:numId w:val="1025"/>
        </w:numPr>
      </w:pPr>
      <w:r>
        <w:rPr>
          <w:rFonts w:hint="eastAsia"/>
          <w:b/>
          <w:bCs/>
        </w:rPr>
        <w:t xml:space="preserve">价格治理落地风险：</w:t>
      </w:r>
      <w:r>
        <w:t xml:space="preserve"> </w:t>
      </w:r>
      <w:r>
        <w:rPr>
          <w:rFonts w:hint="eastAsia"/>
        </w:rPr>
        <w:t xml:space="preserve">低价无序竞争治理尚需法律审议、规则和执法，若供需过剩未改善，利润修复可能低于预期。</w:t>
      </w:r>
    </w:p>
    <w:p>
      <w:pPr>
        <w:pStyle w:val="Compact"/>
        <w:numPr>
          <w:ilvl w:val="0"/>
          <w:numId w:val="1025"/>
        </w:numPr>
      </w:pPr>
      <w:r>
        <w:rPr>
          <w:rFonts w:hint="eastAsia"/>
          <w:b/>
          <w:bCs/>
        </w:rPr>
        <w:t xml:space="preserve">地缘与通胀风险：</w:t>
      </w:r>
      <w:r>
        <w:t xml:space="preserve"> </w:t>
      </w:r>
      <w:r>
        <w:rPr>
          <w:rFonts w:hint="eastAsia"/>
        </w:rPr>
        <w:t xml:space="preserve">也门与沙特相关冲突以及美国油价、PPI压力可能推升能源、运输和全球利率风险；冲突各方信息需持续核验。</w:t>
      </w:r>
    </w:p>
    <w:p>
      <w:pPr>
        <w:pStyle w:val="Compact"/>
        <w:numPr>
          <w:ilvl w:val="0"/>
          <w:numId w:val="1025"/>
        </w:numPr>
      </w:pPr>
      <w:r>
        <w:rPr>
          <w:rFonts w:hint="eastAsia"/>
          <w:b/>
          <w:bCs/>
        </w:rPr>
        <w:t xml:space="preserve">外贸兑现风险：</w:t>
      </w:r>
      <w:r>
        <w:t xml:space="preserve"> </w:t>
      </w:r>
      <w:r>
        <w:rPr>
          <w:rFonts w:hint="eastAsia"/>
        </w:rPr>
        <w:t xml:space="preserve">广交会和进博会规模增长不等于订单增长，仍受外需、贸易政策、汇率和回款影响。</w:t>
      </w:r>
    </w:p>
    <w:p>
      <w:pPr>
        <w:pStyle w:val="Compact"/>
        <w:numPr>
          <w:ilvl w:val="0"/>
          <w:numId w:val="1025"/>
        </w:numPr>
      </w:pPr>
      <w:r>
        <w:rPr>
          <w:rFonts w:hint="eastAsia"/>
          <w:b/>
          <w:bCs/>
        </w:rPr>
        <w:t xml:space="preserve">规划兑现风险：</w:t>
      </w:r>
      <w:r>
        <w:t xml:space="preserve"> </w:t>
      </w:r>
      <w:r>
        <w:rPr>
          <w:rFonts w:hint="eastAsia"/>
        </w:rPr>
        <w:t xml:space="preserve">“布局”“推动”“建设”不是企业订单，需等待预算、招标、合同、验收和现金流。</w:t>
      </w:r>
    </w:p>
    <w:p>
      <w:pPr>
        <w:pStyle w:val="Compact"/>
        <w:numPr>
          <w:ilvl w:val="0"/>
          <w:numId w:val="1025"/>
        </w:numPr>
      </w:pPr>
      <w:r>
        <w:rPr>
          <w:rFonts w:hint="eastAsia"/>
          <w:b/>
          <w:bCs/>
        </w:rPr>
        <w:t xml:space="preserve">交易拥挤风险：</w:t>
      </w:r>
      <w:r>
        <w:t xml:space="preserve"> </w:t>
      </w:r>
      <w:r>
        <w:rPr>
          <w:rFonts w:hint="eastAsia"/>
        </w:rPr>
        <w:t xml:space="preserve">绿色算力、AI、新型储能、脑机接口、无人机和氢能若脱离基本面快速上涨，应防范情绪退潮。</w:t>
      </w:r>
    </w:p>
    <w:p>
      <w:pPr>
        <w:pStyle w:val="Compact"/>
        <w:numPr>
          <w:ilvl w:val="0"/>
          <w:numId w:val="1025"/>
        </w:numPr>
      </w:pPr>
      <w:r>
        <w:rPr>
          <w:rFonts w:hint="eastAsia"/>
          <w:b/>
          <w:bCs/>
        </w:rPr>
        <w:t xml:space="preserve">信息边界：</w:t>
      </w:r>
      <w:r>
        <w:t xml:space="preserve"> </w:t>
      </w:r>
      <w:r>
        <w:rPr>
          <w:rFonts w:hint="eastAsia"/>
        </w:rPr>
        <w:t xml:space="preserve">本文未引入行情、资金流、估值、公司公告或指定底稿之外的新闻，执行前需另行核验市场数据。</w:t>
      </w:r>
    </w:p>
    <w:bookmarkEnd w:id="38"/>
    <w:bookmarkEnd w:id="39"/>
    <w:bookmarkStart w:id="40" w:name="九事实核验与覆盖清单"/>
    <w:p>
      <w:pPr>
        <w:pStyle w:val="Heading2"/>
      </w:pPr>
      <w:r>
        <w:rPr>
          <w:rFonts w:hint="eastAsia"/>
        </w:rPr>
        <w:t xml:space="preserve">九、事实核验与覆盖清单</w:t>
      </w:r>
    </w:p>
    <w:p>
      <w:pPr>
        <w:pStyle w:val="Compact"/>
        <w:numPr>
          <w:ilvl w:val="0"/>
          <w:numId w:val="1026"/>
        </w:numPr>
      </w:pPr>
      <w:r>
        <w:rPr>
          <w:rFonts w:hint="eastAsia"/>
        </w:rPr>
        <w:t xml:space="preserve">已按指定底稿原顺序覆盖全部16个一级条目。</w:t>
      </w:r>
    </w:p>
    <w:p>
      <w:pPr>
        <w:pStyle w:val="Compact"/>
        <w:numPr>
          <w:ilvl w:val="0"/>
          <w:numId w:val="1026"/>
        </w:numPr>
      </w:pPr>
      <w:r>
        <w:rPr>
          <w:rFonts w:hint="eastAsia"/>
        </w:rPr>
        <w:t xml:space="preserve">已把“国内联播快讯”3个分项逐项展开：研发经费、船舶工业、博茨瓦纳总统专访预告。</w:t>
      </w:r>
    </w:p>
    <w:p>
      <w:pPr>
        <w:pStyle w:val="Compact"/>
        <w:numPr>
          <w:ilvl w:val="0"/>
          <w:numId w:val="1026"/>
        </w:numPr>
      </w:pPr>
      <w:r>
        <w:rPr>
          <w:rFonts w:hint="eastAsia"/>
        </w:rPr>
        <w:t xml:space="preserve">已把“国际联播快讯”3个分项逐项展开：俄日交涉、美国高油价与PPI、取消闰秒。</w:t>
      </w:r>
    </w:p>
    <w:p>
      <w:pPr>
        <w:pStyle w:val="Compact"/>
        <w:numPr>
          <w:ilvl w:val="0"/>
          <w:numId w:val="1026"/>
        </w:numPr>
      </w:pPr>
      <w:r>
        <w:rPr>
          <w:rFonts w:hint="eastAsia"/>
        </w:rPr>
        <w:t xml:space="preserve">报告中的日期、数字、政策措辞、项目和事件事实均来自指定底稿；板块内容均使用“映射”“关联方向”“可能受益或承压”等条件性语言。</w:t>
      </w:r>
    </w:p>
    <w:p>
      <w:pPr>
        <w:pStyle w:val="Compact"/>
        <w:numPr>
          <w:ilvl w:val="0"/>
          <w:numId w:val="1026"/>
        </w:numPr>
      </w:pPr>
      <w:r>
        <w:rPr>
          <w:rFonts w:hint="eastAsia"/>
        </w:rPr>
        <w:t xml:space="preserve">对也门政府、胡塞武装、沙特主导的多国联军、俄罗斯和日本相关叙述均保留原报道主体，没有把当事方口径改写成独立核验事实。</w:t>
      </w:r>
    </w:p>
    <w:p>
      <w:pPr>
        <w:pStyle w:val="Compact"/>
        <w:numPr>
          <w:ilvl w:val="0"/>
          <w:numId w:val="1026"/>
        </w:numPr>
      </w:pPr>
      <w:r>
        <w:rPr>
          <w:rFonts w:hint="eastAsia"/>
        </w:rPr>
        <w:t xml:space="preserve">已核对关键数字：研发经费39288.2亿元、增长8.2%；优质广交会参展企业超6000家、增长约8.2%；进博会4100多家境外企业、展览面积超37万平方米、代表性首发首展超480件；中晚稻收购1800万吨、同比增加160万吨；粮食标准仓房完好仓容7.3亿吨；绿色储粮示范点100个以上；中资海运船舶接近10万艘、4.9亿载重吨。</w:t>
      </w:r>
    </w:p>
    <w:p>
      <w:pPr>
        <w:pStyle w:val="Compact"/>
        <w:numPr>
          <w:ilvl w:val="0"/>
          <w:numId w:val="1026"/>
        </w:numPr>
      </w:pPr>
      <w:r>
        <w:rPr>
          <w:rFonts w:hint="eastAsia"/>
        </w:rPr>
        <w:t xml:space="preserve">已核对技术和效率数据：粮仓500多个测温点监测80多万吨粮食，广州新粮库仓容提升约80%、能耗降低约20%；政策日期和项目数量均未外推为上市公司业绩。</w:t>
      </w:r>
    </w:p>
    <w:p>
      <w:pPr>
        <w:pStyle w:val="Compact"/>
        <w:numPr>
          <w:ilvl w:val="0"/>
          <w:numId w:val="1026"/>
        </w:numPr>
      </w:pPr>
      <w:r>
        <w:rPr>
          <w:rFonts w:hint="eastAsia"/>
        </w:rPr>
        <w:t xml:space="preserve">未写入底稿未披露的上市公司名单、订单金额、财政规模、市场涨跌、资金流或估值；央视快评、专访预告和表彰事件均未推演不存在的政策细则。</w:t>
      </w:r>
    </w:p>
    <w:p>
      <w:r>
        <w:pict>
          <v:rect style="width:0;height:1.5pt" o:hralign="center" o:hrstd="t" o:hr="t"/>
        </w:pict>
      </w:r>
    </w:p>
    <w:p>
      <w:pPr>
        <w:pStyle w:val="FirstParagraph"/>
      </w:pPr>
      <w:r>
        <w:rPr>
          <w:rFonts w:hint="eastAsia"/>
          <w:i/>
          <w:iCs/>
        </w:rPr>
        <w:t xml:space="preserve">分析和写稿模型：GPT-5.6</w:t>
      </w:r>
      <w:r>
        <w:rPr>
          <w:i/>
          <w:iCs/>
        </w:rPr>
        <w:t xml:space="preserve"> Sol (openai-codex)</w:t>
      </w:r>
    </w:p>
    <w:bookmarkEnd w:id="40"/>
    <w:bookmarkEnd w:id="4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2026年10月16日《新闻联播》A股影响深度解读</dc:title>
  <dc:creator/>
  <cp:keywords/>
  <dcterms:created xsi:type="dcterms:W3CDTF">2026-10-16T12:19:04Z</dcterms:created>
  <dcterms:modified xsi:type="dcterms:W3CDTF">2026-10-16T12:19:04Z</dcterms:modified>
</cp:coreProperties>
</file>

<file path=docProps/custom.xml><?xml version="1.0" encoding="utf-8"?>
<Properties xmlns="http://schemas.openxmlformats.org/officeDocument/2006/custom-properties" xmlns:vt="http://schemas.openxmlformats.org/officeDocument/2006/docPropsVTypes"/>
</file>