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Xaaa95cd0f3f218a08e3f35a262dd7d89f7f705f"/>
    <w:p>
      <w:pPr>
        <w:pStyle w:val="Heading1"/>
      </w:pPr>
      <w:r>
        <w:rPr>
          <w:rFonts w:hint="eastAsia"/>
        </w:rPr>
        <w:t xml:space="preserve">2026年10月15日《新闻联播》A股影响深度解读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/Users/qiji/.hermes/skills/finance/qiji-morning-know/memory/xinwenlianbo/2026-10-15.md</w:t>
      </w:r>
      <w:r>
        <w:rPr>
          <w:rFonts w:hint="eastAsia"/>
        </w:rPr>
        <w:t xml:space="preserve">。文中“受益”“承压”均为从原文政策与事件向A股行业的条件映射，不代表政策已经转化为上市公司订单、利润或资金流，也不构成投资建议。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整体基调：国内积极、结构清晰，外部风险显著升温。</w:t>
      </w:r>
      <w:r>
        <w:t xml:space="preserve"> </w:t>
      </w:r>
      <w:r>
        <w:rPr>
          <w:rFonts w:hint="eastAsia"/>
        </w:rPr>
        <w:t xml:space="preserve">头条继续强化健康中国长期建设，中朝口岸互联互通、中非务实合作、四川“十五五”产业布局、秋粮丰收、国家公园建设与多项国内快讯提供结构性线索；霍尔木兹海峡、曼德海峡、俄乌炼油设施冲突及柴油紧张则抬高能源、航运和通胀风险。</w:t>
      </w:r>
    </w:p>
    <w:p>
      <w:pPr>
        <w:pStyle w:val="Compact"/>
        <w:numPr>
          <w:ilvl w:val="0"/>
          <w:numId w:val="1001"/>
        </w:numPr>
      </w:pPr>
      <w:r>
        <w:rPr>
          <w:rFonts w:hint="eastAsia"/>
          <w:b/>
          <w:bCs/>
        </w:rPr>
        <w:t xml:space="preserve">政策信号强度：强。</w:t>
      </w:r>
      <w:r>
        <w:t xml:space="preserve"> </w:t>
      </w:r>
      <w:r>
        <w:rPr>
          <w:rFonts w:hint="eastAsia"/>
        </w:rPr>
        <w:t xml:space="preserve">最高级别信号来自总书记关于健康中国目标任务和六大核心能力的系统部署；中段四川报道明确量子、6G、光学、电子信息、装备制造、航空航天和生物医药等产业方向；知识产权协同保护、绿证跨境交易和渤海通信感知网构成可跟踪的执行层线索。</w:t>
      </w:r>
    </w:p>
    <w:p>
      <w:pPr>
        <w:pStyle w:val="Compact"/>
        <w:numPr>
          <w:ilvl w:val="0"/>
          <w:numId w:val="1001"/>
        </w:numPr>
      </w:pPr>
      <w:r>
        <w:rPr>
          <w:rFonts w:hint="eastAsia"/>
          <w:b/>
          <w:bCs/>
        </w:rPr>
        <w:t xml:space="preserve">对A股总体影响：结构性利好与成本风险并存。</w:t>
      </w:r>
      <w:r>
        <w:t xml:space="preserve"> </w:t>
      </w:r>
      <w:r>
        <w:rPr>
          <w:rFonts w:hint="eastAsia"/>
        </w:rPr>
        <w:t xml:space="preserve">医疗服务与医药治理、口岸物流、中非合作、先进制造、商业航天、海洋通信、绿证交易、知识产权服务和农业机械具备政策或事件映射；油价、柴油、航运保险、航空燃料及全球利率预期面临外部压力。</w:t>
      </w:r>
    </w:p>
    <w:p>
      <w:pPr>
        <w:pStyle w:val="Compact"/>
        <w:numPr>
          <w:ilvl w:val="0"/>
          <w:numId w:val="1001"/>
        </w:numPr>
      </w:pPr>
      <w:r>
        <w:rPr>
          <w:rFonts w:hint="eastAsia"/>
          <w:b/>
          <w:bCs/>
        </w:rPr>
        <w:t xml:space="preserve">一句话结论：</w:t>
      </w:r>
      <w:r>
        <w:t xml:space="preserve"> </w:t>
      </w:r>
      <w:r>
        <w:rPr>
          <w:rFonts w:hint="eastAsia"/>
        </w:rPr>
        <w:t xml:space="preserve">中期主线看“健康中国+四川新质生产力+绿色与数字基础设施”，短线事件线看商业航天和能源安全，但霍尔木兹与曼德海峡风险可能同时推高油运波动和实体成本，不能把题材热度直接等同于业绩兑现。</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健康中国进入2035目标倒推阶段（★★★★★）</w:t>
      </w:r>
      <w:r>
        <w:rPr>
          <w:rFonts w:hint="eastAsia"/>
        </w:rPr>
        <w:t xml:space="preserve">：头条明确健康优先、预防为主，持续提升六大核心能力，并推进医疗、医保、医药协同发展和治理。</w:t>
      </w:r>
    </w:p>
    <w:p>
      <w:pPr>
        <w:pStyle w:val="Compact"/>
        <w:numPr>
          <w:ilvl w:val="0"/>
          <w:numId w:val="1002"/>
        </w:numPr>
      </w:pPr>
      <w:r>
        <w:rPr>
          <w:rFonts w:hint="eastAsia"/>
          <w:b/>
          <w:bCs/>
        </w:rPr>
        <w:t xml:space="preserve">四川“十五五”新质生产力产业清单明确（★★★★）</w:t>
      </w:r>
      <w:r>
        <w:rPr>
          <w:rFonts w:hint="eastAsia"/>
        </w:rPr>
        <w:t xml:space="preserve">：量子、6G、光学、电子信息、装备制造、食品轻纺、航空航天、生物医药被点名，兼有交通与红色文旅支线。</w:t>
      </w:r>
    </w:p>
    <w:p>
      <w:pPr>
        <w:pStyle w:val="Compact"/>
        <w:numPr>
          <w:ilvl w:val="0"/>
          <w:numId w:val="1002"/>
        </w:numPr>
      </w:pPr>
      <w:r>
        <w:rPr>
          <w:rFonts w:hint="eastAsia"/>
          <w:b/>
          <w:bCs/>
        </w:rPr>
        <w:t xml:space="preserve">跨境开放由贸易延伸到口岸、非洲合作和绿证交易（★★★★）</w:t>
      </w:r>
      <w:r>
        <w:rPr>
          <w:rFonts w:hint="eastAsia"/>
        </w:rPr>
        <w:t xml:space="preserve">：中朝新鸭绿江大桥开通，中博、中多合作涉及矿业、数字、绿色、基建、农业、金融和产供链，国内首次完成绿证跨境集中交易。</w:t>
      </w:r>
    </w:p>
    <w:p>
      <w:pPr>
        <w:pStyle w:val="Compact"/>
        <w:numPr>
          <w:ilvl w:val="0"/>
          <w:numId w:val="1002"/>
        </w:numPr>
      </w:pPr>
      <w:r>
        <w:rPr>
          <w:rFonts w:hint="eastAsia"/>
          <w:b/>
          <w:bCs/>
        </w:rPr>
        <w:t xml:space="preserve">自主科技应用继续落地（★★★★）</w:t>
      </w:r>
      <w:r>
        <w:rPr>
          <w:rFonts w:hint="eastAsia"/>
        </w:rPr>
        <w:t xml:space="preserve">：朱雀二号改进型一箭十星服务太空算力和高性能卫星互联网试验，渤海通信感知网为涉海活动提供宽带通信与实时感知。</w:t>
      </w:r>
    </w:p>
    <w:p>
      <w:pPr>
        <w:pStyle w:val="Compact"/>
        <w:numPr>
          <w:ilvl w:val="0"/>
          <w:numId w:val="1002"/>
        </w:numPr>
      </w:pPr>
      <w:r>
        <w:rPr>
          <w:rFonts w:hint="eastAsia"/>
          <w:b/>
          <w:bCs/>
        </w:rPr>
        <w:t xml:space="preserve">全球能源与航运风险明显上升（★★★★）</w:t>
      </w:r>
      <w:r>
        <w:rPr>
          <w:rFonts w:hint="eastAsia"/>
        </w:rPr>
        <w:t xml:space="preserve">：霍尔木兹周边本月已有22艘船只遭遇袭击等事件，胡塞武装称仍控制曼德海峡，国际能源署预计柴油紧张持续至2027年。</w:t>
      </w:r>
    </w:p>
    <w:bookmarkEnd w:id="10"/>
    <w:bookmarkStart w:id="21" w:name="三逐条a股影响分析"/>
    <w:p>
      <w:pPr>
        <w:pStyle w:val="Heading2"/>
      </w:pPr>
      <w:r>
        <w:rPr>
          <w:rFonts w:hint="eastAsia"/>
        </w:rPr>
        <w:t xml:space="preserve">三、逐条A股影响分析</w:t>
      </w:r>
    </w:p>
    <w:bookmarkStart w:id="11" w:name="Xb441f0fc6df710453a035979c90a01b9cea6876"/>
    <w:p>
      <w:pPr>
        <w:pStyle w:val="Heading3"/>
      </w:pPr>
      <w:r>
        <w:t xml:space="preserve">1. </w:t>
      </w:r>
      <w:r>
        <w:rPr>
          <w:rFonts w:hint="eastAsia"/>
        </w:rPr>
        <w:t xml:space="preserve">健康中国头条：六大核心能力与“三医”协同形成长期政策锚</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A股影响：中长期结构性利好，行业内部仍将分化</w:t>
      </w:r>
    </w:p>
    <w:p>
      <w:pPr>
        <w:pStyle w:val="Compact"/>
        <w:numPr>
          <w:ilvl w:val="0"/>
          <w:numId w:val="1003"/>
        </w:numPr>
      </w:pPr>
      <w:r>
        <w:rPr>
          <w:rFonts w:hint="eastAsia"/>
          <w:b/>
          <w:bCs/>
        </w:rPr>
        <w:t xml:space="preserve">影响时效：短期1—3日形成主题关注；中期1—4周等待规划与项目；长期指向2035年</w:t>
      </w:r>
    </w:p>
    <w:p>
      <w:pPr>
        <w:pStyle w:val="Compact"/>
        <w:numPr>
          <w:ilvl w:val="0"/>
          <w:numId w:val="1003"/>
        </w:numPr>
      </w:pPr>
      <w:r>
        <w:rPr>
          <w:rFonts w:hint="eastAsia"/>
          <w:b/>
          <w:bCs/>
        </w:rPr>
        <w:t xml:space="preserve">受益映射：</w:t>
      </w:r>
      <w:r>
        <w:t xml:space="preserve"> </w:t>
      </w:r>
      <w:r>
        <w:rPr>
          <w:rFonts w:hint="eastAsia"/>
        </w:rPr>
        <w:t xml:space="preserve">基层医疗、医疗器械、医疗信息化、疾病预防、健康管理、医保信息化、创新药与医疗服务。</w:t>
      </w:r>
    </w:p>
    <w:p>
      <w:pPr>
        <w:pStyle w:val="Compact"/>
        <w:numPr>
          <w:ilvl w:val="0"/>
          <w:numId w:val="1003"/>
        </w:numPr>
      </w:pPr>
      <w:r>
        <w:rPr>
          <w:rFonts w:hint="eastAsia"/>
          <w:b/>
          <w:bCs/>
        </w:rPr>
        <w:t xml:space="preserve">约束方向：</w:t>
      </w:r>
      <w:r>
        <w:t xml:space="preserve"> </w:t>
      </w:r>
      <w:r>
        <w:rPr>
          <w:rFonts w:hint="eastAsia"/>
        </w:rPr>
        <w:t xml:space="preserve">缺乏临床价值、成本效率和支付能力支撑的同质化供给。</w:t>
      </w:r>
    </w:p>
    <w:p>
      <w:pPr>
        <w:pStyle w:val="FirstParagraph"/>
      </w:pPr>
      <w:r>
        <w:rPr>
          <w:rFonts w:hint="eastAsia"/>
          <w:b/>
          <w:bCs/>
        </w:rPr>
        <w:t xml:space="preserve">原文事实：</w:t>
      </w:r>
      <w:r>
        <w:t xml:space="preserve"> </w:t>
      </w:r>
      <w:r>
        <w:rPr>
          <w:rFonts w:hint="eastAsia"/>
        </w:rPr>
        <w:t xml:space="preserve">习近平总书记在全国卫生与健康大会上的重要讲话持续引发反响。报道提出，到2035年建成健康中国，“十五五”时期要取得决定性进展；持续提升六大核心能力，推进医疗、医保、医药协同发展和治理，坚持健康优先、预防为主。</w:t>
      </w:r>
    </w:p>
    <w:p>
      <w:pPr>
        <w:pStyle w:val="BodyText"/>
      </w:pPr>
      <w:r>
        <w:rPr>
          <w:rFonts w:hint="eastAsia"/>
          <w:b/>
          <w:bCs/>
        </w:rPr>
        <w:t xml:space="preserve">通俗解读与A股映射：</w:t>
      </w:r>
      <w:r>
        <w:t xml:space="preserve"> </w:t>
      </w:r>
      <w:r>
        <w:rPr>
          <w:rFonts w:hint="eastAsia"/>
        </w:rPr>
        <w:t xml:space="preserve">头条传递的是从公共卫生、疾病预防到医疗服务、医保支撑和医药创新的系统建设，而不是单一医药品种利好。有效兑现要沿“规划—财政与医保安排—项目—采购或服务量—企业收入”逐级验证。原文没有专项资金规模、采购数量、企业名单和支付细则，不能据此确认具体上市公司订单。</w:t>
      </w:r>
    </w:p>
    <w:p>
      <w:pPr>
        <w:pStyle w:val="BodyText"/>
      </w:pPr>
      <w:r>
        <w:rPr>
          <w:rFonts w:hint="eastAsia"/>
          <w:b/>
          <w:bCs/>
        </w:rPr>
        <w:t xml:space="preserve">后续验证点：</w:t>
      </w:r>
      <w:r>
        <w:t xml:space="preserve"> </w:t>
      </w:r>
      <w:r>
        <w:rPr>
          <w:rFonts w:hint="eastAsia"/>
        </w:rPr>
        <w:t xml:space="preserve">“十五五”卫生健康规划、基层能力建设清单、医保支付与医药协同治理细则、医疗信息化和设备采购项目。</w:t>
      </w:r>
    </w:p>
    <w:bookmarkEnd w:id="11"/>
    <w:bookmarkStart w:id="12" w:name="Xd9244f1e0ae8257fd15a7484a66477f8b5ce434"/>
    <w:p>
      <w:pPr>
        <w:pStyle w:val="Heading3"/>
      </w:pPr>
      <w:r>
        <w:t xml:space="preserve">2. </w:t>
      </w:r>
      <w:r>
        <w:rPr>
          <w:rFonts w:hint="eastAsia"/>
        </w:rPr>
        <w:t xml:space="preserve">中朝新鸭绿江大桥开通：口岸效率与边境合作获得事件催化</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A股影响：区域性、事件型利好</w:t>
      </w:r>
    </w:p>
    <w:p>
      <w:pPr>
        <w:pStyle w:val="Compact"/>
        <w:numPr>
          <w:ilvl w:val="0"/>
          <w:numId w:val="1004"/>
        </w:numPr>
      </w:pPr>
      <w:r>
        <w:rPr>
          <w:rFonts w:hint="eastAsia"/>
          <w:b/>
          <w:bCs/>
        </w:rPr>
        <w:t xml:space="preserve">影响时效：短期关注通车，中期看通关与货运数据</w:t>
      </w:r>
    </w:p>
    <w:p>
      <w:pPr>
        <w:pStyle w:val="Compact"/>
        <w:numPr>
          <w:ilvl w:val="0"/>
          <w:numId w:val="1004"/>
        </w:numPr>
      </w:pPr>
      <w:r>
        <w:rPr>
          <w:rFonts w:hint="eastAsia"/>
          <w:b/>
          <w:bCs/>
        </w:rPr>
        <w:t xml:space="preserve">受益映射：</w:t>
      </w:r>
      <w:r>
        <w:t xml:space="preserve"> </w:t>
      </w:r>
      <w:r>
        <w:rPr>
          <w:rFonts w:hint="eastAsia"/>
        </w:rPr>
        <w:t xml:space="preserve">东北口岸物流、跨境运输、仓储、边境贸易与口岸信息化。</w:t>
      </w:r>
    </w:p>
    <w:p>
      <w:pPr>
        <w:pStyle w:val="FirstParagraph"/>
      </w:pPr>
      <w:r>
        <w:rPr>
          <w:rFonts w:hint="eastAsia"/>
          <w:b/>
          <w:bCs/>
        </w:rPr>
        <w:t xml:space="preserve">原文事实：</w:t>
      </w:r>
      <w:r>
        <w:t xml:space="preserve"> </w:t>
      </w:r>
      <w:r>
        <w:rPr>
          <w:rFonts w:hint="eastAsia"/>
        </w:rPr>
        <w:t xml:space="preserve">李强在开通仪式上表示，希望双方持续优化口岸通关、提升互联互通水平、挖掘边境合作潜力，并提出加强战略沟通、夯实政治互信、拓展务实合作。</w:t>
      </w:r>
    </w:p>
    <w:p>
      <w:pPr>
        <w:pStyle w:val="BodyText"/>
      </w:pPr>
      <w:r>
        <w:rPr>
          <w:rFonts w:hint="eastAsia"/>
          <w:b/>
          <w:bCs/>
        </w:rPr>
        <w:t xml:space="preserve">分析：</w:t>
      </w:r>
      <w:r>
        <w:t xml:space="preserve"> </w:t>
      </w:r>
      <w:r>
        <w:rPr>
          <w:rFonts w:hint="eastAsia"/>
        </w:rPr>
        <w:t xml:space="preserve">大桥开通解决的是物理联通条件，产业增量仍取决于通关规则、货运班次、贸易品类和实际流量。原文没有披露设计运量、收费、贸易额或运营企业，不能直接推导上市公司利润。</w:t>
      </w:r>
    </w:p>
    <w:bookmarkEnd w:id="12"/>
    <w:bookmarkStart w:id="13" w:name="X3dcbb41cba74e38503a5d6ded623fe489c76499"/>
    <w:p>
      <w:pPr>
        <w:pStyle w:val="Heading3"/>
      </w:pPr>
      <w:r>
        <w:t xml:space="preserve">3. </w:t>
      </w:r>
      <w:r>
        <w:rPr>
          <w:rFonts w:hint="eastAsia"/>
        </w:rPr>
        <w:t xml:space="preserve">李强会见博茨瓦纳总统：矿业、数字、绿色与零关税合作方向明确</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A股影响：中长期结构性利好，短线直接催化有限</w:t>
      </w:r>
    </w:p>
    <w:p>
      <w:pPr>
        <w:pStyle w:val="Compact"/>
        <w:numPr>
          <w:ilvl w:val="0"/>
          <w:numId w:val="1005"/>
        </w:numPr>
      </w:pPr>
      <w:r>
        <w:rPr>
          <w:rFonts w:hint="eastAsia"/>
          <w:b/>
          <w:bCs/>
        </w:rPr>
        <w:t xml:space="preserve">影响时效：中长期</w:t>
      </w:r>
    </w:p>
    <w:p>
      <w:pPr>
        <w:pStyle w:val="Compact"/>
        <w:numPr>
          <w:ilvl w:val="0"/>
          <w:numId w:val="1005"/>
        </w:numPr>
      </w:pPr>
      <w:r>
        <w:rPr>
          <w:rFonts w:hint="eastAsia"/>
          <w:b/>
          <w:bCs/>
        </w:rPr>
        <w:t xml:space="preserve">受益映射：</w:t>
      </w:r>
      <w:r>
        <w:t xml:space="preserve"> </w:t>
      </w:r>
      <w:r>
        <w:rPr>
          <w:rFonts w:hint="eastAsia"/>
        </w:rPr>
        <w:t xml:space="preserve">对非矿业合作、数字基础设施、绿色产业、跨境贸易与“一带一路”服务。</w:t>
      </w:r>
    </w:p>
    <w:p>
      <w:pPr>
        <w:pStyle w:val="FirstParagraph"/>
      </w:pPr>
      <w:r>
        <w:rPr>
          <w:rFonts w:hint="eastAsia"/>
          <w:b/>
          <w:bCs/>
        </w:rPr>
        <w:t xml:space="preserve">原文事实：</w:t>
      </w:r>
      <w:r>
        <w:t xml:space="preserve"> </w:t>
      </w:r>
      <w:r>
        <w:rPr>
          <w:rFonts w:hint="eastAsia"/>
        </w:rPr>
        <w:t xml:space="preserve">双方提出高质量共建“一带一路”，加强矿业、数字、绿色、人文等领域合作；博方表示愿用好零关税政策，拓展贸易等务实合作。</w:t>
      </w:r>
    </w:p>
    <w:p>
      <w:pPr>
        <w:pStyle w:val="BodyText"/>
      </w:pPr>
      <w:r>
        <w:rPr>
          <w:rFonts w:hint="eastAsia"/>
          <w:b/>
          <w:bCs/>
        </w:rPr>
        <w:t xml:space="preserve">分析：</w:t>
      </w:r>
      <w:r>
        <w:t xml:space="preserve"> </w:t>
      </w:r>
      <w:r>
        <w:rPr>
          <w:rFonts w:hint="eastAsia"/>
        </w:rPr>
        <w:t xml:space="preserve">政策方向有利于具备非洲项目经验、合规能力和回款保障的企业，但原文没有项目名称、合同金额、资源品种或上市公司名单。零关税政策有助于贸易便利化，实际影响需看商品结构和成交规模。</w:t>
      </w:r>
    </w:p>
    <w:bookmarkEnd w:id="13"/>
    <w:bookmarkStart w:id="14" w:name="X383330b44dd2952df355b9e4906dfd0e42e8b1a"/>
    <w:p>
      <w:pPr>
        <w:pStyle w:val="Heading3"/>
      </w:pPr>
      <w:r>
        <w:t xml:space="preserve">4. </w:t>
      </w:r>
      <w:r>
        <w:rPr>
          <w:rFonts w:hint="eastAsia"/>
        </w:rPr>
        <w:t xml:space="preserve">欢迎多哥部长会议主席访华：礼宾活动本身对A股直接影响有限</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A股影响：中性</w:t>
      </w:r>
    </w:p>
    <w:p>
      <w:pPr>
        <w:pStyle w:val="Compact"/>
        <w:numPr>
          <w:ilvl w:val="0"/>
          <w:numId w:val="1006"/>
        </w:numPr>
      </w:pPr>
      <w:r>
        <w:rPr>
          <w:rFonts w:hint="eastAsia"/>
          <w:b/>
          <w:bCs/>
        </w:rPr>
        <w:t xml:space="preserve">影响时效：短期</w:t>
      </w:r>
    </w:p>
    <w:p>
      <w:pPr>
        <w:pStyle w:val="Compact"/>
        <w:numPr>
          <w:ilvl w:val="0"/>
          <w:numId w:val="1006"/>
        </w:numPr>
      </w:pPr>
      <w:r>
        <w:rPr>
          <w:rFonts w:hint="eastAsia"/>
          <w:b/>
          <w:bCs/>
        </w:rPr>
        <w:t xml:space="preserve">关联方向：</w:t>
      </w:r>
      <w:r>
        <w:t xml:space="preserve"> </w:t>
      </w:r>
      <w:r>
        <w:rPr>
          <w:rFonts w:hint="eastAsia"/>
        </w:rPr>
        <w:t xml:space="preserve">中非外交与后续务实合作。</w:t>
      </w:r>
    </w:p>
    <w:p>
      <w:pPr>
        <w:pStyle w:val="FirstParagraph"/>
      </w:pPr>
      <w:r>
        <w:rPr>
          <w:rFonts w:hint="eastAsia"/>
        </w:rPr>
        <w:t xml:space="preserve">该条原文主要记录欢迎仪式、两国国歌和检阅仪仗队，没有披露产业政策、项目或合同。市场含义应与下一条正式会谈成果合并观察，不能把礼宾活动单独计算为新增产业利好。</w:t>
      </w:r>
    </w:p>
    <w:bookmarkEnd w:id="14"/>
    <w:bookmarkStart w:id="15" w:name="Xd27442f96a1dd774272fb589c7262947945dd87"/>
    <w:p>
      <w:pPr>
        <w:pStyle w:val="Heading3"/>
      </w:pPr>
      <w:r>
        <w:t xml:space="preserve">5. </w:t>
      </w:r>
      <w:r>
        <w:rPr>
          <w:rFonts w:hint="eastAsia"/>
        </w:rPr>
        <w:t xml:space="preserve">中多会谈与多项合作文件：基建、农业、金融和产供链合作扩围</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A股影响：中长期结构性利好</w:t>
      </w:r>
    </w:p>
    <w:p>
      <w:pPr>
        <w:pStyle w:val="Compact"/>
        <w:numPr>
          <w:ilvl w:val="0"/>
          <w:numId w:val="1007"/>
        </w:numPr>
      </w:pPr>
      <w:r>
        <w:rPr>
          <w:rFonts w:hint="eastAsia"/>
          <w:b/>
          <w:bCs/>
        </w:rPr>
        <w:t xml:space="preserve">影响时效：中长期，需等待项目级落地</w:t>
      </w:r>
    </w:p>
    <w:p>
      <w:pPr>
        <w:pStyle w:val="Compact"/>
        <w:numPr>
          <w:ilvl w:val="0"/>
          <w:numId w:val="1007"/>
        </w:numPr>
      </w:pPr>
      <w:r>
        <w:rPr>
          <w:rFonts w:hint="eastAsia"/>
          <w:b/>
          <w:bCs/>
        </w:rPr>
        <w:t xml:space="preserve">受益映射：</w:t>
      </w:r>
      <w:r>
        <w:t xml:space="preserve"> </w:t>
      </w:r>
      <w:r>
        <w:rPr>
          <w:rFonts w:hint="eastAsia"/>
        </w:rPr>
        <w:t xml:space="preserve">国际工程、基础设施、农业现代化、金融服务、产供链服务、检验检测与对非贸易。</w:t>
      </w:r>
    </w:p>
    <w:p>
      <w:pPr>
        <w:pStyle w:val="FirstParagraph"/>
      </w:pPr>
      <w:r>
        <w:rPr>
          <w:rFonts w:hint="eastAsia"/>
          <w:b/>
          <w:bCs/>
        </w:rPr>
        <w:t xml:space="preserve">原文事实：</w:t>
      </w:r>
      <w:r>
        <w:t xml:space="preserve"> </w:t>
      </w:r>
      <w:r>
        <w:rPr>
          <w:rFonts w:hint="eastAsia"/>
        </w:rPr>
        <w:t xml:space="preserve">中方提出加强互联互通、基础设施、农业现代化、金融等领域合作，愿进口更多多哥优质产品，并支持使用零关税和输华产品“绿色通道”升级便利。会谈后签署产供链、人力资源、海关检验检疫等多项合作文件，并发表构建新时代中多命运共同体的联合声明。</w:t>
      </w:r>
    </w:p>
    <w:p>
      <w:pPr>
        <w:pStyle w:val="BodyText"/>
      </w:pPr>
      <w:r>
        <w:rPr>
          <w:rFonts w:hint="eastAsia"/>
          <w:b/>
          <w:bCs/>
        </w:rPr>
        <w:t xml:space="preserve">分析：</w:t>
      </w:r>
      <w:r>
        <w:t xml:space="preserve"> </w:t>
      </w:r>
      <w:r>
        <w:rPr>
          <w:rFonts w:hint="eastAsia"/>
        </w:rPr>
        <w:t xml:space="preserve">与单纯外交表态相比，签署合作文件提高了方向确定性，但底稿没有给出文件明细、金额、工期或企业主体。A股层面应等待招标、合同、融资与回款安排，尤其注意海外项目的汇率、政治和应收账款风险。</w:t>
      </w:r>
    </w:p>
    <w:bookmarkEnd w:id="15"/>
    <w:bookmarkStart w:id="16" w:name="X9a791f9a292b1cc360ecaadc157660fb80320d9"/>
    <w:p>
      <w:pPr>
        <w:pStyle w:val="Heading3"/>
      </w:pPr>
      <w:r>
        <w:t xml:space="preserve">6. </w:t>
      </w:r>
      <w:r>
        <w:rPr>
          <w:rFonts w:hint="eastAsia"/>
        </w:rPr>
        <w:t xml:space="preserve">李强将访中亚并赴俄会晤：区域合作预期升温，尚无新增项目事实</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A股影响：预期层面中性偏利好</w:t>
      </w:r>
    </w:p>
    <w:p>
      <w:pPr>
        <w:pStyle w:val="Compact"/>
        <w:numPr>
          <w:ilvl w:val="0"/>
          <w:numId w:val="1008"/>
        </w:numPr>
      </w:pPr>
      <w:r>
        <w:rPr>
          <w:rFonts w:hint="eastAsia"/>
          <w:b/>
          <w:bCs/>
        </w:rPr>
        <w:t xml:space="preserve">影响时效：短期预期、中期看访问成果</w:t>
      </w:r>
    </w:p>
    <w:p>
      <w:pPr>
        <w:pStyle w:val="Compact"/>
        <w:numPr>
          <w:ilvl w:val="0"/>
          <w:numId w:val="1008"/>
        </w:numPr>
      </w:pPr>
      <w:r>
        <w:rPr>
          <w:rFonts w:hint="eastAsia"/>
          <w:b/>
          <w:bCs/>
        </w:rPr>
        <w:t xml:space="preserve">关联方向：</w:t>
      </w:r>
      <w:r>
        <w:t xml:space="preserve"> </w:t>
      </w:r>
      <w:r>
        <w:rPr>
          <w:rFonts w:hint="eastAsia"/>
        </w:rPr>
        <w:t xml:space="preserve">中亚与俄罗斯贸易、跨境物流、能源合作、“一带一路”项目服务。</w:t>
      </w:r>
    </w:p>
    <w:p>
      <w:pPr>
        <w:pStyle w:val="FirstParagraph"/>
      </w:pPr>
      <w:r>
        <w:rPr>
          <w:rFonts w:hint="eastAsia"/>
        </w:rPr>
        <w:t xml:space="preserve">原文确认10月17日至18日访问乌兹别克斯坦，18日至20日访问塔吉克斯坦并出席上合组织政府首脑理事会第二十五次会议，20日至22日赴俄罗斯举行中俄总理第三十一次定期会晤。该条是行程预告，没有披露将签署的协议、项目和金额，因此只能作为后续观察窗口，不能提前确认产业订单。</w:t>
      </w:r>
    </w:p>
    <w:bookmarkEnd w:id="16"/>
    <w:bookmarkStart w:id="17" w:name="X798e2ed874e1cd38d30a9c7a9a325de9bfb7263"/>
    <w:p>
      <w:pPr>
        <w:pStyle w:val="Heading3"/>
      </w:pPr>
      <w:r>
        <w:t xml:space="preserve">7. </w:t>
      </w:r>
      <w:r>
        <w:rPr>
          <w:rFonts w:hint="eastAsia"/>
        </w:rPr>
        <w:t xml:space="preserve">群众身边不正之风和腐败问题集中整治：财政与基层资产管理趋严</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A股影响：短期直接催化弱，长期有利于公共资金规范和治理质量</w:t>
      </w:r>
    </w:p>
    <w:p>
      <w:pPr>
        <w:pStyle w:val="Compact"/>
        <w:numPr>
          <w:ilvl w:val="0"/>
          <w:numId w:val="1009"/>
        </w:numPr>
      </w:pPr>
      <w:r>
        <w:rPr>
          <w:rFonts w:hint="eastAsia"/>
          <w:b/>
          <w:bCs/>
        </w:rPr>
        <w:t xml:space="preserve">影响时效：长期</w:t>
      </w:r>
    </w:p>
    <w:p>
      <w:pPr>
        <w:pStyle w:val="Compact"/>
        <w:numPr>
          <w:ilvl w:val="0"/>
          <w:numId w:val="1009"/>
        </w:numPr>
      </w:pPr>
      <w:r>
        <w:rPr>
          <w:rFonts w:hint="eastAsia"/>
          <w:b/>
          <w:bCs/>
        </w:rPr>
        <w:t xml:space="preserve">关联方向：</w:t>
      </w:r>
      <w:r>
        <w:t xml:space="preserve"> </w:t>
      </w:r>
      <w:r>
        <w:rPr>
          <w:rFonts w:hint="eastAsia"/>
        </w:rPr>
        <w:t xml:space="preserve">财政资金监管、农村集体“三资”管理、物业资金透明、审计与政务数字化。</w:t>
      </w:r>
    </w:p>
    <w:p>
      <w:pPr>
        <w:pStyle w:val="FirstParagraph"/>
      </w:pPr>
      <w:r>
        <w:rPr>
          <w:rFonts w:hint="eastAsia"/>
          <w:b/>
          <w:bCs/>
        </w:rPr>
        <w:t xml:space="preserve">原文事实：</w:t>
      </w:r>
      <w:r>
        <w:t xml:space="preserve"> </w:t>
      </w:r>
      <w:r>
        <w:rPr>
          <w:rFonts w:hint="eastAsia"/>
        </w:rPr>
        <w:t xml:space="preserve">集中整治自2024年开始，采取一抓三年安排。江西案例涉及虚报工程量、伪造合同和套取工程款；甘肃已追回村集体流失资金10836.19万元、化解村级债务7667.58万元；浙江推动规范物业各类资金管理。全国共推动解决群众急难愁盼问题698万个，查处侵害群众利益问题225.3万个，处分155.5万人。</w:t>
      </w:r>
    </w:p>
    <w:p>
      <w:pPr>
        <w:pStyle w:val="BodyText"/>
      </w:pPr>
      <w:r>
        <w:rPr>
          <w:rFonts w:hint="eastAsia"/>
          <w:b/>
          <w:bCs/>
        </w:rPr>
        <w:t xml:space="preserve">分析：</w:t>
      </w:r>
      <w:r>
        <w:t xml:space="preserve"> </w:t>
      </w:r>
      <w:r>
        <w:rPr>
          <w:rFonts w:hint="eastAsia"/>
        </w:rPr>
        <w:t xml:space="preserve">这意味着基层工程、财政资金、农村集体资产和物业公共收益将面临更严格的合规与透明要求，长期有利于规范经营环境。原文没有软件采购、审计项目或预算，不能把治理行动直接写成政务IT订单。</w:t>
      </w:r>
    </w:p>
    <w:bookmarkEnd w:id="17"/>
    <w:bookmarkStart w:id="18" w:name="X86757533b6aab9c57ddd8e518096eda4027089c"/>
    <w:p>
      <w:pPr>
        <w:pStyle w:val="Heading3"/>
      </w:pPr>
      <w:r>
        <w:t xml:space="preserve">8. </w:t>
      </w:r>
      <w:r>
        <w:rPr>
          <w:rFonts w:hint="eastAsia"/>
        </w:rPr>
        <w:t xml:space="preserve">四川“十五五”产业布局：量子、6G、光学与先进制造成为明确方向</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A股影响：区域性中长期利好</w:t>
      </w:r>
    </w:p>
    <w:p>
      <w:pPr>
        <w:pStyle w:val="Compact"/>
        <w:numPr>
          <w:ilvl w:val="0"/>
          <w:numId w:val="1010"/>
        </w:numPr>
      </w:pPr>
      <w:r>
        <w:rPr>
          <w:rFonts w:hint="eastAsia"/>
          <w:b/>
          <w:bCs/>
        </w:rPr>
        <w:t xml:space="preserve">影响时效：中长期</w:t>
      </w:r>
    </w:p>
    <w:p>
      <w:pPr>
        <w:pStyle w:val="Compact"/>
        <w:numPr>
          <w:ilvl w:val="0"/>
          <w:numId w:val="1010"/>
        </w:numPr>
      </w:pPr>
      <w:r>
        <w:rPr>
          <w:rFonts w:hint="eastAsia"/>
          <w:b/>
          <w:bCs/>
        </w:rPr>
        <w:t xml:space="preserve">受益映射：</w:t>
      </w:r>
      <w:r>
        <w:t xml:space="preserve"> </w:t>
      </w:r>
      <w:r>
        <w:rPr>
          <w:rFonts w:hint="eastAsia"/>
        </w:rPr>
        <w:t xml:space="preserve">量子科技、6G研发、光学、电子信息、装备制造、食品轻纺、航空航天、生物医药、交通建设与红色文旅。</w:t>
      </w:r>
    </w:p>
    <w:p>
      <w:pPr>
        <w:pStyle w:val="FirstParagraph"/>
      </w:pPr>
      <w:r>
        <w:rPr>
          <w:rFonts w:hint="eastAsia"/>
          <w:b/>
          <w:bCs/>
        </w:rPr>
        <w:t xml:space="preserve">原文事实：</w:t>
      </w:r>
      <w:r>
        <w:t xml:space="preserve"> </w:t>
      </w:r>
      <w:r>
        <w:rPr>
          <w:rFonts w:hint="eastAsia"/>
        </w:rPr>
        <w:t xml:space="preserve">泸石高速全长96.5公里，通车后泸定至石棉通行时间将由3小时缩短至1小时；红色景区年接待量年均增长15%以上。“十五五”期间，四川将布局量子、6G、光学等攻关项目，培育电子信息、装备制造、食品轻纺等6个万亿级产业，做优做强航空航天、生物医药等5个国家级先进制造业集群。</w:t>
      </w:r>
    </w:p>
    <w:p>
      <w:pPr>
        <w:pStyle w:val="BodyText"/>
      </w:pPr>
      <w:r>
        <w:rPr>
          <w:rFonts w:hint="eastAsia"/>
          <w:b/>
          <w:bCs/>
        </w:rPr>
        <w:t xml:space="preserve">分析：</w:t>
      </w:r>
      <w:r>
        <w:t xml:space="preserve"> </w:t>
      </w:r>
      <w:r>
        <w:rPr>
          <w:rFonts w:hint="eastAsia"/>
        </w:rPr>
        <w:t xml:space="preserve">产业清单较具体，覆盖前沿技术、制造集群和交通文旅，但“布局攻关”“培育集群”仍是规划方向。后续需核验地方专项规划、研发资金、项目核准、产业基金、招标和企业资本开支，避免把地区目标机械分配给所有概念股。</w:t>
      </w:r>
    </w:p>
    <w:bookmarkEnd w:id="18"/>
    <w:bookmarkStart w:id="19" w:name="X6d0b2672d3cfb04532220c7a4f2c68b90c36748"/>
    <w:p>
      <w:pPr>
        <w:pStyle w:val="Heading3"/>
      </w:pPr>
      <w:r>
        <w:t xml:space="preserve">9. </w:t>
      </w:r>
      <w:r>
        <w:rPr>
          <w:rFonts w:hint="eastAsia"/>
        </w:rPr>
        <w:t xml:space="preserve">秋粮收获过六成：丰收预期利好粮食安全，种植价格弹性可能受供给约束</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A股影响：农业服务链偏利好，种植端需结合价格判断</w:t>
      </w:r>
    </w:p>
    <w:p>
      <w:pPr>
        <w:pStyle w:val="Compact"/>
        <w:numPr>
          <w:ilvl w:val="0"/>
          <w:numId w:val="1011"/>
        </w:numPr>
      </w:pPr>
      <w:r>
        <w:rPr>
          <w:rFonts w:hint="eastAsia"/>
          <w:b/>
          <w:bCs/>
        </w:rPr>
        <w:t xml:space="preserve">影响时效：短中期</w:t>
      </w:r>
    </w:p>
    <w:p>
      <w:pPr>
        <w:pStyle w:val="Compact"/>
        <w:numPr>
          <w:ilvl w:val="0"/>
          <w:numId w:val="1011"/>
        </w:numPr>
      </w:pPr>
      <w:r>
        <w:rPr>
          <w:rFonts w:hint="eastAsia"/>
          <w:b/>
          <w:bCs/>
        </w:rPr>
        <w:t xml:space="preserve">受益映射：</w:t>
      </w:r>
      <w:r>
        <w:t xml:space="preserve"> </w:t>
      </w:r>
      <w:r>
        <w:rPr>
          <w:rFonts w:hint="eastAsia"/>
        </w:rPr>
        <w:t xml:space="preserve">农机、粮食烘干、仓储、种业与农业社会化服务。</w:t>
      </w:r>
    </w:p>
    <w:p>
      <w:pPr>
        <w:pStyle w:val="Compact"/>
        <w:numPr>
          <w:ilvl w:val="0"/>
          <w:numId w:val="1011"/>
        </w:numPr>
      </w:pPr>
      <w:r>
        <w:rPr>
          <w:rFonts w:hint="eastAsia"/>
          <w:b/>
          <w:bCs/>
        </w:rPr>
        <w:t xml:space="preserve">潜在约束：</w:t>
      </w:r>
      <w:r>
        <w:t xml:space="preserve"> </w:t>
      </w:r>
      <w:r>
        <w:rPr>
          <w:rFonts w:hint="eastAsia"/>
        </w:rPr>
        <w:t xml:space="preserve">若供给增加而需求不变，部分粮食品种价格可能承压；原文未给价格数据。</w:t>
      </w:r>
    </w:p>
    <w:p>
      <w:pPr>
        <w:pStyle w:val="FirstParagraph"/>
      </w:pPr>
      <w:r>
        <w:rPr>
          <w:rFonts w:hint="eastAsia"/>
          <w:b/>
          <w:bCs/>
        </w:rPr>
        <w:t xml:space="preserve">原文事实：</w:t>
      </w:r>
      <w:r>
        <w:t xml:space="preserve"> </w:t>
      </w:r>
      <w:r>
        <w:rPr>
          <w:rFonts w:hint="eastAsia"/>
        </w:rPr>
        <w:t xml:space="preserve">全国秋粮收获进度过六成、略快于常年，秋粮有望再获丰收。黑龙江一处260亩大豆单产提升田块平均亩产683.63斤，刷新当地百亩生产田高产纪录；安徽颍上投入各类农机具10万台（套），其中履带式收割机2600多台，并设置108个粮食烘干点。</w:t>
      </w:r>
    </w:p>
    <w:p>
      <w:pPr>
        <w:pStyle w:val="BodyText"/>
      </w:pPr>
      <w:r>
        <w:rPr>
          <w:rFonts w:hint="eastAsia"/>
          <w:b/>
          <w:bCs/>
        </w:rPr>
        <w:t xml:space="preserve">分析：</w:t>
      </w:r>
      <w:r>
        <w:t xml:space="preserve"> </w:t>
      </w:r>
      <w:r>
        <w:rPr>
          <w:rFonts w:hint="eastAsia"/>
        </w:rPr>
        <w:t xml:space="preserve">原文直接支持农机和烘干服务需求场景，也支持粮食安全与单产提升主题；但没有全国总产量、粮价、企业订单和利润数据。丰收对加工、仓储和流通的影响与对种植利润的影响可能不同，需要分开评估。</w:t>
      </w:r>
    </w:p>
    <w:bookmarkEnd w:id="19"/>
    <w:bookmarkStart w:id="20" w:name="Xda3c8dfdef4e22cfea016067289376e47c1e03f"/>
    <w:p>
      <w:pPr>
        <w:pStyle w:val="Heading3"/>
      </w:pPr>
      <w:r>
        <w:t xml:space="preserve">10. </w:t>
      </w:r>
      <w:r>
        <w:rPr>
          <w:rFonts w:hint="eastAsia"/>
        </w:rPr>
        <w:t xml:space="preserve">首批国家公园设立五年：生态修复与监测形成长期公共投入方向</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A股影响：中长期主题利好，商业兑现依赖项目与预算</w:t>
      </w:r>
    </w:p>
    <w:p>
      <w:pPr>
        <w:pStyle w:val="Compact"/>
        <w:numPr>
          <w:ilvl w:val="0"/>
          <w:numId w:val="1012"/>
        </w:numPr>
      </w:pPr>
      <w:r>
        <w:rPr>
          <w:rFonts w:hint="eastAsia"/>
          <w:b/>
          <w:bCs/>
        </w:rPr>
        <w:t xml:space="preserve">影响时效：长期</w:t>
      </w:r>
    </w:p>
    <w:p>
      <w:pPr>
        <w:pStyle w:val="Compact"/>
        <w:numPr>
          <w:ilvl w:val="0"/>
          <w:numId w:val="1012"/>
        </w:numPr>
      </w:pPr>
      <w:r>
        <w:rPr>
          <w:rFonts w:hint="eastAsia"/>
          <w:b/>
          <w:bCs/>
        </w:rPr>
        <w:t xml:space="preserve">受益映射：</w:t>
      </w:r>
      <w:r>
        <w:t xml:space="preserve"> </w:t>
      </w:r>
      <w:r>
        <w:rPr>
          <w:rFonts w:hint="eastAsia"/>
        </w:rPr>
        <w:t xml:space="preserve">生态修复、环境监测、遥感与物联网、水土保持、自然保护地运营服务。</w:t>
      </w:r>
    </w:p>
    <w:p>
      <w:pPr>
        <w:pStyle w:val="FirstParagraph"/>
      </w:pPr>
      <w:r>
        <w:rPr>
          <w:rFonts w:hint="eastAsia"/>
          <w:b/>
          <w:bCs/>
        </w:rPr>
        <w:t xml:space="preserve">原文事实：</w:t>
      </w:r>
      <w:r>
        <w:t xml:space="preserve"> </w:t>
      </w:r>
      <w:r>
        <w:rPr>
          <w:rFonts w:hint="eastAsia"/>
        </w:rPr>
        <w:t xml:space="preserve">首批五个国家公园保护面积23万平方公里；三江源藏羚羊种群恢复至7万余只，海南长臂猿扩大至7群44只，大熊猫国家公园保护全国70%以上野生大熊猫；生态效益评估指标优秀比例达75%。各公园推进栖息地修复、生态廊道连通和人为活动管控。</w:t>
      </w:r>
    </w:p>
    <w:p>
      <w:pPr>
        <w:pStyle w:val="BodyText"/>
      </w:pPr>
      <w:r>
        <w:rPr>
          <w:rFonts w:hint="eastAsia"/>
          <w:b/>
          <w:bCs/>
        </w:rPr>
        <w:t xml:space="preserve">分析：</w:t>
      </w:r>
      <w:r>
        <w:t xml:space="preserve"> </w:t>
      </w:r>
      <w:r>
        <w:rPr>
          <w:rFonts w:hint="eastAsia"/>
        </w:rPr>
        <w:t xml:space="preserve">国家公园制度体系基本建成，生态修复、监测和系统治理具备长期需求，但底稿没有新增预算、项目招标和收费机制。短线更偏政策主题，中长期须看财政投入和项目落地。</w:t>
      </w:r>
    </w:p>
    <w:bookmarkEnd w:id="20"/>
    <w:bookmarkEnd w:id="21"/>
    <w:bookmarkStart w:id="33" w:name="四国内联播快讯逐项分析"/>
    <w:p>
      <w:pPr>
        <w:pStyle w:val="Heading2"/>
      </w:pPr>
      <w:r>
        <w:rPr>
          <w:rFonts w:hint="eastAsia"/>
        </w:rPr>
        <w:t xml:space="preserve">四、国内联播快讯逐项分析</w:t>
      </w:r>
    </w:p>
    <w:bookmarkStart w:id="22" w:name="Xf3174a3634981b2d92fa0814c107f37eb03a5aa"/>
    <w:p>
      <w:pPr>
        <w:pStyle w:val="Heading3"/>
      </w:pPr>
      <w:r>
        <w:t xml:space="preserve">11.1 </w:t>
      </w:r>
      <w:r>
        <w:rPr>
          <w:rFonts w:hint="eastAsia"/>
        </w:rPr>
        <w:t xml:space="preserve">第三轮第七批中央生态环境保护督察进驻</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A股影响：环保治理方向受益，高排放与合规薄弱企业承压</w:t>
      </w:r>
    </w:p>
    <w:p>
      <w:pPr>
        <w:pStyle w:val="Compact"/>
        <w:numPr>
          <w:ilvl w:val="0"/>
          <w:numId w:val="1013"/>
        </w:numPr>
      </w:pPr>
      <w:r>
        <w:rPr>
          <w:rFonts w:hint="eastAsia"/>
          <w:b/>
          <w:bCs/>
        </w:rPr>
        <w:t xml:space="preserve">关联方向：</w:t>
      </w:r>
      <w:r>
        <w:t xml:space="preserve"> </w:t>
      </w:r>
      <w:r>
        <w:rPr>
          <w:rFonts w:hint="eastAsia"/>
        </w:rPr>
        <w:t xml:space="preserve">环境监测、污染治理、工业环保、企业合规。</w:t>
      </w:r>
    </w:p>
    <w:p>
      <w:pPr>
        <w:pStyle w:val="FirstParagraph"/>
      </w:pPr>
      <w:r>
        <w:rPr>
          <w:rFonts w:hint="eastAsia"/>
        </w:rPr>
        <w:t xml:space="preserve">5个督察组已全部进驻，2个例行督察组进驻1个月，3个专项督察组进驻约两周。短期可能提升环保治理和监测关注度，也会增加不合规产能的整改压力；原文没有点名行业、地区问题或项目金额。</w:t>
      </w:r>
    </w:p>
    <w:bookmarkEnd w:id="22"/>
    <w:bookmarkStart w:id="23" w:name="X7e73454da732aee697e8185ac2ff85e9ffebe81"/>
    <w:p>
      <w:pPr>
        <w:pStyle w:val="Heading3"/>
      </w:pPr>
      <w:r>
        <w:t xml:space="preserve">11.2 </w:t>
      </w:r>
      <w:r>
        <w:rPr>
          <w:rFonts w:hint="eastAsia"/>
        </w:rPr>
        <w:t xml:space="preserve">网络涉军不当营销和炒作信息专项整治</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A股影响：平台与营销合规要求提高，直接产业利好有限</w:t>
      </w:r>
    </w:p>
    <w:p>
      <w:pPr>
        <w:pStyle w:val="Compact"/>
        <w:numPr>
          <w:ilvl w:val="0"/>
          <w:numId w:val="1014"/>
        </w:numPr>
      </w:pPr>
      <w:r>
        <w:rPr>
          <w:rFonts w:hint="eastAsia"/>
          <w:b/>
          <w:bCs/>
        </w:rPr>
        <w:t xml:space="preserve">关联方向：</w:t>
      </w:r>
      <w:r>
        <w:t xml:space="preserve"> </w:t>
      </w:r>
      <w:r>
        <w:rPr>
          <w:rFonts w:hint="eastAsia"/>
        </w:rPr>
        <w:t xml:space="preserve">内容审核、网络治理、平台合规。</w:t>
      </w:r>
    </w:p>
    <w:p>
      <w:pPr>
        <w:pStyle w:val="FirstParagraph"/>
      </w:pPr>
      <w:r>
        <w:rPr>
          <w:rFonts w:hint="eastAsia"/>
        </w:rPr>
        <w:t xml:space="preserve">专项整治从10月开始、持续2个月，重点处置打着退役军人、军属等旗号违规营销和炒作的网站账号。对平台意味着审核责任和营销合规收紧，但原文未披露技术采购或处罚规模。</w:t>
      </w:r>
    </w:p>
    <w:bookmarkEnd w:id="23"/>
    <w:bookmarkStart w:id="24" w:name="X0c0fa68505462b41dc41ba66517b66c928ff1a1"/>
    <w:p>
      <w:pPr>
        <w:pStyle w:val="Heading3"/>
      </w:pPr>
      <w:r>
        <w:t xml:space="preserve">11.3 </w:t>
      </w:r>
      <w:r>
        <w:rPr>
          <w:rFonts w:hint="eastAsia"/>
        </w:rPr>
        <w:t xml:space="preserve">知识产权协同保护意见：海关与知识产权管理部门强化全链条协作</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A股影响：中长期利好品牌、创新资产与跨境知识产权服务</w:t>
      </w:r>
    </w:p>
    <w:p>
      <w:pPr>
        <w:pStyle w:val="Compact"/>
        <w:numPr>
          <w:ilvl w:val="0"/>
          <w:numId w:val="1015"/>
        </w:numPr>
      </w:pPr>
      <w:r>
        <w:rPr>
          <w:rFonts w:hint="eastAsia"/>
          <w:b/>
          <w:bCs/>
        </w:rPr>
        <w:t xml:space="preserve">关联方向：</w:t>
      </w:r>
      <w:r>
        <w:t xml:space="preserve"> </w:t>
      </w:r>
      <w:r>
        <w:rPr>
          <w:rFonts w:hint="eastAsia"/>
        </w:rPr>
        <w:t xml:space="preserve">知识产权服务、品牌出海、海关合规、正版化与创新药械。</w:t>
      </w:r>
    </w:p>
    <w:p>
      <w:pPr>
        <w:pStyle w:val="FirstParagraph"/>
      </w:pPr>
      <w:r>
        <w:rPr>
          <w:rFonts w:hint="eastAsia"/>
        </w:rPr>
        <w:t xml:space="preserve">两部门意见鼓励符合条件的权利人办理知识产权海关备案，海关将基于产业政策和风险分析加强保护。政策有利于降低侵权与跨境假冒风险，但没有新增补贴、采购和企业名单，实际效果需看备案、查验和执法数据。</w:t>
      </w:r>
    </w:p>
    <w:bookmarkEnd w:id="24"/>
    <w:bookmarkStart w:id="25" w:name="X88c45a3a562a72998f1a04a2a7936aeebf20824"/>
    <w:p>
      <w:pPr>
        <w:pStyle w:val="Heading3"/>
      </w:pPr>
      <w:r>
        <w:t xml:space="preserve">11.4 </w:t>
      </w:r>
      <w:r>
        <w:rPr>
          <w:rFonts w:hint="eastAsia"/>
        </w:rPr>
        <w:t xml:space="preserve">第140届广交会带动广州口岸客流增长</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A股影响：短期利好商务出行与会展消费</w:t>
      </w:r>
    </w:p>
    <w:p>
      <w:pPr>
        <w:pStyle w:val="Compact"/>
        <w:numPr>
          <w:ilvl w:val="0"/>
          <w:numId w:val="1016"/>
        </w:numPr>
      </w:pPr>
      <w:r>
        <w:rPr>
          <w:rFonts w:hint="eastAsia"/>
          <w:b/>
          <w:bCs/>
        </w:rPr>
        <w:t xml:space="preserve">关联方向：</w:t>
      </w:r>
      <w:r>
        <w:t xml:space="preserve"> </w:t>
      </w:r>
      <w:r>
        <w:rPr>
          <w:rFonts w:hint="eastAsia"/>
        </w:rPr>
        <w:t xml:space="preserve">会展、机场、酒店、商旅服务、入境支付。</w:t>
      </w:r>
    </w:p>
    <w:p>
      <w:pPr>
        <w:pStyle w:val="FirstParagraph"/>
      </w:pPr>
      <w:r>
        <w:rPr>
          <w:rFonts w:hint="eastAsia"/>
        </w:rPr>
        <w:t xml:space="preserve">10月以来广州口岸日均出入境5.6万人次，同比增长超13%；日均入境外籍客商超1.2万人次、增幅超25%；凭借240小时过境免签等政策入境商务客商超12.4万人次。客流改善是积极信号，但原文没有消费额、展会成交额或企业收入数据。</w:t>
      </w:r>
    </w:p>
    <w:bookmarkEnd w:id="25"/>
    <w:bookmarkStart w:id="26" w:name="X9758c7d5fee042b993b18964222f0ebd0b92e22"/>
    <w:p>
      <w:pPr>
        <w:pStyle w:val="Heading3"/>
      </w:pPr>
      <w:r>
        <w:t xml:space="preserve">11.5 </w:t>
      </w:r>
      <w:r>
        <w:rPr>
          <w:rFonts w:hint="eastAsia"/>
        </w:rPr>
        <w:t xml:space="preserve">我国首次完成绿证跨境集中交易</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A股影响：利好新能源环境权益交易与绿色用能服务</w:t>
      </w:r>
    </w:p>
    <w:p>
      <w:pPr>
        <w:pStyle w:val="Compact"/>
        <w:numPr>
          <w:ilvl w:val="0"/>
          <w:numId w:val="1017"/>
        </w:numPr>
      </w:pPr>
      <w:r>
        <w:rPr>
          <w:rFonts w:hint="eastAsia"/>
          <w:b/>
          <w:bCs/>
        </w:rPr>
        <w:t xml:space="preserve">关联方向：</w:t>
      </w:r>
      <w:r>
        <w:t xml:space="preserve"> </w:t>
      </w:r>
      <w:r>
        <w:rPr>
          <w:rFonts w:hint="eastAsia"/>
        </w:rPr>
        <w:t xml:space="preserve">新能源发电、绿证交易、能源数字化、企业碳与用能管理。</w:t>
      </w:r>
    </w:p>
    <w:p>
      <w:pPr>
        <w:pStyle w:val="FirstParagraph"/>
      </w:pPr>
      <w:r>
        <w:rPr>
          <w:rFonts w:hint="eastAsia"/>
        </w:rPr>
        <w:t xml:space="preserve">6家内地新能源发电企业与9家香港用户参与，成交绿证9.6万个，对应可再生能源电量近1亿度，用户涉及银行金融、地产物业等行业。首次跨境集中交易具有机制突破意义，但单次成交规模不能直接外推为常态收入，后续应跟踪价格、频次、参与主体和规则扩围。</w:t>
      </w:r>
    </w:p>
    <w:bookmarkEnd w:id="26"/>
    <w:bookmarkStart w:id="27" w:name="X0e297e6bfe488af6152cfa8c23070d658c0795c"/>
    <w:p>
      <w:pPr>
        <w:pStyle w:val="Heading3"/>
      </w:pPr>
      <w:r>
        <w:t xml:space="preserve">11.6 </w:t>
      </w:r>
      <w:r>
        <w:rPr>
          <w:rFonts w:hint="eastAsia"/>
        </w:rPr>
        <w:t xml:space="preserve">渤海海域通信感知网开通</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A股影响：结构性利好海洋通信与数字化基础设施</w:t>
      </w:r>
    </w:p>
    <w:p>
      <w:pPr>
        <w:pStyle w:val="Compact"/>
        <w:numPr>
          <w:ilvl w:val="0"/>
          <w:numId w:val="1018"/>
        </w:numPr>
      </w:pPr>
      <w:r>
        <w:rPr>
          <w:rFonts w:hint="eastAsia"/>
          <w:b/>
          <w:bCs/>
        </w:rPr>
        <w:t xml:space="preserve">关联方向：</w:t>
      </w:r>
      <w:r>
        <w:t xml:space="preserve"> </w:t>
      </w:r>
      <w:r>
        <w:rPr>
          <w:rFonts w:hint="eastAsia"/>
        </w:rPr>
        <w:t xml:space="preserve">5G专网、海事通信、雷达与感知设备、卫星通信、海洋数字化。</w:t>
      </w:r>
    </w:p>
    <w:p>
      <w:pPr>
        <w:pStyle w:val="FirstParagraph"/>
      </w:pPr>
      <w:r>
        <w:rPr>
          <w:rFonts w:hint="eastAsia"/>
        </w:rPr>
        <w:t xml:space="preserve">该网络由我国自主研发建设，综合信号覆盖率达95%，5G网络覆盖率超80%，服务各类涉海活动的宽带通信和实时感知。原文支持应用场景已经开通，但没有设备供应商、投资额或后续订单，不能据此确认具体公司受益。</w:t>
      </w:r>
    </w:p>
    <w:bookmarkEnd w:id="27"/>
    <w:bookmarkStart w:id="28" w:name="Xa18e0574415ddaeccc39435929f9a198437ce7a"/>
    <w:p>
      <w:pPr>
        <w:pStyle w:val="Heading3"/>
      </w:pPr>
      <w:r>
        <w:t xml:space="preserve">11.7 </w:t>
      </w:r>
      <w:r>
        <w:rPr>
          <w:rFonts w:hint="eastAsia"/>
        </w:rPr>
        <w:t xml:space="preserve">9月中国仓储指数回升至49.7%</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A股影响：边际改善，但指数仍低于50%</w:t>
      </w:r>
    </w:p>
    <w:p>
      <w:pPr>
        <w:pStyle w:val="Compact"/>
        <w:numPr>
          <w:ilvl w:val="0"/>
          <w:numId w:val="1019"/>
        </w:numPr>
      </w:pPr>
      <w:r>
        <w:rPr>
          <w:rFonts w:hint="eastAsia"/>
          <w:b/>
          <w:bCs/>
        </w:rPr>
        <w:t xml:space="preserve">关联方向：</w:t>
      </w:r>
      <w:r>
        <w:t xml:space="preserve"> </w:t>
      </w:r>
      <w:r>
        <w:rPr>
          <w:rFonts w:hint="eastAsia"/>
        </w:rPr>
        <w:t xml:space="preserve">仓储物流、物流自动化、供应链服务。</w:t>
      </w:r>
    </w:p>
    <w:p>
      <w:pPr>
        <w:pStyle w:val="FirstParagraph"/>
      </w:pPr>
      <w:r>
        <w:rPr>
          <w:rFonts w:hint="eastAsia"/>
        </w:rPr>
        <w:t xml:space="preserve">9月仓储指数为49.7%，较8月回升1.2个百分点，各主要分项指数普遍环比回升。回升说明景气边际改善，但49.7%仍低于50%分界，不能把“回升”写成已经全面扩张；企业盈利还需结合库存、租金、单价和成本。</w:t>
      </w:r>
    </w:p>
    <w:bookmarkEnd w:id="28"/>
    <w:bookmarkStart w:id="29" w:name="Xe6ee1cf6c3848e1ef3e2271ef5f65dccd8c0ba5"/>
    <w:p>
      <w:pPr>
        <w:pStyle w:val="Heading3"/>
      </w:pPr>
      <w:r>
        <w:t xml:space="preserve">11.8 </w:t>
      </w:r>
      <w:r>
        <w:rPr>
          <w:rFonts w:hint="eastAsia"/>
        </w:rPr>
        <w:t xml:space="preserve">朱雀二号改进型完成一箭十星</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A股影响：商业航天与卫星互联网主题利好</w:t>
      </w:r>
    </w:p>
    <w:p>
      <w:pPr>
        <w:pStyle w:val="Compact"/>
        <w:numPr>
          <w:ilvl w:val="0"/>
          <w:numId w:val="1020"/>
        </w:numPr>
      </w:pPr>
      <w:r>
        <w:rPr>
          <w:rFonts w:hint="eastAsia"/>
          <w:b/>
          <w:bCs/>
        </w:rPr>
        <w:t xml:space="preserve">关联方向：</w:t>
      </w:r>
      <w:r>
        <w:t xml:space="preserve"> </w:t>
      </w:r>
      <w:r>
        <w:rPr>
          <w:rFonts w:hint="eastAsia"/>
        </w:rPr>
        <w:t xml:space="preserve">商业火箭、卫星制造、卫星互联网、太空算力、测控与地面设备。</w:t>
      </w:r>
    </w:p>
    <w:p>
      <w:pPr>
        <w:pStyle w:val="FirstParagraph"/>
      </w:pPr>
      <w:r>
        <w:rPr>
          <w:rFonts w:hint="eastAsia"/>
        </w:rPr>
        <w:t xml:space="preserve">朱雀二号改进型遥四运载火箭将来自不同客户的10颗卫星送入预定轨道，相关卫星将针对太空算力、高性能卫星互联网等前沿需求开展关键技术试验与验证。此次是技术与发射任务进展，不等于相关技术已经规模商业化；后续看组网计划、发射频次、客户合同和在轨验证。</w:t>
      </w:r>
    </w:p>
    <w:bookmarkEnd w:id="29"/>
    <w:bookmarkStart w:id="30" w:name="Xc9a5d242626763893fa2bbdd6edef8ea696c2f0"/>
    <w:p>
      <w:pPr>
        <w:pStyle w:val="Heading3"/>
      </w:pPr>
      <w:r>
        <w:t xml:space="preserve">11.9 </w:t>
      </w:r>
      <w:r>
        <w:rPr>
          <w:rFonts w:hint="eastAsia"/>
        </w:rPr>
        <w:t xml:space="preserve">教育部成立雄安教师发展中心</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A股影响：区域教育数字化与培训服务偏利好</w:t>
      </w:r>
    </w:p>
    <w:p>
      <w:pPr>
        <w:pStyle w:val="Compact"/>
        <w:numPr>
          <w:ilvl w:val="0"/>
          <w:numId w:val="1021"/>
        </w:numPr>
      </w:pPr>
      <w:r>
        <w:rPr>
          <w:rFonts w:hint="eastAsia"/>
          <w:b/>
          <w:bCs/>
        </w:rPr>
        <w:t xml:space="preserve">关联方向：</w:t>
      </w:r>
      <w:r>
        <w:t xml:space="preserve"> </w:t>
      </w:r>
      <w:r>
        <w:rPr>
          <w:rFonts w:hint="eastAsia"/>
        </w:rPr>
        <w:t xml:space="preserve">教育信息化、教师培训、数字教学平台、智慧校园。</w:t>
      </w:r>
    </w:p>
    <w:p>
      <w:pPr>
        <w:pStyle w:val="FirstParagraph"/>
      </w:pPr>
      <w:r>
        <w:rPr>
          <w:rFonts w:hint="eastAsia"/>
        </w:rPr>
        <w:t xml:space="preserve">中心将整合北京中小学和高校资源，承担教研培训、数智赋能和研究引领，首批京雄两地10所中小学结对并启动教师轮岗实训。原文没有采购金额、技术供应商或扩围计划，产业兑现需看后续项目。</w:t>
      </w:r>
    </w:p>
    <w:bookmarkEnd w:id="30"/>
    <w:bookmarkStart w:id="31" w:name="Xee1ed030ff0f9bee5f1b6f22aa317b9127b99cc"/>
    <w:p>
      <w:pPr>
        <w:pStyle w:val="Heading3"/>
      </w:pPr>
      <w:r>
        <w:t xml:space="preserve">11.10 </w:t>
      </w:r>
      <w:r>
        <w:rPr>
          <w:rFonts w:hint="eastAsia"/>
        </w:rPr>
        <w:t xml:space="preserve">第115届全国糖酒商品交易会开幕</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A股影响：食品饮料渠道与新品展示获得事件窗口</w:t>
      </w:r>
    </w:p>
    <w:p>
      <w:pPr>
        <w:pStyle w:val="Compact"/>
        <w:numPr>
          <w:ilvl w:val="0"/>
          <w:numId w:val="1022"/>
        </w:numPr>
      </w:pPr>
      <w:r>
        <w:rPr>
          <w:rFonts w:hint="eastAsia"/>
          <w:b/>
          <w:bCs/>
        </w:rPr>
        <w:t xml:space="preserve">关联方向：</w:t>
      </w:r>
      <w:r>
        <w:t xml:space="preserve"> </w:t>
      </w:r>
      <w:r>
        <w:rPr>
          <w:rFonts w:hint="eastAsia"/>
        </w:rPr>
        <w:t xml:space="preserve">食品饮料、酒类、休闲食品、展会服务与渠道营销。</w:t>
      </w:r>
    </w:p>
    <w:p>
      <w:pPr>
        <w:pStyle w:val="FirstParagraph"/>
      </w:pPr>
      <w:r>
        <w:rPr>
          <w:rFonts w:hint="eastAsia"/>
        </w:rPr>
        <w:t xml:space="preserve">展会在南京开幕，31个国家和地区超过3500家中外展商参展，设置16大特色品类专区。该条支持行业交流与渠道合作预期，但没有成交额、订单或消费数据，不应据此判断食品饮料需求已全面复苏。</w:t>
      </w:r>
    </w:p>
    <w:bookmarkEnd w:id="31"/>
    <w:bookmarkStart w:id="32" w:name="X18340d61079ea2b363d9fb339a1d4e85e1a8376"/>
    <w:p>
      <w:pPr>
        <w:pStyle w:val="Heading3"/>
      </w:pPr>
      <w:r>
        <w:t xml:space="preserve">11.11 </w:t>
      </w:r>
      <w:r>
        <w:rPr>
          <w:rFonts w:hint="eastAsia"/>
        </w:rPr>
        <w:t xml:space="preserve">纪录片《伟大远征》播出</w:t>
      </w:r>
    </w:p>
    <w:p>
      <w:pPr>
        <w:pStyle w:val="Compact"/>
        <w:numPr>
          <w:ilvl w:val="0"/>
          <w:numId w:val="1023"/>
        </w:numPr>
      </w:pPr>
      <w:r>
        <w:rPr>
          <w:rFonts w:hint="eastAsia"/>
          <w:b/>
          <w:bCs/>
        </w:rPr>
        <w:t xml:space="preserve">信号强度：★</w:t>
      </w:r>
    </w:p>
    <w:p>
      <w:pPr>
        <w:pStyle w:val="Compact"/>
        <w:numPr>
          <w:ilvl w:val="0"/>
          <w:numId w:val="1023"/>
        </w:numPr>
      </w:pPr>
      <w:r>
        <w:rPr>
          <w:rFonts w:hint="eastAsia"/>
          <w:b/>
          <w:bCs/>
        </w:rPr>
        <w:t xml:space="preserve">A股影响：直接影响弱</w:t>
      </w:r>
    </w:p>
    <w:p>
      <w:pPr>
        <w:pStyle w:val="Compact"/>
        <w:numPr>
          <w:ilvl w:val="0"/>
          <w:numId w:val="1023"/>
        </w:numPr>
      </w:pPr>
      <w:r>
        <w:rPr>
          <w:rFonts w:hint="eastAsia"/>
          <w:b/>
          <w:bCs/>
        </w:rPr>
        <w:t xml:space="preserve">关联方向：</w:t>
      </w:r>
      <w:r>
        <w:t xml:space="preserve"> </w:t>
      </w:r>
      <w:r>
        <w:rPr>
          <w:rFonts w:hint="eastAsia"/>
        </w:rPr>
        <w:t xml:space="preserve">纪录片制作、主旋律内容与红色文旅。</w:t>
      </w:r>
    </w:p>
    <w:p>
      <w:pPr>
        <w:pStyle w:val="FirstParagraph"/>
      </w:pPr>
      <w:r>
        <w:rPr>
          <w:rFonts w:hint="eastAsia"/>
        </w:rPr>
        <w:t xml:space="preserve">七集纪录片为纪念长征胜利90周年播出。该条属于文化传播事件，底稿没有商业授权、广告收入、版权交易或文旅项目数据，对A股仅有弱主题关联。</w:t>
      </w:r>
    </w:p>
    <w:bookmarkEnd w:id="32"/>
    <w:bookmarkEnd w:id="33"/>
    <w:bookmarkStart w:id="36" w:name="五国际新闻逐条分析"/>
    <w:p>
      <w:pPr>
        <w:pStyle w:val="Heading2"/>
      </w:pPr>
      <w:r>
        <w:rPr>
          <w:rFonts w:hint="eastAsia"/>
        </w:rPr>
        <w:t xml:space="preserve">五、国际新闻逐条分析</w:t>
      </w:r>
    </w:p>
    <w:bookmarkStart w:id="34" w:name="Xa0a084ab47f3e47d9f2a37f285b0169ff763a2a"/>
    <w:p>
      <w:pPr>
        <w:pStyle w:val="Heading3"/>
      </w:pPr>
      <w:r>
        <w:t xml:space="preserve">12. </w:t>
      </w:r>
      <w:r>
        <w:rPr>
          <w:rFonts w:hint="eastAsia"/>
        </w:rPr>
        <w:t xml:space="preserve">胡塞武装称再袭利雅得机场：曼德海峡安全风险继续升高</w:t>
      </w:r>
    </w:p>
    <w:p>
      <w:pPr>
        <w:pStyle w:val="Compact"/>
        <w:numPr>
          <w:ilvl w:val="0"/>
          <w:numId w:val="1024"/>
        </w:numPr>
      </w:pPr>
      <w:r>
        <w:rPr>
          <w:rFonts w:hint="eastAsia"/>
          <w:b/>
          <w:bCs/>
        </w:rPr>
        <w:t xml:space="preserve">信号强度：★★★</w:t>
      </w:r>
    </w:p>
    <w:p>
      <w:pPr>
        <w:pStyle w:val="Compact"/>
        <w:numPr>
          <w:ilvl w:val="0"/>
          <w:numId w:val="1024"/>
        </w:numPr>
      </w:pPr>
      <w:r>
        <w:rPr>
          <w:rFonts w:hint="eastAsia"/>
          <w:b/>
          <w:bCs/>
        </w:rPr>
        <w:t xml:space="preserve">A股影响：能源、防务和航运安全方向可能获风险溢价；航空与高油耗行业可能承压</w:t>
      </w:r>
    </w:p>
    <w:p>
      <w:pPr>
        <w:pStyle w:val="Compact"/>
        <w:numPr>
          <w:ilvl w:val="0"/>
          <w:numId w:val="1024"/>
        </w:numPr>
      </w:pPr>
      <w:r>
        <w:rPr>
          <w:rFonts w:hint="eastAsia"/>
          <w:b/>
          <w:bCs/>
        </w:rPr>
        <w:t xml:space="preserve">影响时效：短期1—3日，若航线或供应持续受扰则延长</w:t>
      </w:r>
    </w:p>
    <w:p>
      <w:pPr>
        <w:pStyle w:val="Compact"/>
        <w:numPr>
          <w:ilvl w:val="0"/>
          <w:numId w:val="1024"/>
        </w:numPr>
      </w:pPr>
      <w:r>
        <w:rPr>
          <w:rFonts w:hint="eastAsia"/>
          <w:b/>
          <w:bCs/>
        </w:rPr>
        <w:t xml:space="preserve">可能受益：</w:t>
      </w:r>
      <w:r>
        <w:t xml:space="preserve"> </w:t>
      </w:r>
      <w:r>
        <w:rPr>
          <w:rFonts w:hint="eastAsia"/>
        </w:rPr>
        <w:t xml:space="preserve">油气、油服、海事安全、防空反导与航运替代路线。</w:t>
      </w:r>
    </w:p>
    <w:p>
      <w:pPr>
        <w:pStyle w:val="Compact"/>
        <w:numPr>
          <w:ilvl w:val="0"/>
          <w:numId w:val="1024"/>
        </w:numPr>
      </w:pPr>
      <w:r>
        <w:rPr>
          <w:rFonts w:hint="eastAsia"/>
          <w:b/>
          <w:bCs/>
        </w:rPr>
        <w:t xml:space="preserve">可能承压：</w:t>
      </w:r>
      <w:r>
        <w:t xml:space="preserve"> </w:t>
      </w:r>
      <w:r>
        <w:rPr>
          <w:rFonts w:hint="eastAsia"/>
        </w:rPr>
        <w:t xml:space="preserve">航空、机场、化工下游及燃料成本敏感行业。</w:t>
      </w:r>
    </w:p>
    <w:p>
      <w:pPr>
        <w:pStyle w:val="FirstParagraph"/>
      </w:pPr>
      <w:r>
        <w:rPr>
          <w:rFonts w:hint="eastAsia"/>
          <w:b/>
          <w:bCs/>
        </w:rPr>
        <w:t xml:space="preserve">原文事实：</w:t>
      </w:r>
      <w:r>
        <w:t xml:space="preserve"> </w:t>
      </w:r>
      <w:r>
        <w:rPr>
          <w:rFonts w:hint="eastAsia"/>
        </w:rPr>
        <w:t xml:space="preserve">胡塞武装称多国联军对也门多地发动42次空袭，并称再次使用弹道导弹袭击利雅得哈立德国王国际机场、仍控制曼德海峡；多国联军发言人称拦截并摧毁一枚射向利雅得的弹道导弹。</w:t>
      </w:r>
    </w:p>
    <w:p>
      <w:pPr>
        <w:pStyle w:val="BodyText"/>
      </w:pPr>
      <w:r>
        <w:rPr>
          <w:rFonts w:hint="eastAsia"/>
          <w:b/>
          <w:bCs/>
        </w:rPr>
        <w:t xml:space="preserve">分析：</w:t>
      </w:r>
      <w:r>
        <w:t xml:space="preserve"> </w:t>
      </w:r>
      <w:r>
        <w:rPr>
          <w:rFonts w:hint="eastAsia"/>
        </w:rPr>
        <w:t xml:space="preserve">上述信息均是冲突各方口径。曼德海峡和机场安全风险可能影响航运、保险与航空风险定价，但原文没有披露实际航线关闭、吞吐量下降或能源供应中断，不能据此断言已经发生大规模断供。</w:t>
      </w:r>
    </w:p>
    <w:bookmarkEnd w:id="34"/>
    <w:bookmarkStart w:id="35" w:name="Xc283dca06b7e21cd1c4eeb145722e6bd51fd153"/>
    <w:p>
      <w:pPr>
        <w:pStyle w:val="Heading3"/>
      </w:pPr>
      <w:r>
        <w:t xml:space="preserve">13. </w:t>
      </w:r>
      <w:r>
        <w:rPr>
          <w:rFonts w:hint="eastAsia"/>
        </w:rPr>
        <w:t xml:space="preserve">霍尔木兹海峡船只遇袭频发：油运与全球供应链风险上台阶</w:t>
      </w:r>
    </w:p>
    <w:p>
      <w:pPr>
        <w:pStyle w:val="Compact"/>
        <w:numPr>
          <w:ilvl w:val="0"/>
          <w:numId w:val="1025"/>
        </w:numPr>
      </w:pPr>
      <w:r>
        <w:rPr>
          <w:rFonts w:hint="eastAsia"/>
          <w:b/>
          <w:bCs/>
        </w:rPr>
        <w:t xml:space="preserve">信号强度：★★★★</w:t>
      </w:r>
    </w:p>
    <w:p>
      <w:pPr>
        <w:pStyle w:val="Compact"/>
        <w:numPr>
          <w:ilvl w:val="0"/>
          <w:numId w:val="1025"/>
        </w:numPr>
      </w:pPr>
      <w:r>
        <w:rPr>
          <w:rFonts w:hint="eastAsia"/>
          <w:b/>
          <w:bCs/>
        </w:rPr>
        <w:t xml:space="preserve">A股影响：油气、油运和海事安全可能受益于风险溢价；航空、化工下游与外贸供应链承压</w:t>
      </w:r>
    </w:p>
    <w:p>
      <w:pPr>
        <w:pStyle w:val="Compact"/>
        <w:numPr>
          <w:ilvl w:val="0"/>
          <w:numId w:val="1025"/>
        </w:numPr>
      </w:pPr>
      <w:r>
        <w:rPr>
          <w:rFonts w:hint="eastAsia"/>
          <w:b/>
          <w:bCs/>
        </w:rPr>
        <w:t xml:space="preserve">影响时效：短期冲击强，中期取决于海峡通行状态</w:t>
      </w:r>
    </w:p>
    <w:p>
      <w:pPr>
        <w:pStyle w:val="Compact"/>
        <w:numPr>
          <w:ilvl w:val="0"/>
          <w:numId w:val="1025"/>
        </w:numPr>
      </w:pPr>
      <w:r>
        <w:rPr>
          <w:rFonts w:hint="eastAsia"/>
          <w:b/>
          <w:bCs/>
        </w:rPr>
        <w:t xml:space="preserve">关联方向：</w:t>
      </w:r>
      <w:r>
        <w:t xml:space="preserve"> </w:t>
      </w:r>
      <w:r>
        <w:rPr>
          <w:rFonts w:hint="eastAsia"/>
        </w:rPr>
        <w:t xml:space="preserve">油气、油运、船舶安全、货运保险、港航服务与战略储备。</w:t>
      </w:r>
    </w:p>
    <w:p>
      <w:pPr>
        <w:pStyle w:val="FirstParagraph"/>
      </w:pPr>
      <w:r>
        <w:rPr>
          <w:rFonts w:hint="eastAsia"/>
          <w:b/>
          <w:bCs/>
        </w:rPr>
        <w:t xml:space="preserve">原文事实：</w:t>
      </w:r>
      <w:r>
        <w:t xml:space="preserve"> </w:t>
      </w:r>
      <w:r>
        <w:rPr>
          <w:rFonts w:hint="eastAsia"/>
        </w:rPr>
        <w:t xml:space="preserve">据国际海事组织数据，截至14日，本月已有22艘船只在霍尔木兹海峡及周边遭遇袭击等事件。两艘新加坡注册集装箱船被不明投射物击中，一艘着火后沉没、另一艘受损，暂无人员伤亡报告；伊朗方面称一艘载有2500个集装箱的货轮触雷后爆炸起火并沉没；美方称本月6日在阿曼湾打击一艘与伊朗有关的船只。</w:t>
      </w:r>
    </w:p>
    <w:p>
      <w:pPr>
        <w:pStyle w:val="BodyText"/>
      </w:pPr>
      <w:r>
        <w:rPr>
          <w:rFonts w:hint="eastAsia"/>
          <w:b/>
          <w:bCs/>
        </w:rPr>
        <w:t xml:space="preserve">分析：</w:t>
      </w:r>
      <w:r>
        <w:t xml:space="preserve"> </w:t>
      </w:r>
      <w:r>
        <w:rPr>
          <w:rFonts w:hint="eastAsia"/>
        </w:rPr>
        <w:t xml:space="preserve">这是当日最强外部风险线，可能推高海运保险、绕航、油价和供应链成本。由于部分细节来自不同国家或机构口径，报告只保留原文归属；实际A股影响还要看海峡是否受限、油价和运价持续时间以及中国企业真实业务敞口。</w:t>
      </w:r>
    </w:p>
    <w:bookmarkEnd w:id="35"/>
    <w:bookmarkEnd w:id="36"/>
    <w:bookmarkStart w:id="41" w:name="六国际联播快讯逐项分析"/>
    <w:p>
      <w:pPr>
        <w:pStyle w:val="Heading2"/>
      </w:pPr>
      <w:r>
        <w:rPr>
          <w:rFonts w:hint="eastAsia"/>
        </w:rPr>
        <w:t xml:space="preserve">六、国际联播快讯逐项分析</w:t>
      </w:r>
    </w:p>
    <w:bookmarkStart w:id="37" w:name="Xbadd42aeba62604a1fb15774f750f809c1cc55b"/>
    <w:p>
      <w:pPr>
        <w:pStyle w:val="Heading3"/>
      </w:pPr>
      <w:r>
        <w:t xml:space="preserve">14.1 </w:t>
      </w:r>
      <w:r>
        <w:rPr>
          <w:rFonts w:hint="eastAsia"/>
        </w:rPr>
        <w:t xml:space="preserve">俄乌围绕炼油厂与能源设施的冲突延续</w:t>
      </w:r>
    </w:p>
    <w:p>
      <w:pPr>
        <w:pStyle w:val="Compact"/>
        <w:numPr>
          <w:ilvl w:val="0"/>
          <w:numId w:val="1026"/>
        </w:numPr>
      </w:pPr>
      <w:r>
        <w:rPr>
          <w:rFonts w:hint="eastAsia"/>
          <w:b/>
          <w:bCs/>
        </w:rPr>
        <w:t xml:space="preserve">信号强度：★★★</w:t>
      </w:r>
    </w:p>
    <w:p>
      <w:pPr>
        <w:pStyle w:val="Compact"/>
        <w:numPr>
          <w:ilvl w:val="0"/>
          <w:numId w:val="1026"/>
        </w:numPr>
      </w:pPr>
      <w:r>
        <w:rPr>
          <w:rFonts w:hint="eastAsia"/>
          <w:b/>
          <w:bCs/>
        </w:rPr>
        <w:t xml:space="preserve">A股影响：全球能源供给风险偏空，能源安全与防务主题相对受益</w:t>
      </w:r>
    </w:p>
    <w:p>
      <w:pPr>
        <w:pStyle w:val="Compact"/>
        <w:numPr>
          <w:ilvl w:val="0"/>
          <w:numId w:val="1026"/>
        </w:numPr>
      </w:pPr>
      <w:r>
        <w:rPr>
          <w:rFonts w:hint="eastAsia"/>
          <w:b/>
          <w:bCs/>
        </w:rPr>
        <w:t xml:space="preserve">关联方向：</w:t>
      </w:r>
      <w:r>
        <w:t xml:space="preserve"> </w:t>
      </w:r>
      <w:r>
        <w:rPr>
          <w:rFonts w:hint="eastAsia"/>
        </w:rPr>
        <w:t xml:space="preserve">油气、炼化供应安全、防空反无人机与能源基础设施防护。</w:t>
      </w:r>
    </w:p>
    <w:p>
      <w:pPr>
        <w:pStyle w:val="FirstParagraph"/>
      </w:pPr>
      <w:r>
        <w:rPr>
          <w:rFonts w:hint="eastAsia"/>
        </w:rPr>
        <w:t xml:space="preserve">俄方称拦截乌方攻击梁赞州炼油厂的69架固定翼无人机和4枚导弹；乌方称曾应美国请求暂停打击俄能源基础设施3天，因俄方继续打击乌能源设施而将恢复行动。两组信息均为报道中的当事方或媒体口径，不能写成独立核验结论。</w:t>
      </w:r>
    </w:p>
    <w:bookmarkEnd w:id="37"/>
    <w:bookmarkStart w:id="38" w:name="X582c46a5f71f12136f824585112a7af9f5f9b48"/>
    <w:p>
      <w:pPr>
        <w:pStyle w:val="Heading3"/>
      </w:pPr>
      <w:r>
        <w:t xml:space="preserve">14.2 </w:t>
      </w:r>
      <w:r>
        <w:rPr>
          <w:rFonts w:hint="eastAsia"/>
        </w:rPr>
        <w:t xml:space="preserve">国际能源署称柴油供应紧张将持续至2027年</w:t>
      </w:r>
    </w:p>
    <w:p>
      <w:pPr>
        <w:pStyle w:val="Compact"/>
        <w:numPr>
          <w:ilvl w:val="0"/>
          <w:numId w:val="1027"/>
        </w:numPr>
      </w:pPr>
      <w:r>
        <w:rPr>
          <w:rFonts w:hint="eastAsia"/>
          <w:b/>
          <w:bCs/>
        </w:rPr>
        <w:t xml:space="preserve">信号强度：★★★★</w:t>
      </w:r>
    </w:p>
    <w:p>
      <w:pPr>
        <w:pStyle w:val="Compact"/>
        <w:numPr>
          <w:ilvl w:val="0"/>
          <w:numId w:val="1027"/>
        </w:numPr>
      </w:pPr>
      <w:r>
        <w:rPr>
          <w:rFonts w:hint="eastAsia"/>
          <w:b/>
          <w:bCs/>
        </w:rPr>
        <w:t xml:space="preserve">A股影响：柴油与炼化供应链可能获得价格支撑，下游运输和工业成本承压</w:t>
      </w:r>
    </w:p>
    <w:p>
      <w:pPr>
        <w:pStyle w:val="Compact"/>
        <w:numPr>
          <w:ilvl w:val="0"/>
          <w:numId w:val="1027"/>
        </w:numPr>
      </w:pPr>
      <w:r>
        <w:rPr>
          <w:rFonts w:hint="eastAsia"/>
          <w:b/>
          <w:bCs/>
        </w:rPr>
        <w:t xml:space="preserve">关联方向：</w:t>
      </w:r>
      <w:r>
        <w:t xml:space="preserve"> </w:t>
      </w:r>
      <w:r>
        <w:rPr>
          <w:rFonts w:hint="eastAsia"/>
        </w:rPr>
        <w:t xml:space="preserve">炼化、油品贸易、能源储运、物流运输、工程机械与柴油动力设备。</w:t>
      </w:r>
    </w:p>
    <w:p>
      <w:pPr>
        <w:pStyle w:val="FirstParagraph"/>
      </w:pPr>
      <w:r>
        <w:rPr>
          <w:rFonts w:hint="eastAsia"/>
        </w:rPr>
        <w:t xml:space="preserve">国际能源署报告称，中东和俄罗斯柴油出口受阻使供应紧张加剧，预计持续至2027年；今年前9个月全球柴油出口量日均470万桶，同比下降10%。供给紧张有利于部分上游与炼化价差预期，但也会推高物流和工业成本，实际影响取决于国内价格机制、库存与企业业务结构。</w:t>
      </w:r>
    </w:p>
    <w:bookmarkEnd w:id="38"/>
    <w:bookmarkStart w:id="39" w:name="X9f7996fadcf3c28de6d97e430a5cb3dea5a5aae"/>
    <w:p>
      <w:pPr>
        <w:pStyle w:val="Heading3"/>
      </w:pPr>
      <w:r>
        <w:t xml:space="preserve">14.3 </w:t>
      </w:r>
      <w:r>
        <w:rPr>
          <w:rFonts w:hint="eastAsia"/>
        </w:rPr>
        <w:t xml:space="preserve">美国9月CPI同比上涨3.7%：加息预期升温</w:t>
      </w:r>
    </w:p>
    <w:p>
      <w:pPr>
        <w:pStyle w:val="Compact"/>
        <w:numPr>
          <w:ilvl w:val="0"/>
          <w:numId w:val="1028"/>
        </w:numPr>
      </w:pPr>
      <w:r>
        <w:rPr>
          <w:rFonts w:hint="eastAsia"/>
          <w:b/>
          <w:bCs/>
        </w:rPr>
        <w:t xml:space="preserve">信号强度：★★★</w:t>
      </w:r>
    </w:p>
    <w:p>
      <w:pPr>
        <w:pStyle w:val="Compact"/>
        <w:numPr>
          <w:ilvl w:val="0"/>
          <w:numId w:val="1028"/>
        </w:numPr>
      </w:pPr>
      <w:r>
        <w:rPr>
          <w:rFonts w:hint="eastAsia"/>
          <w:b/>
          <w:bCs/>
        </w:rPr>
        <w:t xml:space="preserve">A股影响：全球流动性和成长估值偏承压，能源相关方向相对占优</w:t>
      </w:r>
    </w:p>
    <w:p>
      <w:pPr>
        <w:pStyle w:val="Compact"/>
        <w:numPr>
          <w:ilvl w:val="0"/>
          <w:numId w:val="1028"/>
        </w:numPr>
      </w:pPr>
      <w:r>
        <w:rPr>
          <w:rFonts w:hint="eastAsia"/>
          <w:b/>
          <w:bCs/>
        </w:rPr>
        <w:t xml:space="preserve">关联方向：</w:t>
      </w:r>
      <w:r>
        <w:t xml:space="preserve"> </w:t>
      </w:r>
      <w:r>
        <w:rPr>
          <w:rFonts w:hint="eastAsia"/>
        </w:rPr>
        <w:t xml:space="preserve">高估值成长、黄金与美元敏感资产、出口链、能源。</w:t>
      </w:r>
    </w:p>
    <w:p>
      <w:pPr>
        <w:pStyle w:val="FirstParagraph"/>
      </w:pPr>
      <w:r>
        <w:rPr>
          <w:rFonts w:hint="eastAsia"/>
        </w:rPr>
        <w:t xml:space="preserve">原文称美国9月CPI环比上涨0.6%、同比上涨3.7%，高于预期；汽油价格指数环比上涨9.1%，市场对美联储本月底再次加息的预期升温。该条反映海外通胀与利率压力，但底稿没有美元、美国国债收益率或A股行情数据，不能直接断言市场已经如何定价。</w:t>
      </w:r>
    </w:p>
    <w:bookmarkEnd w:id="39"/>
    <w:bookmarkStart w:id="40" w:name="Xcb2e2ec0eb7829efe43ac24cc0a52391b79b310"/>
    <w:p>
      <w:pPr>
        <w:pStyle w:val="Heading3"/>
      </w:pPr>
      <w:r>
        <w:t xml:space="preserve">14.4 </w:t>
      </w:r>
      <w:r>
        <w:rPr>
          <w:rFonts w:hint="eastAsia"/>
        </w:rPr>
        <w:t xml:space="preserve">日本农相因丑闻辞职：对A股直接影响有限</w:t>
      </w:r>
    </w:p>
    <w:p>
      <w:pPr>
        <w:pStyle w:val="Compact"/>
        <w:numPr>
          <w:ilvl w:val="0"/>
          <w:numId w:val="1029"/>
        </w:numPr>
      </w:pPr>
      <w:r>
        <w:rPr>
          <w:rFonts w:hint="eastAsia"/>
          <w:b/>
          <w:bCs/>
        </w:rPr>
        <w:t xml:space="preserve">信号强度：★</w:t>
      </w:r>
    </w:p>
    <w:p>
      <w:pPr>
        <w:pStyle w:val="Compact"/>
        <w:numPr>
          <w:ilvl w:val="0"/>
          <w:numId w:val="1029"/>
        </w:numPr>
      </w:pPr>
      <w:r>
        <w:rPr>
          <w:rFonts w:hint="eastAsia"/>
          <w:b/>
          <w:bCs/>
        </w:rPr>
        <w:t xml:space="preserve">A股影响：总体中性</w:t>
      </w:r>
    </w:p>
    <w:p>
      <w:pPr>
        <w:pStyle w:val="Compact"/>
        <w:numPr>
          <w:ilvl w:val="0"/>
          <w:numId w:val="1029"/>
        </w:numPr>
      </w:pPr>
      <w:r>
        <w:rPr>
          <w:rFonts w:hint="eastAsia"/>
          <w:b/>
          <w:bCs/>
        </w:rPr>
        <w:t xml:space="preserve">关联方向：</w:t>
      </w:r>
      <w:r>
        <w:t xml:space="preserve"> </w:t>
      </w:r>
      <w:r>
        <w:rPr>
          <w:rFonts w:hint="eastAsia"/>
        </w:rPr>
        <w:t xml:space="preserve">东北亚政治风险观察。</w:t>
      </w:r>
    </w:p>
    <w:p>
      <w:pPr>
        <w:pStyle w:val="FirstParagraph"/>
      </w:pPr>
      <w:r>
        <w:rPr>
          <w:rFonts w:hint="eastAsia"/>
        </w:rPr>
        <w:t xml:space="preserve">日本农林水产大臣梁和生因不当言论、涉嫌违反选举法等丑闻辞职；报道还称80%以上受访者不能接受高市早苗一度力挺其留任。该事件主要影响日本国内政治与内阁信誉，原文没有中日贸易、农业政策或中国企业内容，不应外推为A股产业利好或利空。</w:t>
      </w:r>
    </w:p>
    <w:bookmarkEnd w:id="40"/>
    <w:bookmarkEnd w:id="41"/>
    <w:bookmarkStart w:id="42" w:name="七板块影响汇总"/>
    <w:p>
      <w:pPr>
        <w:pStyle w:val="Heading2"/>
      </w:pPr>
      <w:r>
        <w:rPr>
          <w:rFonts w:hint="eastAsia"/>
        </w:rPr>
        <w:t xml:space="preserve">七、板块影响汇总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兑现条件</w:t>
            </w:r>
          </w:p>
        </w:tc>
      </w:tr>
      <w:tr>
        <w:tc>
          <w:tcPr/>
          <w:p>
            <w:pPr>
              <w:pStyle w:val="Compact"/>
            </w:pPr>
            <w:r>
              <w:rPr>
                <w:rFonts w:hint="eastAsia"/>
              </w:rPr>
              <w:t xml:space="preserve">基层医疗/医疗器械/医疗信息化</w:t>
            </w:r>
          </w:p>
        </w:tc>
        <w:tc>
          <w:tcPr/>
          <w:p>
            <w:pPr>
              <w:pStyle w:val="Compact"/>
            </w:pPr>
            <w:r>
              <w:rPr>
                <w:rFonts w:hint="eastAsia"/>
              </w:rPr>
              <w:t xml:space="preserve">中长期利好</w:t>
            </w:r>
          </w:p>
        </w:tc>
        <w:tc>
          <w:tcPr/>
          <w:p>
            <w:pPr>
              <w:pStyle w:val="Compact"/>
            </w:pPr>
            <w:r>
              <w:rPr>
                <w:rFonts w:hint="eastAsia"/>
              </w:rPr>
              <w:t xml:space="preserve">健康中国头条、六大核心能力与“三医”协同</w:t>
            </w:r>
          </w:p>
        </w:tc>
        <w:tc>
          <w:tcPr/>
          <w:p>
            <w:pPr>
              <w:pStyle w:val="Compact"/>
              <w:jc w:val="right"/>
            </w:pPr>
            <w:r>
              <w:t xml:space="preserve">★★★★★</w:t>
            </w:r>
          </w:p>
        </w:tc>
        <w:tc>
          <w:tcPr/>
          <w:p>
            <w:pPr>
              <w:pStyle w:val="Compact"/>
            </w:pPr>
            <w:r>
              <w:rPr>
                <w:rFonts w:hint="eastAsia"/>
              </w:rPr>
              <w:t xml:space="preserve">规划、预算、采购、医保支付与服务量</w:t>
            </w:r>
          </w:p>
        </w:tc>
      </w:tr>
      <w:tr>
        <w:tc>
          <w:tcPr/>
          <w:p>
            <w:pPr>
              <w:pStyle w:val="Compact"/>
            </w:pPr>
            <w:r>
              <w:rPr>
                <w:rFonts w:hint="eastAsia"/>
              </w:rPr>
              <w:t xml:space="preserve">医药创新/疾病预防/健康管理</w:t>
            </w:r>
          </w:p>
        </w:tc>
        <w:tc>
          <w:tcPr/>
          <w:p>
            <w:pPr>
              <w:pStyle w:val="Compact"/>
            </w:pPr>
            <w:r>
              <w:rPr>
                <w:rFonts w:hint="eastAsia"/>
              </w:rPr>
              <w:t xml:space="preserve">结构性利好</w:t>
            </w:r>
          </w:p>
        </w:tc>
        <w:tc>
          <w:tcPr/>
          <w:p>
            <w:pPr>
              <w:pStyle w:val="Compact"/>
            </w:pPr>
            <w:r>
              <w:rPr>
                <w:rFonts w:hint="eastAsia"/>
              </w:rPr>
              <w:t xml:space="preserve">健康优先、预防为主</w:t>
            </w:r>
          </w:p>
        </w:tc>
        <w:tc>
          <w:tcPr/>
          <w:p>
            <w:pPr>
              <w:pStyle w:val="Compact"/>
              <w:jc w:val="right"/>
            </w:pPr>
            <w:r>
              <w:t xml:space="preserve">★★★★★</w:t>
            </w:r>
          </w:p>
        </w:tc>
        <w:tc>
          <w:tcPr/>
          <w:p>
            <w:pPr>
              <w:pStyle w:val="Compact"/>
            </w:pPr>
            <w:r>
              <w:rPr>
                <w:rFonts w:hint="eastAsia"/>
              </w:rPr>
              <w:t xml:space="preserve">临床价值、审批、支付与商业化</w:t>
            </w:r>
          </w:p>
        </w:tc>
      </w:tr>
      <w:tr>
        <w:tc>
          <w:tcPr/>
          <w:p>
            <w:pPr>
              <w:pStyle w:val="Compact"/>
            </w:pPr>
            <w:r>
              <w:rPr>
                <w:rFonts w:hint="eastAsia"/>
              </w:rPr>
              <w:t xml:space="preserve">东北口岸物流/边境贸易</w:t>
            </w:r>
          </w:p>
        </w:tc>
        <w:tc>
          <w:tcPr/>
          <w:p>
            <w:pPr>
              <w:pStyle w:val="Compact"/>
            </w:pPr>
            <w:r>
              <w:rPr>
                <w:rFonts w:hint="eastAsia"/>
              </w:rPr>
              <w:t xml:space="preserve">区域性利好</w:t>
            </w:r>
          </w:p>
        </w:tc>
        <w:tc>
          <w:tcPr/>
          <w:p>
            <w:pPr>
              <w:pStyle w:val="Compact"/>
            </w:pPr>
            <w:r>
              <w:rPr>
                <w:rFonts w:hint="eastAsia"/>
              </w:rPr>
              <w:t xml:space="preserve">中朝新鸭绿江大桥开通</w:t>
            </w:r>
          </w:p>
        </w:tc>
        <w:tc>
          <w:tcPr/>
          <w:p>
            <w:pPr>
              <w:pStyle w:val="Compact"/>
              <w:jc w:val="right"/>
            </w:pPr>
            <w:r>
              <w:t xml:space="preserve">★★★★</w:t>
            </w:r>
          </w:p>
        </w:tc>
        <w:tc>
          <w:tcPr/>
          <w:p>
            <w:pPr>
              <w:pStyle w:val="Compact"/>
            </w:pPr>
            <w:r>
              <w:rPr>
                <w:rFonts w:hint="eastAsia"/>
              </w:rPr>
              <w:t xml:space="preserve">通关效率、货运班次、流量与贸易额</w:t>
            </w:r>
          </w:p>
        </w:tc>
      </w:tr>
      <w:tr>
        <w:tc>
          <w:tcPr/>
          <w:p>
            <w:pPr>
              <w:pStyle w:val="Compact"/>
            </w:pPr>
            <w:r>
              <w:rPr>
                <w:rFonts w:hint="eastAsia"/>
              </w:rPr>
              <w:t xml:space="preserve">对非矿业/数字/绿色合作</w:t>
            </w:r>
          </w:p>
        </w:tc>
        <w:tc>
          <w:tcPr/>
          <w:p>
            <w:pPr>
              <w:pStyle w:val="Compact"/>
            </w:pPr>
            <w:r>
              <w:rPr>
                <w:rFonts w:hint="eastAsia"/>
              </w:rPr>
              <w:t xml:space="preserve">中长期利好</w:t>
            </w:r>
          </w:p>
        </w:tc>
        <w:tc>
          <w:tcPr/>
          <w:p>
            <w:pPr>
              <w:pStyle w:val="Compact"/>
            </w:pPr>
            <w:r>
              <w:rPr>
                <w:rFonts w:hint="eastAsia"/>
              </w:rPr>
              <w:t xml:space="preserve">中博合作</w:t>
            </w:r>
          </w:p>
        </w:tc>
        <w:tc>
          <w:tcPr/>
          <w:p>
            <w:pPr>
              <w:pStyle w:val="Compact"/>
              <w:jc w:val="right"/>
            </w:pPr>
            <w:r>
              <w:t xml:space="preserve">★★★</w:t>
            </w:r>
          </w:p>
        </w:tc>
        <w:tc>
          <w:tcPr/>
          <w:p>
            <w:pPr>
              <w:pStyle w:val="Compact"/>
            </w:pPr>
            <w:r>
              <w:rPr>
                <w:rFonts w:hint="eastAsia"/>
              </w:rPr>
              <w:t xml:space="preserve">项目、合同、资源品种与回款</w:t>
            </w:r>
          </w:p>
        </w:tc>
      </w:tr>
      <w:tr>
        <w:tc>
          <w:tcPr/>
          <w:p>
            <w:pPr>
              <w:pStyle w:val="Compact"/>
            </w:pPr>
            <w:r>
              <w:rPr>
                <w:rFonts w:hint="eastAsia"/>
              </w:rPr>
              <w:t xml:space="preserve">国际工程/农业现代化/产供链</w:t>
            </w:r>
          </w:p>
        </w:tc>
        <w:tc>
          <w:tcPr/>
          <w:p>
            <w:pPr>
              <w:pStyle w:val="Compact"/>
            </w:pPr>
            <w:r>
              <w:rPr>
                <w:rFonts w:hint="eastAsia"/>
              </w:rPr>
              <w:t xml:space="preserve">中长期利好</w:t>
            </w:r>
          </w:p>
        </w:tc>
        <w:tc>
          <w:tcPr/>
          <w:p>
            <w:pPr>
              <w:pStyle w:val="Compact"/>
            </w:pPr>
            <w:r>
              <w:rPr>
                <w:rFonts w:hint="eastAsia"/>
              </w:rPr>
              <w:t xml:space="preserve">中多会谈及合作文件</w:t>
            </w:r>
          </w:p>
        </w:tc>
        <w:tc>
          <w:tcPr/>
          <w:p>
            <w:pPr>
              <w:pStyle w:val="Compact"/>
              <w:jc w:val="right"/>
            </w:pPr>
            <w:r>
              <w:t xml:space="preserve">★★★★</w:t>
            </w:r>
          </w:p>
        </w:tc>
        <w:tc>
          <w:tcPr/>
          <w:p>
            <w:pPr>
              <w:pStyle w:val="Compact"/>
            </w:pPr>
            <w:r>
              <w:rPr>
                <w:rFonts w:hint="eastAsia"/>
              </w:rPr>
              <w:t xml:space="preserve">招标、融资、合同和应收账款质量</w:t>
            </w:r>
          </w:p>
        </w:tc>
      </w:tr>
      <w:tr>
        <w:tc>
          <w:tcPr/>
          <w:p>
            <w:pPr>
              <w:pStyle w:val="Compact"/>
            </w:pPr>
            <w:r>
              <w:rPr>
                <w:rFonts w:hint="eastAsia"/>
              </w:rPr>
              <w:t xml:space="preserve">四川量子/6G/光学</w:t>
            </w:r>
          </w:p>
        </w:tc>
        <w:tc>
          <w:tcPr/>
          <w:p>
            <w:pPr>
              <w:pStyle w:val="Compact"/>
            </w:pPr>
            <w:r>
              <w:rPr>
                <w:rFonts w:hint="eastAsia"/>
              </w:rPr>
              <w:t xml:space="preserve">规划利好</w:t>
            </w:r>
          </w:p>
        </w:tc>
        <w:tc>
          <w:tcPr/>
          <w:p>
            <w:pPr>
              <w:pStyle w:val="Compact"/>
            </w:pPr>
            <w:r>
              <w:rPr>
                <w:rFonts w:hint="eastAsia"/>
              </w:rPr>
              <w:t xml:space="preserve">四川“十五五”攻关布局</w:t>
            </w:r>
          </w:p>
        </w:tc>
        <w:tc>
          <w:tcPr/>
          <w:p>
            <w:pPr>
              <w:pStyle w:val="Compact"/>
              <w:jc w:val="right"/>
            </w:pPr>
            <w:r>
              <w:t xml:space="preserve">★★★★</w:t>
            </w:r>
          </w:p>
        </w:tc>
        <w:tc>
          <w:tcPr/>
          <w:p>
            <w:pPr>
              <w:pStyle w:val="Compact"/>
            </w:pPr>
            <w:r>
              <w:rPr>
                <w:rFonts w:hint="eastAsia"/>
              </w:rPr>
              <w:t xml:space="preserve">研发计划、专项资金与项目进展</w:t>
            </w:r>
          </w:p>
        </w:tc>
      </w:tr>
      <w:tr>
        <w:tc>
          <w:tcPr/>
          <w:p>
            <w:pPr>
              <w:pStyle w:val="Compact"/>
            </w:pPr>
            <w:r>
              <w:rPr>
                <w:rFonts w:hint="eastAsia"/>
              </w:rPr>
              <w:t xml:space="preserve">四川电子信息/装备制造/航空航天/生物医药</w:t>
            </w:r>
          </w:p>
        </w:tc>
        <w:tc>
          <w:tcPr/>
          <w:p>
            <w:pPr>
              <w:pStyle w:val="Compact"/>
            </w:pPr>
            <w:r>
              <w:rPr>
                <w:rFonts w:hint="eastAsia"/>
              </w:rPr>
              <w:t xml:space="preserve">集群利好</w:t>
            </w:r>
          </w:p>
        </w:tc>
        <w:tc>
          <w:tcPr/>
          <w:p>
            <w:pPr>
              <w:pStyle w:val="Compact"/>
            </w:pPr>
            <w:r>
              <w:rPr>
                <w:rFonts w:hint="eastAsia"/>
              </w:rPr>
              <w:t xml:space="preserve">6个万亿级产业、5个国家级先进制造业集群</w:t>
            </w:r>
          </w:p>
        </w:tc>
        <w:tc>
          <w:tcPr/>
          <w:p>
            <w:pPr>
              <w:pStyle w:val="Compact"/>
              <w:jc w:val="right"/>
            </w:pPr>
            <w:r>
              <w:t xml:space="preserve">★★★★</w:t>
            </w:r>
          </w:p>
        </w:tc>
        <w:tc>
          <w:tcPr/>
          <w:p>
            <w:pPr>
              <w:pStyle w:val="Compact"/>
            </w:pPr>
            <w:r>
              <w:rPr>
                <w:rFonts w:hint="eastAsia"/>
              </w:rPr>
              <w:t xml:space="preserve">地方规划、资本开支、订单与产能利用率</w:t>
            </w:r>
          </w:p>
        </w:tc>
      </w:tr>
      <w:tr>
        <w:tc>
          <w:tcPr/>
          <w:p>
            <w:pPr>
              <w:pStyle w:val="Compact"/>
            </w:pPr>
            <w:r>
              <w:rPr>
                <w:rFonts w:hint="eastAsia"/>
              </w:rPr>
              <w:t xml:space="preserve">农机/粮食烘干/仓储</w:t>
            </w:r>
          </w:p>
        </w:tc>
        <w:tc>
          <w:tcPr/>
          <w:p>
            <w:pPr>
              <w:pStyle w:val="Compact"/>
            </w:pPr>
            <w:r>
              <w:rPr>
                <w:rFonts w:hint="eastAsia"/>
              </w:rPr>
              <w:t xml:space="preserve">季节性偏利好</w:t>
            </w:r>
          </w:p>
        </w:tc>
        <w:tc>
          <w:tcPr/>
          <w:p>
            <w:pPr>
              <w:pStyle w:val="Compact"/>
            </w:pPr>
            <w:r>
              <w:rPr>
                <w:rFonts w:hint="eastAsia"/>
              </w:rPr>
              <w:t xml:space="preserve">秋粮收获过六成</w:t>
            </w:r>
          </w:p>
        </w:tc>
        <w:tc>
          <w:tcPr/>
          <w:p>
            <w:pPr>
              <w:pStyle w:val="Compact"/>
              <w:jc w:val="right"/>
            </w:pPr>
            <w:r>
              <w:t xml:space="preserve">★★★</w:t>
            </w:r>
          </w:p>
        </w:tc>
        <w:tc>
          <w:tcPr/>
          <w:p>
            <w:pPr>
              <w:pStyle w:val="Compact"/>
            </w:pPr>
            <w:r>
              <w:rPr>
                <w:rFonts w:hint="eastAsia"/>
              </w:rPr>
              <w:t xml:space="preserve">设备销量、服务量、粮价与补贴</w:t>
            </w:r>
          </w:p>
        </w:tc>
      </w:tr>
      <w:tr>
        <w:tc>
          <w:tcPr/>
          <w:p>
            <w:pPr>
              <w:pStyle w:val="Compact"/>
            </w:pPr>
            <w:r>
              <w:rPr>
                <w:rFonts w:hint="eastAsia"/>
              </w:rPr>
              <w:t xml:space="preserve">生态修复/环境监测</w:t>
            </w:r>
          </w:p>
        </w:tc>
        <w:tc>
          <w:tcPr/>
          <w:p>
            <w:pPr>
              <w:pStyle w:val="Compact"/>
            </w:pPr>
            <w:r>
              <w:rPr>
                <w:rFonts w:hint="eastAsia"/>
              </w:rPr>
              <w:t xml:space="preserve">中长期利好</w:t>
            </w:r>
          </w:p>
        </w:tc>
        <w:tc>
          <w:tcPr/>
          <w:p>
            <w:pPr>
              <w:pStyle w:val="Compact"/>
            </w:pPr>
            <w:r>
              <w:rPr>
                <w:rFonts w:hint="eastAsia"/>
              </w:rPr>
              <w:t xml:space="preserve">国家公园与环保督察</w:t>
            </w:r>
          </w:p>
        </w:tc>
        <w:tc>
          <w:tcPr/>
          <w:p>
            <w:pPr>
              <w:pStyle w:val="Compact"/>
              <w:jc w:val="right"/>
            </w:pPr>
            <w:r>
              <w:t xml:space="preserve">★★★</w:t>
            </w:r>
          </w:p>
        </w:tc>
        <w:tc>
          <w:tcPr/>
          <w:p>
            <w:pPr>
              <w:pStyle w:val="Compact"/>
            </w:pPr>
            <w:r>
              <w:rPr>
                <w:rFonts w:hint="eastAsia"/>
              </w:rPr>
              <w:t xml:space="preserve">财政预算、项目招标与治理需求</w:t>
            </w:r>
          </w:p>
        </w:tc>
      </w:tr>
      <w:tr>
        <w:tc>
          <w:tcPr/>
          <w:p>
            <w:pPr>
              <w:pStyle w:val="Compact"/>
            </w:pPr>
            <w:r>
              <w:rPr>
                <w:rFonts w:hint="eastAsia"/>
              </w:rPr>
              <w:t xml:space="preserve">知识产权服务/品牌出海</w:t>
            </w:r>
          </w:p>
        </w:tc>
        <w:tc>
          <w:tcPr/>
          <w:p>
            <w:pPr>
              <w:pStyle w:val="Compact"/>
            </w:pPr>
            <w:r>
              <w:rPr>
                <w:rFonts w:hint="eastAsia"/>
              </w:rPr>
              <w:t xml:space="preserve">制度性利好</w:t>
            </w:r>
          </w:p>
        </w:tc>
        <w:tc>
          <w:tcPr/>
          <w:p>
            <w:pPr>
              <w:pStyle w:val="Compact"/>
            </w:pPr>
            <w:r>
              <w:rPr>
                <w:rFonts w:hint="eastAsia"/>
              </w:rPr>
              <w:t xml:space="preserve">两部门协同保护意见</w:t>
            </w:r>
          </w:p>
        </w:tc>
        <w:tc>
          <w:tcPr/>
          <w:p>
            <w:pPr>
              <w:pStyle w:val="Compact"/>
              <w:jc w:val="right"/>
            </w:pPr>
            <w:r>
              <w:t xml:space="preserve">★★★</w:t>
            </w:r>
          </w:p>
        </w:tc>
        <w:tc>
          <w:tcPr/>
          <w:p>
            <w:pPr>
              <w:pStyle w:val="Compact"/>
            </w:pPr>
            <w:r>
              <w:rPr>
                <w:rFonts w:hint="eastAsia"/>
              </w:rPr>
              <w:t xml:space="preserve">海关备案、执法与企业服务收入</w:t>
            </w:r>
          </w:p>
        </w:tc>
      </w:tr>
      <w:tr>
        <w:tc>
          <w:tcPr/>
          <w:p>
            <w:pPr>
              <w:pStyle w:val="Compact"/>
            </w:pPr>
            <w:r>
              <w:rPr>
                <w:rFonts w:hint="eastAsia"/>
              </w:rPr>
              <w:t xml:space="preserve">绿证交易/新能源发电</w:t>
            </w:r>
          </w:p>
        </w:tc>
        <w:tc>
          <w:tcPr/>
          <w:p>
            <w:pPr>
              <w:pStyle w:val="Compact"/>
            </w:pPr>
            <w:r>
              <w:rPr>
                <w:rFonts w:hint="eastAsia"/>
              </w:rPr>
              <w:t xml:space="preserve">机制突破利好</w:t>
            </w:r>
          </w:p>
        </w:tc>
        <w:tc>
          <w:tcPr/>
          <w:p>
            <w:pPr>
              <w:pStyle w:val="Compact"/>
            </w:pPr>
            <w:r>
              <w:rPr>
                <w:rFonts w:hint="eastAsia"/>
              </w:rPr>
              <w:t xml:space="preserve">首次绿证跨境集中交易</w:t>
            </w:r>
          </w:p>
        </w:tc>
        <w:tc>
          <w:tcPr/>
          <w:p>
            <w:pPr>
              <w:pStyle w:val="Compact"/>
              <w:jc w:val="right"/>
            </w:pPr>
            <w:r>
              <w:t xml:space="preserve">★★★★</w:t>
            </w:r>
          </w:p>
        </w:tc>
        <w:tc>
          <w:tcPr/>
          <w:p>
            <w:pPr>
              <w:pStyle w:val="Compact"/>
            </w:pPr>
            <w:r>
              <w:rPr>
                <w:rFonts w:hint="eastAsia"/>
              </w:rPr>
              <w:t xml:space="preserve">交易价格、频次、规模与规则扩围</w:t>
            </w:r>
          </w:p>
        </w:tc>
      </w:tr>
      <w:tr>
        <w:tc>
          <w:tcPr/>
          <w:p>
            <w:pPr>
              <w:pStyle w:val="Compact"/>
            </w:pPr>
            <w:r>
              <w:rPr>
                <w:rFonts w:hint="eastAsia"/>
              </w:rPr>
              <w:t xml:space="preserve">海洋通信/5G专网/感知设备</w:t>
            </w:r>
          </w:p>
        </w:tc>
        <w:tc>
          <w:tcPr/>
          <w:p>
            <w:pPr>
              <w:pStyle w:val="Compact"/>
            </w:pPr>
            <w:r>
              <w:rPr>
                <w:rFonts w:hint="eastAsia"/>
              </w:rPr>
              <w:t xml:space="preserve">应用落地利好</w:t>
            </w:r>
          </w:p>
        </w:tc>
        <w:tc>
          <w:tcPr/>
          <w:p>
            <w:pPr>
              <w:pStyle w:val="Compact"/>
            </w:pPr>
            <w:r>
              <w:rPr>
                <w:rFonts w:hint="eastAsia"/>
              </w:rPr>
              <w:t xml:space="preserve">渤海海域通信感知网开通</w:t>
            </w:r>
          </w:p>
        </w:tc>
        <w:tc>
          <w:tcPr/>
          <w:p>
            <w:pPr>
              <w:pStyle w:val="Compact"/>
              <w:jc w:val="right"/>
            </w:pPr>
            <w:r>
              <w:t xml:space="preserve">★★★★</w:t>
            </w:r>
          </w:p>
        </w:tc>
        <w:tc>
          <w:tcPr/>
          <w:p>
            <w:pPr>
              <w:pStyle w:val="Compact"/>
            </w:pPr>
            <w:r>
              <w:rPr>
                <w:rFonts w:hint="eastAsia"/>
              </w:rPr>
              <w:t xml:space="preserve">运维需求、复制项目与设备订单</w:t>
            </w:r>
          </w:p>
        </w:tc>
      </w:tr>
      <w:tr>
        <w:tc>
          <w:tcPr/>
          <w:p>
            <w:pPr>
              <w:pStyle w:val="Compact"/>
            </w:pPr>
            <w:r>
              <w:rPr>
                <w:rFonts w:hint="eastAsia"/>
              </w:rPr>
              <w:t xml:space="preserve">商业航天/卫星互联网/太空算力</w:t>
            </w:r>
          </w:p>
        </w:tc>
        <w:tc>
          <w:tcPr/>
          <w:p>
            <w:pPr>
              <w:pStyle w:val="Compact"/>
            </w:pPr>
            <w:r>
              <w:rPr>
                <w:rFonts w:hint="eastAsia"/>
              </w:rPr>
              <w:t xml:space="preserve">主题利好</w:t>
            </w:r>
          </w:p>
        </w:tc>
        <w:tc>
          <w:tcPr/>
          <w:p>
            <w:pPr>
              <w:pStyle w:val="Compact"/>
            </w:pPr>
            <w:r>
              <w:rPr>
                <w:rFonts w:hint="eastAsia"/>
              </w:rPr>
              <w:t xml:space="preserve">朱雀二号改进型一箭十星</w:t>
            </w:r>
          </w:p>
        </w:tc>
        <w:tc>
          <w:tcPr/>
          <w:p>
            <w:pPr>
              <w:pStyle w:val="Compact"/>
              <w:jc w:val="right"/>
            </w:pPr>
            <w:r>
              <w:t xml:space="preserve">★★★★</w:t>
            </w:r>
          </w:p>
        </w:tc>
        <w:tc>
          <w:tcPr/>
          <w:p>
            <w:pPr>
              <w:pStyle w:val="Compact"/>
            </w:pPr>
            <w:r>
              <w:rPr>
                <w:rFonts w:hint="eastAsia"/>
              </w:rPr>
              <w:t xml:space="preserve">发射频次、在轨验证、组网与客户合同</w:t>
            </w:r>
          </w:p>
        </w:tc>
      </w:tr>
      <w:tr>
        <w:tc>
          <w:tcPr/>
          <w:p>
            <w:pPr>
              <w:pStyle w:val="Compact"/>
            </w:pPr>
            <w:r>
              <w:rPr>
                <w:rFonts w:hint="eastAsia"/>
              </w:rPr>
              <w:t xml:space="preserve">仓储物流</w:t>
            </w:r>
          </w:p>
        </w:tc>
        <w:tc>
          <w:tcPr/>
          <w:p>
            <w:pPr>
              <w:pStyle w:val="Compact"/>
            </w:pPr>
            <w:r>
              <w:rPr>
                <w:rFonts w:hint="eastAsia"/>
              </w:rPr>
              <w:t xml:space="preserve">边际改善</w:t>
            </w:r>
          </w:p>
        </w:tc>
        <w:tc>
          <w:tcPr/>
          <w:p>
            <w:pPr>
              <w:pStyle w:val="Compact"/>
            </w:pPr>
            <w:r>
              <w:rPr>
                <w:rFonts w:hint="eastAsia"/>
              </w:rPr>
              <w:t xml:space="preserve">仓储指数升至49.7%</w:t>
            </w:r>
          </w:p>
        </w:tc>
        <w:tc>
          <w:tcPr/>
          <w:p>
            <w:pPr>
              <w:pStyle w:val="Compact"/>
              <w:jc w:val="right"/>
            </w:pPr>
            <w:r>
              <w:t xml:space="preserve">★★★</w:t>
            </w:r>
          </w:p>
        </w:tc>
        <w:tc>
          <w:tcPr/>
          <w:p>
            <w:pPr>
              <w:pStyle w:val="Compact"/>
            </w:pPr>
            <w:r>
              <w:rPr>
                <w:rFonts w:hint="eastAsia"/>
              </w:rPr>
              <w:t xml:space="preserve">指数站上扩张区、单价与利润改善</w:t>
            </w:r>
          </w:p>
        </w:tc>
      </w:tr>
      <w:tr>
        <w:tc>
          <w:tcPr/>
          <w:p>
            <w:pPr>
              <w:pStyle w:val="Compact"/>
            </w:pPr>
            <w:r>
              <w:rPr>
                <w:rFonts w:hint="eastAsia"/>
              </w:rPr>
              <w:t xml:space="preserve">油气/油服/油运</w:t>
            </w:r>
          </w:p>
        </w:tc>
        <w:tc>
          <w:tcPr/>
          <w:p>
            <w:pPr>
              <w:pStyle w:val="Compact"/>
            </w:pPr>
            <w:r>
              <w:rPr>
                <w:rFonts w:hint="eastAsia"/>
              </w:rPr>
              <w:t xml:space="preserve">风险溢价可能上升</w:t>
            </w:r>
          </w:p>
        </w:tc>
        <w:tc>
          <w:tcPr/>
          <w:p>
            <w:pPr>
              <w:pStyle w:val="Compact"/>
            </w:pPr>
            <w:r>
              <w:rPr>
                <w:rFonts w:hint="eastAsia"/>
              </w:rPr>
              <w:t xml:space="preserve">霍尔木兹、曼德海峡、柴油紧张</w:t>
            </w:r>
          </w:p>
        </w:tc>
        <w:tc>
          <w:tcPr/>
          <w:p>
            <w:pPr>
              <w:pStyle w:val="Compact"/>
              <w:jc w:val="right"/>
            </w:pPr>
            <w:r>
              <w:t xml:space="preserve">★★★★</w:t>
            </w:r>
          </w:p>
        </w:tc>
        <w:tc>
          <w:tcPr/>
          <w:p>
            <w:pPr>
              <w:pStyle w:val="Compact"/>
            </w:pPr>
            <w:r>
              <w:rPr>
                <w:rFonts w:hint="eastAsia"/>
              </w:rPr>
              <w:t xml:space="preserve">海峡通行、供应中断、油价和运价持续性</w:t>
            </w:r>
          </w:p>
        </w:tc>
      </w:tr>
      <w:tr>
        <w:tc>
          <w:tcPr/>
          <w:p>
            <w:pPr>
              <w:pStyle w:val="Compact"/>
            </w:pPr>
            <w:r>
              <w:rPr>
                <w:rFonts w:hint="eastAsia"/>
              </w:rPr>
              <w:t xml:space="preserve">航空/化工下游/物流运输</w:t>
            </w:r>
          </w:p>
        </w:tc>
        <w:tc>
          <w:tcPr/>
          <w:p>
            <w:pPr>
              <w:pStyle w:val="Compact"/>
            </w:pPr>
            <w:r>
              <w:rPr>
                <w:rFonts w:hint="eastAsia"/>
              </w:rPr>
              <w:t xml:space="preserve">成本端可能承压</w:t>
            </w:r>
          </w:p>
        </w:tc>
        <w:tc>
          <w:tcPr/>
          <w:p>
            <w:pPr>
              <w:pStyle w:val="Compact"/>
            </w:pPr>
            <w:r>
              <w:rPr>
                <w:rFonts w:hint="eastAsia"/>
              </w:rPr>
              <w:t xml:space="preserve">航运安全事件、柴油紧张、美国汽油价格上涨</w:t>
            </w:r>
          </w:p>
        </w:tc>
        <w:tc>
          <w:tcPr/>
          <w:p>
            <w:pPr>
              <w:pStyle w:val="Compact"/>
              <w:jc w:val="right"/>
            </w:pPr>
            <w:r>
              <w:t xml:space="preserve">★★★★</w:t>
            </w:r>
          </w:p>
        </w:tc>
        <w:tc>
          <w:tcPr/>
          <w:p>
            <w:pPr>
              <w:pStyle w:val="Compact"/>
            </w:pPr>
            <w:r>
              <w:rPr>
                <w:rFonts w:hint="eastAsia"/>
              </w:rPr>
              <w:t xml:space="preserve">油价、燃料成本及成本传导能力</w:t>
            </w:r>
          </w:p>
        </w:tc>
      </w:tr>
      <w:tr>
        <w:tc>
          <w:tcPr/>
          <w:p>
            <w:pPr>
              <w:pStyle w:val="Compact"/>
            </w:pPr>
            <w:r>
              <w:rPr>
                <w:rFonts w:hint="eastAsia"/>
              </w:rPr>
              <w:t xml:space="preserve">高估值成长</w:t>
            </w:r>
          </w:p>
        </w:tc>
        <w:tc>
          <w:tcPr/>
          <w:p>
            <w:pPr>
              <w:pStyle w:val="Compact"/>
            </w:pPr>
            <w:r>
              <w:rPr>
                <w:rFonts w:hint="eastAsia"/>
              </w:rPr>
              <w:t xml:space="preserve">海外流动性压力</w:t>
            </w:r>
          </w:p>
        </w:tc>
        <w:tc>
          <w:tcPr/>
          <w:p>
            <w:pPr>
              <w:pStyle w:val="Compact"/>
            </w:pPr>
            <w:r>
              <w:rPr>
                <w:rFonts w:hint="eastAsia"/>
              </w:rPr>
              <w:t xml:space="preserve">美国CPI高于预期、加息预期升温</w:t>
            </w:r>
          </w:p>
        </w:tc>
        <w:tc>
          <w:tcPr/>
          <w:p>
            <w:pPr>
              <w:pStyle w:val="Compact"/>
              <w:jc w:val="right"/>
            </w:pPr>
            <w:r>
              <w:t xml:space="preserve">★★★</w:t>
            </w:r>
          </w:p>
        </w:tc>
        <w:tc>
          <w:tcPr/>
          <w:p>
            <w:pPr>
              <w:pStyle w:val="Compact"/>
            </w:pPr>
            <w:r>
              <w:rPr>
                <w:rFonts w:hint="eastAsia"/>
              </w:rPr>
              <w:t xml:space="preserve">美联储行动、美元与全球利率变化</w:t>
            </w:r>
          </w:p>
        </w:tc>
      </w:tr>
    </w:tbl>
    <w:bookmarkEnd w:id="42"/>
    <w:bookmarkStart w:id="46" w:name="八操作框架"/>
    <w:p>
      <w:pPr>
        <w:pStyle w:val="Heading2"/>
      </w:pPr>
      <w:r>
        <w:rPr>
          <w:rFonts w:hint="eastAsia"/>
        </w:rPr>
        <w:t xml:space="preserve">八、操作框架</w:t>
      </w:r>
    </w:p>
    <w:bookmarkStart w:id="43" w:name="短线方向"/>
    <w:p>
      <w:pPr>
        <w:pStyle w:val="Heading3"/>
      </w:pPr>
      <w:r>
        <w:rPr>
          <w:rFonts w:hint="eastAsia"/>
        </w:rPr>
        <w:t xml:space="preserve">短线方向</w:t>
      </w:r>
    </w:p>
    <w:p>
      <w:pPr>
        <w:pStyle w:val="Compact"/>
        <w:numPr>
          <w:ilvl w:val="0"/>
          <w:numId w:val="1030"/>
        </w:numPr>
      </w:pPr>
      <w:r>
        <w:rPr>
          <w:rFonts w:hint="eastAsia"/>
          <w:b/>
          <w:bCs/>
        </w:rPr>
        <w:t xml:space="preserve">第一优先观察商业航天与卫星互联网。</w:t>
      </w:r>
      <w:r>
        <w:t xml:space="preserve"> </w:t>
      </w:r>
      <w:r>
        <w:rPr>
          <w:rFonts w:hint="eastAsia"/>
        </w:rPr>
        <w:t xml:space="preserve">一箭十星与太空算力、高性能卫星互联网试验构成明确事件催化，但关键仍是板块成交共振、在轨验证和后续发射计划，不追脱离基本面的高开。</w:t>
      </w:r>
    </w:p>
    <w:p>
      <w:pPr>
        <w:pStyle w:val="Compact"/>
        <w:numPr>
          <w:ilvl w:val="0"/>
          <w:numId w:val="1030"/>
        </w:numPr>
      </w:pPr>
      <w:r>
        <w:rPr>
          <w:rFonts w:hint="eastAsia"/>
          <w:b/>
          <w:bCs/>
        </w:rPr>
        <w:t xml:space="preserve">第二优先观察能源安全与油运。</w:t>
      </w:r>
      <w:r>
        <w:t xml:space="preserve"> </w:t>
      </w:r>
      <w:r>
        <w:rPr>
          <w:rFonts w:hint="eastAsia"/>
        </w:rPr>
        <w:t xml:space="preserve">霍尔木兹、曼德海峡和柴油紧张形成共振，但事件交易波动大；若海峡通行正常、油价或运价回落，应迅速降低风险溢价假设。</w:t>
      </w:r>
    </w:p>
    <w:p>
      <w:pPr>
        <w:pStyle w:val="Compact"/>
        <w:numPr>
          <w:ilvl w:val="0"/>
          <w:numId w:val="1030"/>
        </w:numPr>
      </w:pPr>
      <w:r>
        <w:rPr>
          <w:rFonts w:hint="eastAsia"/>
          <w:b/>
          <w:bCs/>
        </w:rPr>
        <w:t xml:space="preserve">稳健方向看健康中国与绿色基础设施。</w:t>
      </w:r>
      <w:r>
        <w:t xml:space="preserve"> </w:t>
      </w:r>
      <w:r>
        <w:rPr>
          <w:rFonts w:hint="eastAsia"/>
        </w:rPr>
        <w:t xml:space="preserve">健康中国位居头条，绿证跨境交易和海洋通信已有落地事实；短线仍需等待板块量价与项目证据。</w:t>
      </w:r>
    </w:p>
    <w:bookmarkEnd w:id="43"/>
    <w:bookmarkStart w:id="44" w:name="中线布局"/>
    <w:p>
      <w:pPr>
        <w:pStyle w:val="Heading3"/>
      </w:pPr>
      <w:r>
        <w:rPr>
          <w:rFonts w:hint="eastAsia"/>
        </w:rPr>
        <w:t xml:space="preserve">中线布局</w:t>
      </w:r>
    </w:p>
    <w:p>
      <w:pPr>
        <w:pStyle w:val="Compact"/>
        <w:numPr>
          <w:ilvl w:val="0"/>
          <w:numId w:val="1031"/>
        </w:numPr>
      </w:pPr>
      <w:r>
        <w:rPr>
          <w:rFonts w:hint="eastAsia"/>
        </w:rPr>
        <w:t xml:space="preserve">健康中国优先跟踪基层医疗、疾病预防、医疗信息化、医保支撑和医药创新的规划—预算—采购—支付闭环。</w:t>
      </w:r>
    </w:p>
    <w:p>
      <w:pPr>
        <w:pStyle w:val="Compact"/>
        <w:numPr>
          <w:ilvl w:val="0"/>
          <w:numId w:val="1031"/>
        </w:numPr>
      </w:pPr>
      <w:r>
        <w:rPr>
          <w:rFonts w:hint="eastAsia"/>
        </w:rPr>
        <w:t xml:space="preserve">四川产业线重点跟踪量子、6G、光学、电子信息、装备制造、航空航天和生物医药的地方专项规划、研发项目与资本开支。</w:t>
      </w:r>
    </w:p>
    <w:p>
      <w:pPr>
        <w:pStyle w:val="Compact"/>
        <w:numPr>
          <w:ilvl w:val="0"/>
          <w:numId w:val="1031"/>
        </w:numPr>
      </w:pPr>
      <w:r>
        <w:rPr>
          <w:rFonts w:hint="eastAsia"/>
        </w:rPr>
        <w:t xml:space="preserve">跨境开放线区分物理通道、政策便利与真实业务：中朝看货运流量，中非看合同和回款，绿证看交易频次与价格。</w:t>
      </w:r>
    </w:p>
    <w:p>
      <w:pPr>
        <w:pStyle w:val="Compact"/>
        <w:numPr>
          <w:ilvl w:val="0"/>
          <w:numId w:val="1031"/>
        </w:numPr>
      </w:pPr>
      <w:r>
        <w:rPr>
          <w:rFonts w:hint="eastAsia"/>
        </w:rPr>
        <w:t xml:space="preserve">海洋通信、商业航天和太空算力优先选择已有技术、客户与交付记录的方向，避免泛化概念。</w:t>
      </w:r>
    </w:p>
    <w:bookmarkEnd w:id="44"/>
    <w:bookmarkStart w:id="45" w:name="风险与证伪"/>
    <w:p>
      <w:pPr>
        <w:pStyle w:val="Heading3"/>
      </w:pPr>
      <w:r>
        <w:rPr>
          <w:rFonts w:hint="eastAsia"/>
        </w:rPr>
        <w:t xml:space="preserve">风险与证伪</w:t>
      </w:r>
    </w:p>
    <w:p>
      <w:pPr>
        <w:pStyle w:val="Compact"/>
        <w:numPr>
          <w:ilvl w:val="0"/>
          <w:numId w:val="1032"/>
        </w:numPr>
      </w:pPr>
      <w:r>
        <w:rPr>
          <w:rFonts w:hint="eastAsia"/>
          <w:b/>
          <w:bCs/>
        </w:rPr>
        <w:t xml:space="preserve">能源与航运风险：</w:t>
      </w:r>
      <w:r>
        <w:t xml:space="preserve"> </w:t>
      </w:r>
      <w:r>
        <w:rPr>
          <w:rFonts w:hint="eastAsia"/>
        </w:rPr>
        <w:t xml:space="preserve">若霍尔木兹或曼德海峡通行受限，油价、运价、保险和航空成本可能进一步上升；若未出现持续断供，相关主题可能快速退潮。</w:t>
      </w:r>
    </w:p>
    <w:p>
      <w:pPr>
        <w:pStyle w:val="Compact"/>
        <w:numPr>
          <w:ilvl w:val="0"/>
          <w:numId w:val="1032"/>
        </w:numPr>
      </w:pPr>
      <w:r>
        <w:rPr>
          <w:rFonts w:hint="eastAsia"/>
          <w:b/>
          <w:bCs/>
        </w:rPr>
        <w:t xml:space="preserve">海外流动性风险：</w:t>
      </w:r>
      <w:r>
        <w:t xml:space="preserve"> </w:t>
      </w:r>
      <w:r>
        <w:rPr>
          <w:rFonts w:hint="eastAsia"/>
        </w:rPr>
        <w:t xml:space="preserve">美国通胀高于预期和加息预期升温可能压制全球风险偏好与高估值资产。</w:t>
      </w:r>
    </w:p>
    <w:p>
      <w:pPr>
        <w:pStyle w:val="Compact"/>
        <w:numPr>
          <w:ilvl w:val="0"/>
          <w:numId w:val="1032"/>
        </w:numPr>
      </w:pPr>
      <w:r>
        <w:rPr>
          <w:rFonts w:hint="eastAsia"/>
          <w:b/>
          <w:bCs/>
        </w:rPr>
        <w:t xml:space="preserve">规划兑现风险：</w:t>
      </w:r>
      <w:r>
        <w:t xml:space="preserve"> </w:t>
      </w:r>
      <w:r>
        <w:rPr>
          <w:rFonts w:hint="eastAsia"/>
        </w:rPr>
        <w:t xml:space="preserve">“布局”“培育”“加强合作”不等于预算、项目、订单和利润，必须等待项目级证据。</w:t>
      </w:r>
    </w:p>
    <w:p>
      <w:pPr>
        <w:pStyle w:val="Compact"/>
        <w:numPr>
          <w:ilvl w:val="0"/>
          <w:numId w:val="1032"/>
        </w:numPr>
      </w:pPr>
      <w:r>
        <w:rPr>
          <w:rFonts w:hint="eastAsia"/>
          <w:b/>
          <w:bCs/>
        </w:rPr>
        <w:t xml:space="preserve">外贸与海外项目风险：</w:t>
      </w:r>
      <w:r>
        <w:t xml:space="preserve"> </w:t>
      </w:r>
      <w:r>
        <w:rPr>
          <w:rFonts w:hint="eastAsia"/>
        </w:rPr>
        <w:t xml:space="preserve">汇率、政治环境、合规、融资和应收账款会影响中非及中亚合作的利润质量。</w:t>
      </w:r>
    </w:p>
    <w:p>
      <w:pPr>
        <w:pStyle w:val="Compact"/>
        <w:numPr>
          <w:ilvl w:val="0"/>
          <w:numId w:val="1032"/>
        </w:numPr>
      </w:pPr>
      <w:r>
        <w:rPr>
          <w:rFonts w:hint="eastAsia"/>
          <w:b/>
          <w:bCs/>
        </w:rPr>
        <w:t xml:space="preserve">农业价格风险：</w:t>
      </w:r>
      <w:r>
        <w:t xml:space="preserve"> </w:t>
      </w:r>
      <w:r>
        <w:rPr>
          <w:rFonts w:hint="eastAsia"/>
        </w:rPr>
        <w:t xml:space="preserve">丰收利好粮食安全和服务链，但供给增加可能限制部分粮价弹性。</w:t>
      </w:r>
    </w:p>
    <w:p>
      <w:pPr>
        <w:pStyle w:val="Compact"/>
        <w:numPr>
          <w:ilvl w:val="0"/>
          <w:numId w:val="1032"/>
        </w:numPr>
      </w:pPr>
      <w:r>
        <w:rPr>
          <w:rFonts w:hint="eastAsia"/>
          <w:b/>
          <w:bCs/>
        </w:rPr>
        <w:t xml:space="preserve">交易拥挤风险：</w:t>
      </w:r>
      <w:r>
        <w:t xml:space="preserve"> </w:t>
      </w:r>
      <w:r>
        <w:rPr>
          <w:rFonts w:hint="eastAsia"/>
        </w:rPr>
        <w:t xml:space="preserve">商业航天、油气、6G、量子等题材若高开且缺乏成交与基本面确认，应防止情绪兑现。</w:t>
      </w:r>
    </w:p>
    <w:p>
      <w:pPr>
        <w:pStyle w:val="Compact"/>
        <w:numPr>
          <w:ilvl w:val="0"/>
          <w:numId w:val="1032"/>
        </w:numPr>
      </w:pPr>
      <w:r>
        <w:rPr>
          <w:rFonts w:hint="eastAsia"/>
          <w:b/>
          <w:bCs/>
        </w:rPr>
        <w:t xml:space="preserve">信息边界：</w:t>
      </w:r>
      <w:r>
        <w:t xml:space="preserve"> </w:t>
      </w:r>
      <w:r>
        <w:rPr>
          <w:rFonts w:hint="eastAsia"/>
        </w:rPr>
        <w:t xml:space="preserve">本文未引入行情、资金流、估值、公司公告或指定底稿之外的新闻，执行前需另行核验市场数据。</w:t>
      </w:r>
    </w:p>
    <w:bookmarkEnd w:id="45"/>
    <w:bookmarkEnd w:id="46"/>
    <w:bookmarkStart w:id="47" w:name="九事实核验与覆盖清单"/>
    <w:p>
      <w:pPr>
        <w:pStyle w:val="Heading2"/>
      </w:pPr>
      <w:r>
        <w:rPr>
          <w:rFonts w:hint="eastAsia"/>
        </w:rPr>
        <w:t xml:space="preserve">九、事实核验与覆盖清单</w:t>
      </w:r>
    </w:p>
    <w:p>
      <w:pPr>
        <w:pStyle w:val="Compact"/>
        <w:numPr>
          <w:ilvl w:val="0"/>
          <w:numId w:val="1033"/>
        </w:numPr>
      </w:pPr>
      <w:r>
        <w:rPr>
          <w:rFonts w:hint="eastAsia"/>
        </w:rPr>
        <w:t xml:space="preserve">已按指定底稿原顺序覆盖全部14个一级条目。</w:t>
      </w:r>
    </w:p>
    <w:p>
      <w:pPr>
        <w:pStyle w:val="Compact"/>
        <w:numPr>
          <w:ilvl w:val="0"/>
          <w:numId w:val="1033"/>
        </w:numPr>
      </w:pPr>
      <w:r>
        <w:rPr>
          <w:rFonts w:hint="eastAsia"/>
        </w:rPr>
        <w:t xml:space="preserve">已把“国内联播快讯”11个分项逐项展开：生态环保督察、网络涉军不当营销整治、知识产权协同保护、广交会口岸客流、绿证跨境交易、渤海通信感知网、仓储指数、朱雀二号一箭十星、雄安教师发展中心、糖酒会和纪录片。</w:t>
      </w:r>
    </w:p>
    <w:p>
      <w:pPr>
        <w:pStyle w:val="Compact"/>
        <w:numPr>
          <w:ilvl w:val="0"/>
          <w:numId w:val="1033"/>
        </w:numPr>
      </w:pPr>
      <w:r>
        <w:rPr>
          <w:rFonts w:hint="eastAsia"/>
        </w:rPr>
        <w:t xml:space="preserve">已把“国际联播快讯”4个分项逐项展开：俄乌炼油与能源设施冲突、柴油供应紧张、美国CPI与加息预期、日本农相辞职。</w:t>
      </w:r>
    </w:p>
    <w:p>
      <w:pPr>
        <w:pStyle w:val="Compact"/>
        <w:numPr>
          <w:ilvl w:val="0"/>
          <w:numId w:val="1033"/>
        </w:numPr>
      </w:pPr>
      <w:r>
        <w:rPr>
          <w:rFonts w:hint="eastAsia"/>
        </w:rPr>
        <w:t xml:space="preserve">报告中的日期、数字、政策措辞、项目与事件事实均来自指定底稿；板块内容均以“映射”“关联方向”“可能受益或承压”等条件性语言呈现。</w:t>
      </w:r>
    </w:p>
    <w:p>
      <w:pPr>
        <w:pStyle w:val="Compact"/>
        <w:numPr>
          <w:ilvl w:val="0"/>
          <w:numId w:val="1033"/>
        </w:numPr>
      </w:pPr>
      <w:r>
        <w:rPr>
          <w:rFonts w:hint="eastAsia"/>
        </w:rPr>
        <w:t xml:space="preserve">对胡塞武装、多国联军、伊朗、美国、俄罗斯和乌克兰相关叙述均保留原报道主体，没有把单方说法改写成独立核验事实。</w:t>
      </w:r>
    </w:p>
    <w:p>
      <w:pPr>
        <w:pStyle w:val="Compact"/>
        <w:numPr>
          <w:ilvl w:val="0"/>
          <w:numId w:val="1033"/>
        </w:numPr>
      </w:pPr>
      <w:r>
        <w:rPr>
          <w:rFonts w:hint="eastAsia"/>
        </w:rPr>
        <w:t xml:space="preserve">已核对关键数字：甘肃追回10836.19万元并化债7667.58万元；泸石高速96.5公里；大豆亩产683.63斤；国家公园23万平方公里；绿证9.6万个对应近1亿度；仓储指数49.7%；霍尔木兹周边本月22艘船只遇袭等事件；柴油出口日均470万桶、同比下降10%；美国CPI同比3.7%。</w:t>
      </w:r>
    </w:p>
    <w:p>
      <w:pPr>
        <w:pStyle w:val="Compact"/>
        <w:numPr>
          <w:ilvl w:val="0"/>
          <w:numId w:val="1033"/>
        </w:numPr>
      </w:pPr>
      <w:r>
        <w:rPr>
          <w:rFonts w:hint="eastAsia"/>
        </w:rPr>
        <w:t xml:space="preserve">未写入底稿未披露的上市公司名单、订单金额、财政规模、市场涨跌或资金流数据；欢迎仪式未重复计算为独立产业政策，访问行程未提前写成已签约项目。</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47"/>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2026-10-15T12:19:15Z</dcterms:created>
  <dcterms:modified xsi:type="dcterms:W3CDTF">2026-10-15T12:19:15Z</dcterms:modified>
</cp:coreProperties>
</file>

<file path=docProps/custom.xml><?xml version="1.0" encoding="utf-8"?>
<Properties xmlns="http://schemas.openxmlformats.org/officeDocument/2006/custom-properties" xmlns:vt="http://schemas.openxmlformats.org/officeDocument/2006/docPropsVTypes"/>
</file>