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Xb959cf7e967f512bbb0c28eabf5d579de3be057"/>
    <w:p>
      <w:pPr>
        <w:pStyle w:val="Heading1"/>
      </w:pPr>
      <w:r>
        <w:rPr>
          <w:rFonts w:hint="eastAsia"/>
        </w:rPr>
        <w:t xml:space="preserve">2026年10月14日《新闻联播》A股影响深度解读</w:t>
      </w:r>
    </w:p>
    <w:p>
      <w:pPr>
        <w:pStyle w:val="BlockText"/>
      </w:pPr>
      <w:r>
        <w:rPr>
          <w:rFonts w:hint="eastAsia"/>
        </w:rPr>
        <w:t xml:space="preserve">数据边界：本文唯一事实底稿为</w:t>
      </w:r>
      <w:r>
        <w:t xml:space="preserve"> </w:t>
      </w:r>
      <w:r>
        <w:rPr>
          <w:rStyle w:val="VerbatimChar"/>
        </w:rPr>
        <w:t xml:space="preserve">/Users/qiji/.hermes/skills/finance/qiji-morning-know/memory/xinwenlianbo/2026-10-14.md</w:t>
      </w:r>
      <w:r>
        <w:rPr>
          <w:rFonts w:hint="eastAsia"/>
        </w:rPr>
        <w:t xml:space="preserve">。文中“受益”“承压”均为从原文政策与事件向A股行业的条件映射，不代表政策已经转化为上市公司订单、利润或资金流，也不构成投资建议。</w:t>
      </w:r>
    </w:p>
    <w:bookmarkStart w:id="9" w:name="一今日联播总评"/>
    <w:p>
      <w:pPr>
        <w:pStyle w:val="Heading2"/>
      </w:pPr>
      <w:r>
        <w:rPr>
          <w:rFonts w:hint="eastAsia"/>
        </w:rPr>
        <w:t xml:space="preserve">一、今日联播总评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整体基调：积极，但结构性机会与外部风险并存。</w:t>
      </w:r>
      <w:r>
        <w:t xml:space="preserve"> </w:t>
      </w:r>
      <w:r>
        <w:rPr>
          <w:rFonts w:hint="eastAsia"/>
        </w:rPr>
        <w:t xml:space="preserve">当日头条和总理活动集中强化高水平开放、广交会、全球产供链稳定与外贸合作；健康中国、人工智能、云南绿色产业、价格与金融数据构成国内产业和宏观支线。中东能源设施互袭、欧洲天然气价格上行、俄乌及黑海安全事件则抬高外部能源与航运风险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政策信号强度：强。</w:t>
      </w:r>
      <w:r>
        <w:t xml:space="preserve"> </w:t>
      </w:r>
      <w:r>
        <w:rPr>
          <w:rFonts w:hint="eastAsia"/>
        </w:rPr>
        <w:t xml:space="preserve">头条由国家主席致信广交会，总理在开幕式和座谈会连续部署开放、创新、投资环境与现代化产业体系；卫生健康报道再次明确“十五五”关键期和健康优先战略，人工智能被定位为引领新一轮技术革命和产业变革的关键力量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对A股总体影响：偏利好、重在结构。</w:t>
      </w:r>
      <w:r>
        <w:t xml:space="preserve"> </w:t>
      </w:r>
      <w:r>
        <w:rPr>
          <w:rFonts w:hint="eastAsia"/>
        </w:rPr>
        <w:t xml:space="preserve">外贸出海、跨境贸易服务、智慧会展、绿色会展、AI产业链、医疗强基、医药创新、绿色能源、绿色磷化工、新材料、生物医药和算力基础设施获得原文支撑；能源输入成本、航空运输、欧洲需求及全球风险偏好面临扰动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一句话结论：</w:t>
      </w:r>
      <w:r>
        <w:t xml:space="preserve"> </w:t>
      </w:r>
      <w:r>
        <w:rPr>
          <w:rFonts w:hint="eastAsia"/>
        </w:rPr>
        <w:t xml:space="preserve">今日主线是“高水平开放与制造出海”，中期政策锚是“健康中国+人工智能+绿色产业”，但中东能源冲突和欧洲天然气紧张要求交易上保留风险折价，不能把宏观表态直接等同于公司业绩。</w:t>
      </w:r>
    </w:p>
    <w:bookmarkEnd w:id="9"/>
    <w:bookmarkStart w:id="10" w:name="二核心政策与市场信号"/>
    <w:p>
      <w:pPr>
        <w:pStyle w:val="Heading2"/>
      </w:pPr>
      <w:r>
        <w:rPr>
          <w:rFonts w:hint="eastAsia"/>
        </w:rPr>
        <w:t xml:space="preserve">二、核心政策与市场信号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高水平开放和全球产供链稳定（★★★★★）</w:t>
      </w:r>
      <w:r>
        <w:rPr>
          <w:rFonts w:hint="eastAsia"/>
        </w:rPr>
        <w:t xml:space="preserve">：广交会位居头条，总理连续出席开幕式和座谈会，明确分享市场机遇、优化外商投资环境、建设现代化产业体系。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健康中国进入“十五五”关键阶段（★★★★★）</w:t>
      </w:r>
      <w:r>
        <w:rPr>
          <w:rFonts w:hint="eastAsia"/>
        </w:rPr>
        <w:t xml:space="preserve">：健康管理、疾控、医疗、医保、医药创新和人才培养六类能力被系统强调，医疗卫生强基与分级诊疗是可继续跟踪的落地抓手。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人工智能发展、应用与治理并举（★★★★）</w:t>
      </w:r>
      <w:r>
        <w:rPr>
          <w:rFonts w:hint="eastAsia"/>
        </w:rPr>
        <w:t xml:space="preserve">：高层明确要把AI发展好、运用好、治理好，并支持世界人工智能合作组织建设；利好产业长期预期，但没有披露资金、采购或企业名单。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外贸、价格与融资数据共同指向经济韧性（★★★★）</w:t>
      </w:r>
      <w:r>
        <w:rPr>
          <w:rFonts w:hint="eastAsia"/>
        </w:rPr>
        <w:t xml:space="preserve">：前三季度进出口39.94万亿元、CPI同比上涨0.9%、PPI同比上涨2.3%、社融存量同比增长7.1%，同时直接融资占比提升；市场影响偏正面，但需防PPI和能源价格上行带来的成本压力。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全球能源安全风险升温（★★★）</w:t>
      </w:r>
      <w:r>
        <w:rPr>
          <w:rFonts w:hint="eastAsia"/>
        </w:rPr>
        <w:t xml:space="preserve">：沙特与胡塞武装相互打击能源设施，欧洲天然气价格升至近四年高位，俄乌继续打击能源基础设施；油气、天然气和能源安全方向可能获得风险溢价，航空及高能耗行业可能承压。</w:t>
      </w:r>
    </w:p>
    <w:bookmarkEnd w:id="10"/>
    <w:bookmarkStart w:id="23" w:name="三逐条a股影响分析"/>
    <w:p>
      <w:pPr>
        <w:pStyle w:val="Heading2"/>
      </w:pPr>
      <w:r>
        <w:rPr>
          <w:rFonts w:hint="eastAsia"/>
        </w:rPr>
        <w:t xml:space="preserve">三、逐条A股影响分析</w:t>
      </w:r>
    </w:p>
    <w:bookmarkStart w:id="11" w:name="X06bdc508663a91dc290bd8066e0abb9f67fd948"/>
    <w:p>
      <w:pPr>
        <w:pStyle w:val="Heading3"/>
      </w:pPr>
      <w:r>
        <w:t xml:space="preserve">1. </w:t>
      </w:r>
      <w:r>
        <w:rPr>
          <w:rFonts w:hint="eastAsia"/>
        </w:rPr>
        <w:t xml:space="preserve">习近平向第140届广交会致贺信：开放与产供链稳定成为头条主线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信号强度：★★★★★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A股影响：结构性利好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影响时效：短期形成主题催化，中长期取决于贸易、订单与投资落地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受益映射：</w:t>
      </w:r>
      <w:r>
        <w:t xml:space="preserve"> </w:t>
      </w:r>
      <w:r>
        <w:rPr>
          <w:rFonts w:hint="eastAsia"/>
        </w:rPr>
        <w:t xml:space="preserve">外贸制造、跨境物流、港口航运、供应链服务、跨境电商、会展服务。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约束与风险：</w:t>
      </w:r>
      <w:r>
        <w:t xml:space="preserve"> </w:t>
      </w:r>
      <w:r>
        <w:rPr>
          <w:rFonts w:hint="eastAsia"/>
        </w:rPr>
        <w:t xml:space="preserve">外需波动、贸易摩擦、汇率与海外回款风险。</w:t>
      </w:r>
    </w:p>
    <w:p>
      <w:pPr>
        <w:pStyle w:val="FirstParagraph"/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习近平向第140届广交会致贺信，肯定广交会70年来促进中外贸易往来的作用，并提出维护多边贸易体制、保障全球产业链供应链稳定畅通、拓展国际经贸互利合作空间。广交会当日在广州开幕，由商务部和广东省人民政府共同主办。</w:t>
      </w:r>
    </w:p>
    <w:p>
      <w:pPr>
        <w:pStyle w:val="BodyText"/>
      </w:pPr>
      <w:r>
        <w:rPr>
          <w:rFonts w:hint="eastAsia"/>
          <w:b/>
          <w:bCs/>
        </w:rPr>
        <w:t xml:space="preserve">通俗解读与A股映射：</w:t>
      </w:r>
      <w:r>
        <w:t xml:space="preserve"> </w:t>
      </w:r>
      <w:r>
        <w:rPr>
          <w:rFonts w:hint="eastAsia"/>
        </w:rPr>
        <w:t xml:space="preserve">头条释放的不是单一展会事件，而是继续扩大高水平开放、维护多边贸易和稳定产供链的政策立场。A股层面更应关注已有出口能力、海外渠道和履约记录的制造与服务企业。原文没有披露成交额、订单结构或上市公司名单，不能据此确认任何具体公司新增业绩。</w:t>
      </w:r>
    </w:p>
    <w:bookmarkEnd w:id="11"/>
    <w:bookmarkStart w:id="12" w:name="Xc04ef516ee717ae7e76a6527b7684036796363b"/>
    <w:p>
      <w:pPr>
        <w:pStyle w:val="Heading3"/>
      </w:pPr>
      <w:r>
        <w:t xml:space="preserve">2. </w:t>
      </w:r>
      <w:r>
        <w:rPr>
          <w:rFonts w:hint="eastAsia"/>
        </w:rPr>
        <w:t xml:space="preserve">央视快评：强化开放主线，不重复计算为新增政策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信号强度：★★★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A股影响：中性偏利好，主要强化情绪与传播权重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影响时效：短期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关联方向：</w:t>
      </w:r>
      <w:r>
        <w:t xml:space="preserve"> </w:t>
      </w:r>
      <w:r>
        <w:rPr>
          <w:rFonts w:hint="eastAsia"/>
        </w:rPr>
        <w:t xml:space="preserve">外贸、开放型经济、全球产供链。</w:t>
      </w:r>
    </w:p>
    <w:p>
      <w:pPr>
        <w:pStyle w:val="FirstParagraph"/>
      </w:pPr>
      <w:r>
        <w:rPr>
          <w:rFonts w:hint="eastAsia"/>
        </w:rPr>
        <w:t xml:space="preserve">原文只确认播发《为世界发展繁荣持续注入新动力》央视快评，没有给出新的政策工具、数字、项目或资金安排。因此其作用是强化头条开放主题，而非第二份独立政策利好。</w:t>
      </w:r>
    </w:p>
    <w:bookmarkEnd w:id="12"/>
    <w:bookmarkStart w:id="13" w:name="X1c8e45cc6ada767dfd9c546bbb54d49c99abac4"/>
    <w:p>
      <w:pPr>
        <w:pStyle w:val="Heading3"/>
      </w:pPr>
      <w:r>
        <w:t xml:space="preserve">3. </w:t>
      </w:r>
      <w:r>
        <w:rPr>
          <w:rFonts w:hint="eastAsia"/>
        </w:rPr>
        <w:t xml:space="preserve">健康中国建设反响：医疗强基与医药创新获得长期政策锚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信号强度：★★★★★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A股影响：中长期利好，行业内部明显分化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影响时效：短期1—3日关注主题共振；中期1—4周等待细则；长期贯穿“十五五”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受益映射：</w:t>
      </w:r>
      <w:r>
        <w:t xml:space="preserve"> </w:t>
      </w:r>
      <w:r>
        <w:rPr>
          <w:rFonts w:hint="eastAsia"/>
        </w:rPr>
        <w:t xml:space="preserve">基层医疗、医疗器械、医疗信息化、疾病防控、健康管理、分级诊疗、创新药、医保信息化、医学人才培养。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风险方向：</w:t>
      </w:r>
      <w:r>
        <w:t xml:space="preserve"> </w:t>
      </w:r>
      <w:r>
        <w:rPr>
          <w:rFonts w:hint="eastAsia"/>
        </w:rPr>
        <w:t xml:space="preserve">缺乏临床价值、成本效率和支付能力支撑的同质化供给。</w:t>
      </w:r>
    </w:p>
    <w:p>
      <w:pPr>
        <w:pStyle w:val="FirstParagraph"/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报道重申“十五五”是实现2035年建成健康中国目标的关键时期，并列出健康管理、疾病防控、医疗服务、医保支撑、医药创新、人才培养六类能力。原文还强调健康优先、预防为主、医疗卫生强基工程、优化机构功能定位和结构布局以及促进分级诊疗。</w:t>
      </w:r>
    </w:p>
    <w:p>
      <w:pPr>
        <w:pStyle w:val="BodyText"/>
      </w:pPr>
      <w:r>
        <w:rPr>
          <w:rFonts w:hint="eastAsia"/>
          <w:b/>
          <w:bCs/>
        </w:rPr>
        <w:t xml:space="preserve">通俗解读与A股映射：</w:t>
      </w:r>
      <w:r>
        <w:t xml:space="preserve"> </w:t>
      </w:r>
      <w:r>
        <w:rPr>
          <w:rFonts w:hint="eastAsia"/>
        </w:rPr>
        <w:t xml:space="preserve">政策方向从治病进一步延伸到全周期健康管理，并把基层能力、服务可及性和创新能力同时纳入。产业兑现应沿“规划—预算—项目—采购—收入”链条验证；目前原文没有专项资金规模、采购数量或支付细则，短线不能无差别追逐医药医疗概念。</w:t>
      </w:r>
    </w:p>
    <w:p>
      <w:pPr>
        <w:pStyle w:val="BodyText"/>
      </w:pPr>
      <w:r>
        <w:rPr>
          <w:rFonts w:hint="eastAsia"/>
          <w:b/>
          <w:bCs/>
        </w:rPr>
        <w:t xml:space="preserve">后续验证点：</w:t>
      </w:r>
      <w:r>
        <w:t xml:space="preserve"> </w:t>
      </w:r>
      <w:r>
        <w:rPr>
          <w:rFonts w:hint="eastAsia"/>
        </w:rPr>
        <w:t xml:space="preserve">“十五五”卫生健康规划、强基工程项目清单、基层设备和信息化采购、医保支付安排、医药创新成果转化政策。</w:t>
      </w:r>
    </w:p>
    <w:bookmarkEnd w:id="13"/>
    <w:bookmarkStart w:id="14" w:name="Xe7e24c7cd892cb2448b79378ba49a1dc4d7613f"/>
    <w:p>
      <w:pPr>
        <w:pStyle w:val="Heading3"/>
      </w:pPr>
      <w:r>
        <w:t xml:space="preserve">4. </w:t>
      </w:r>
      <w:r>
        <w:rPr>
          <w:rFonts w:hint="eastAsia"/>
        </w:rPr>
        <w:t xml:space="preserve">李强出席广交会开幕式：市场联通、贸易互利和经贸秩序获高层确认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信号强度：★★★★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A股影响：利好外贸与出海链，指数影响偏间接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影响时效：短期事件催化，中期看订单和进口出口数据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受益映射：</w:t>
      </w:r>
      <w:r>
        <w:t xml:space="preserve"> </w:t>
      </w:r>
      <w:r>
        <w:rPr>
          <w:rFonts w:hint="eastAsia"/>
        </w:rPr>
        <w:t xml:space="preserve">装备制造出口、外贸综合服务、跨境物流、港口、供应链管理、进口服务。</w:t>
      </w:r>
    </w:p>
    <w:p>
      <w:pPr>
        <w:pStyle w:val="FirstParagraph"/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李强表示，中国将持续推动高质量发展、扩大高水平开放、分享更多市场机遇、拓展互利合作并维护国际经贸秩序。开幕式有来自近90个国家和地区的700多名代表出席；世贸组织总干事视频致辞，支持开放、基于规则的全球贸易体系。</w:t>
      </w:r>
    </w:p>
    <w:p>
      <w:pPr>
        <w:pStyle w:val="BodyText"/>
      </w:pPr>
      <w:r>
        <w:rPr>
          <w:rFonts w:hint="eastAsia"/>
          <w:b/>
          <w:bCs/>
        </w:rPr>
        <w:t xml:space="preserve">分析：</w:t>
      </w:r>
      <w:r>
        <w:t xml:space="preserve"> </w:t>
      </w:r>
      <w:r>
        <w:rPr>
          <w:rFonts w:hint="eastAsia"/>
        </w:rPr>
        <w:t xml:space="preserve">“超级卖家”和“超级买家”的表述意味着政策不仅强调出口，也强调进口和国内市场机会。对A股的有效筛选标准是企业真实的海外收入、订单质量、渠道、供应链韧性与回款能力，而不是泛化“出海”标签。</w:t>
      </w:r>
    </w:p>
    <w:bookmarkEnd w:id="14"/>
    <w:bookmarkStart w:id="15" w:name="X0afe2936922848b87b5713c9fbe8800454293a2"/>
    <w:p>
      <w:pPr>
        <w:pStyle w:val="Heading3"/>
      </w:pPr>
      <w:r>
        <w:t xml:space="preserve">5. </w:t>
      </w:r>
      <w:r>
        <w:rPr>
          <w:rFonts w:hint="eastAsia"/>
        </w:rPr>
        <w:t xml:space="preserve">“广交世界70年”座谈会：智慧、绿色和外资环境成为增量关键词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信号强度：★★★★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A股影响：结构性利好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影响时效：短期主题、中长期产业合作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受益映射：</w:t>
      </w:r>
      <w:r>
        <w:t xml:space="preserve"> </w:t>
      </w:r>
      <w:r>
        <w:rPr>
          <w:rFonts w:hint="eastAsia"/>
        </w:rPr>
        <w:t xml:space="preserve">智慧会展、企业数字化、绿色会展设备与服务、外贸服务、产业链协同、先进制造。</w:t>
      </w:r>
    </w:p>
    <w:p>
      <w:pPr>
        <w:pStyle w:val="FirstParagraph"/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李强提出继续厚植开放创新生态、优化外商投资环境、加快建设现代化产业体系，并提出打造“智慧广交会”“绿色广交会”“人文广交会”。参会企业合作正从贸易伙伴向创新、投资和产供链伙伴升级。</w:t>
      </w:r>
    </w:p>
    <w:p>
      <w:pPr>
        <w:pStyle w:val="BodyText"/>
      </w:pPr>
      <w:r>
        <w:rPr>
          <w:rFonts w:hint="eastAsia"/>
          <w:b/>
          <w:bCs/>
        </w:rPr>
        <w:t xml:space="preserve">分析：</w:t>
      </w:r>
      <w:r>
        <w:t xml:space="preserve"> </w:t>
      </w:r>
      <w:r>
        <w:rPr>
          <w:rFonts w:hint="eastAsia"/>
        </w:rPr>
        <w:t xml:space="preserve">增量信号在于合作关系从单次交易扩展到创新、投资和产供链协同。智慧和绿色会展提供真实应用方向，但原文未披露技术供应商、采购金额或项目清单，短线更偏主题催化。</w:t>
      </w:r>
    </w:p>
    <w:bookmarkEnd w:id="15"/>
    <w:bookmarkStart w:id="16" w:name="X66172d746c5b7f51e900060e36c6ec0831686a3"/>
    <w:p>
      <w:pPr>
        <w:pStyle w:val="Heading3"/>
      </w:pPr>
      <w:r>
        <w:t xml:space="preserve">6. </w:t>
      </w:r>
      <w:r>
        <w:rPr>
          <w:rFonts w:hint="eastAsia"/>
        </w:rPr>
        <w:t xml:space="preserve">国际议员友好交流论坛：为开放合作提供立法与制度沟通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信号强度：★★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A股影响：总体中性，长期边际利好跨境合作稳定性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影响时效：长期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关联方向：</w:t>
      </w:r>
      <w:r>
        <w:t xml:space="preserve"> </w:t>
      </w:r>
      <w:r>
        <w:rPr>
          <w:rFonts w:hint="eastAsia"/>
        </w:rPr>
        <w:t xml:space="preserve">“一带一路”、国际经贸合作、跨境项目法律服务。</w:t>
      </w:r>
    </w:p>
    <w:p>
      <w:pPr>
        <w:pStyle w:val="FirstParagraph"/>
      </w:pPr>
      <w:r>
        <w:rPr>
          <w:rFonts w:hint="eastAsia"/>
        </w:rPr>
        <w:t xml:space="preserve">赵乐际提出落实四大全球倡议、践行多边主义、为务实合作提供法律保障，并介绍“十五五”规划纲要有关情况。该条没有具体产业项目、合同或金额，对A股直接催化较弱；价值在于跨国合作的制度和沟通环境。</w:t>
      </w:r>
    </w:p>
    <w:bookmarkEnd w:id="16"/>
    <w:bookmarkStart w:id="17" w:name="X5e56091a16ff9b93abc315a74a462008804d715"/>
    <w:p>
      <w:pPr>
        <w:pStyle w:val="Heading3"/>
      </w:pPr>
      <w:r>
        <w:t xml:space="preserve">7. </w:t>
      </w:r>
      <w:r>
        <w:rPr>
          <w:rFonts w:hint="eastAsia"/>
        </w:rPr>
        <w:t xml:space="preserve">丁薛祥会见清华经管顾问委员会委员代表：AI发展、应用和治理并重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信号强度：★★★★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A股影响：中长期利好，短线防止泛化炒作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影响时效：短期主题催化；中长期看技术、产品、订单与治理规则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受益映射：</w:t>
      </w:r>
      <w:r>
        <w:t xml:space="preserve"> </w:t>
      </w:r>
      <w:r>
        <w:rPr>
          <w:rFonts w:hint="eastAsia"/>
        </w:rPr>
        <w:t xml:space="preserve">AI算力基础设施、大模型与行业应用、数据治理、AI安全、企业数字化、产学研合作。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约束方向：</w:t>
      </w:r>
      <w:r>
        <w:t xml:space="preserve"> </w:t>
      </w:r>
      <w:r>
        <w:rPr>
          <w:rFonts w:hint="eastAsia"/>
        </w:rPr>
        <w:t xml:space="preserve">缺乏算力效率、数据能力、商业场景或合规基础的纯概念标的。</w:t>
      </w:r>
    </w:p>
    <w:p>
      <w:pPr>
        <w:pStyle w:val="FirstParagraph"/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丁薛祥指出，人工智能是引领新一轮技术革命和产业变革的关键力量，要把技术发展好、运用好、治理好，并欢迎支持和参与世界人工智能合作组织建设。顾问委员会代表表示愿继续深耕中国、拓展合作。</w:t>
      </w:r>
    </w:p>
    <w:p>
      <w:pPr>
        <w:pStyle w:val="BodyText"/>
      </w:pPr>
      <w:r>
        <w:rPr>
          <w:rFonts w:hint="eastAsia"/>
          <w:b/>
          <w:bCs/>
        </w:rPr>
        <w:t xml:space="preserve">分析：</w:t>
      </w:r>
      <w:r>
        <w:t xml:space="preserve"> </w:t>
      </w:r>
      <w:r>
        <w:rPr>
          <w:rFonts w:hint="eastAsia"/>
        </w:rPr>
        <w:t xml:space="preserve">表述同时覆盖发展、应用和治理，说明产业机会不只在模型和算力，也包括行业落地与安全治理。原文没有新设专项基金、采购计划或具体企业合作，必须以后续政策和商业合同验证。</w:t>
      </w:r>
    </w:p>
    <w:bookmarkEnd w:id="17"/>
    <w:bookmarkStart w:id="18" w:name="X465407f502c7d7c5a3fbdbdf859d35c36e667a7"/>
    <w:p>
      <w:pPr>
        <w:pStyle w:val="Heading3"/>
      </w:pPr>
      <w:r>
        <w:t xml:space="preserve">8. </w:t>
      </w:r>
      <w:r>
        <w:rPr>
          <w:rFonts w:hint="eastAsia"/>
        </w:rPr>
        <w:t xml:space="preserve">云南新时代长征路：绿色能源、磷化工、生物医药、新材料与算力出海并列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信号强度：★★★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A股影响：区域性结构利好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影响时效：中长期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受益映射：</w:t>
      </w:r>
      <w:r>
        <w:t xml:space="preserve"> </w:t>
      </w:r>
      <w:r>
        <w:rPr>
          <w:rFonts w:hint="eastAsia"/>
        </w:rPr>
        <w:t xml:space="preserve">水电与绿色能源、磷化工、新材料、生物医药、高原特色农业、文化旅游、算力基础设施及面向南亚东南亚的数字服务。</w:t>
      </w:r>
    </w:p>
    <w:p>
      <w:pPr>
        <w:pStyle w:val="FirstParagraph"/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乌东德水电站每年可满足3400余万城乡居民生活用电需求；乌东德与白鹤滩、溪洛渡等组成总装机超7000万千瓦、跨越1800公里的清洁能源走廊。“十五五”时期，云南将发展高原特色农业、文化旅游、绿色能源，争创绿色磷化工先进制造集群，发展生物医药、新材料并布局算力出海。</w:t>
      </w:r>
    </w:p>
    <w:p>
      <w:pPr>
        <w:pStyle w:val="BodyText"/>
      </w:pPr>
      <w:r>
        <w:rPr>
          <w:rFonts w:hint="eastAsia"/>
          <w:b/>
          <w:bCs/>
        </w:rPr>
        <w:t xml:space="preserve">分析：</w:t>
      </w:r>
      <w:r>
        <w:t xml:space="preserve"> </w:t>
      </w:r>
      <w:r>
        <w:rPr>
          <w:rFonts w:hint="eastAsia"/>
        </w:rPr>
        <w:t xml:space="preserve">这是当日产业清单最具体的区域报道。绿色电力可为高耗能制造和算力提供资源基础，但“布局”不等于项目已经形成收入。后续应跟踪地方规划、能耗与电价机制、项目核准、资本开支和跨境数据服务规则。</w:t>
      </w:r>
    </w:p>
    <w:bookmarkEnd w:id="18"/>
    <w:bookmarkStart w:id="19" w:name="X35ea5c1437817ff01374fd0431ed17bcaf8cc05"/>
    <w:p>
      <w:pPr>
        <w:pStyle w:val="Heading3"/>
      </w:pPr>
      <w:r>
        <w:t xml:space="preserve">9. </w:t>
      </w:r>
      <w:r>
        <w:rPr>
          <w:rFonts w:hint="eastAsia"/>
        </w:rPr>
        <w:t xml:space="preserve">前三季度物价：CPI温和、PPI连续上行，需求改善与成本压力并存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信号强度：★★★★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A股影响：宏观偏正面，行业分化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影响时效：短期影响利率与盈利预期，中期看价格持续性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可能受益：</w:t>
      </w:r>
      <w:r>
        <w:t xml:space="preserve"> </w:t>
      </w:r>
      <w:r>
        <w:rPr>
          <w:rFonts w:hint="eastAsia"/>
        </w:rPr>
        <w:t xml:space="preserve">服务消费、养老托育、电气机械、计算机等价格改善方向。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可能承压：</w:t>
      </w:r>
      <w:r>
        <w:t xml:space="preserve"> </w:t>
      </w:r>
      <w:r>
        <w:rPr>
          <w:rFonts w:hint="eastAsia"/>
        </w:rPr>
        <w:t xml:space="preserve">原材料和能源成本上升但议价能力不足的中下游企业。</w:t>
      </w:r>
    </w:p>
    <w:p>
      <w:pPr>
        <w:pStyle w:val="FirstParagraph"/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前三季度CPI同比上涨0.9%，9月同比上涨0.9%，较上月扩大0.1个百分点；服务价格同比上涨0.8%。前三季度PPI同比上涨2.3%，9月同比上涨5.0%，连续七个月上涨。原文称AI、算电协同和市场竞争秩序优化推动电气机械、计算机等下游制造业价格改善，同时国际原油高位运行使能源价格涨幅扩大。</w:t>
      </w:r>
    </w:p>
    <w:p>
      <w:pPr>
        <w:pStyle w:val="BodyText"/>
      </w:pPr>
      <w:r>
        <w:rPr>
          <w:rFonts w:hint="eastAsia"/>
          <w:b/>
          <w:bCs/>
        </w:rPr>
        <w:t xml:space="preserve">分析：</w:t>
      </w:r>
      <w:r>
        <w:t xml:space="preserve"> </w:t>
      </w:r>
      <w:r>
        <w:rPr>
          <w:rFonts w:hint="eastAsia"/>
        </w:rPr>
        <w:t xml:space="preserve">CPI温和意味着居民端价格总体平稳，服务价格回升反映部分需求改善；PPI较快上行有助于部分工业企业价格修复，也可能挤压缺乏议价权的下游利润。不能仅凭PPI上涨就判断所有制造业利润同步改善。</w:t>
      </w:r>
    </w:p>
    <w:bookmarkEnd w:id="19"/>
    <w:bookmarkStart w:id="20" w:name="Xe07f50190529a5164b398aea569f2ad7fe4da5b"/>
    <w:p>
      <w:pPr>
        <w:pStyle w:val="Heading3"/>
      </w:pPr>
      <w:r>
        <w:t xml:space="preserve">10. </w:t>
      </w:r>
      <w:r>
        <w:rPr>
          <w:rFonts w:hint="eastAsia"/>
        </w:rPr>
        <w:t xml:space="preserve">前三季度货物贸易39.94万亿元：装备制造贡献近九成出口增量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信号强度：★★★★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A股影响：利好出口制造与供应链，需警惕高基数和外部摩擦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影响时效：短中期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受益映射：</w:t>
      </w:r>
      <w:r>
        <w:t xml:space="preserve"> </w:t>
      </w:r>
      <w:r>
        <w:rPr>
          <w:rFonts w:hint="eastAsia"/>
        </w:rPr>
        <w:t xml:space="preserve">装备制造、工业中间品、港口物流、跨境贸易服务、进口供应链。</w:t>
      </w:r>
    </w:p>
    <w:p>
      <w:pPr>
        <w:pStyle w:val="FirstParagraph"/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前三季度货物贸易进出口39.94万亿元，同比增长18.8%；其中出口23.2万亿元、增长16.4%，进口16.74万亿元、增长22.3%。9月进出口5.16万亿元、首次突破5万亿元、增长27.5%；装备制造业贡献近九成出口增量，中间品占出口总值超过一半。自3月起进口增速连续七个月超过两成，9月进口首次突破2万亿元。</w:t>
      </w:r>
    </w:p>
    <w:p>
      <w:pPr>
        <w:pStyle w:val="BodyText"/>
      </w:pPr>
      <w:r>
        <w:rPr>
          <w:rFonts w:hint="eastAsia"/>
          <w:b/>
          <w:bCs/>
        </w:rPr>
        <w:t xml:space="preserve">分析：</w:t>
      </w:r>
      <w:r>
        <w:t xml:space="preserve"> </w:t>
      </w:r>
      <w:r>
        <w:rPr>
          <w:rFonts w:hint="eastAsia"/>
        </w:rPr>
        <w:t xml:space="preserve">装备制造和中间品是最直接的产业线索，进口加快也有利于港口、物流和供应链服务。高增速能否转化为上市公司利润，还取决于产品价格、汇率、运费、关税、渠道和回款。</w:t>
      </w:r>
    </w:p>
    <w:bookmarkEnd w:id="20"/>
    <w:bookmarkStart w:id="21" w:name="X49374a8906b4327b89be88157a27ddff05adfdf"/>
    <w:p>
      <w:pPr>
        <w:pStyle w:val="Heading3"/>
      </w:pPr>
      <w:r>
        <w:t xml:space="preserve">11. </w:t>
      </w:r>
      <w:r>
        <w:rPr>
          <w:rFonts w:hint="eastAsia"/>
        </w:rPr>
        <w:t xml:space="preserve">9月末社融存量增长7.1%：直接融资占比提高，资金继续流向重点领域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信号强度：★★★★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A股影响：中性偏利好资本市场与重点产业融资环境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影响时效：短期影响流动性预期，中长期影响融资结构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受益映射：</w:t>
      </w:r>
      <w:r>
        <w:t xml:space="preserve"> </w:t>
      </w:r>
      <w:r>
        <w:rPr>
          <w:rFonts w:hint="eastAsia"/>
        </w:rPr>
        <w:t xml:space="preserve">券商与资本市场服务、科技创新、绿色发展、中小微金融服务。</w:t>
      </w:r>
    </w:p>
    <w:p>
      <w:pPr>
        <w:pStyle w:val="FirstParagraph"/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9月末M2余额359.63万亿元，同比增长7.2%；社融存量468.17万亿元，同比增长7.1%。前三季度社融增量中，债券和股票融资合计占49.5%，超过贷款占比近7个百分点；人民币贷款增加11.52万亿元，更多流向科技创新、绿色发展和中小微企业。</w:t>
      </w:r>
    </w:p>
    <w:p>
      <w:pPr>
        <w:pStyle w:val="BodyText"/>
      </w:pPr>
      <w:r>
        <w:rPr>
          <w:rFonts w:hint="eastAsia"/>
          <w:b/>
          <w:bCs/>
        </w:rPr>
        <w:t xml:space="preserve">分析：</w:t>
      </w:r>
      <w:r>
        <w:t xml:space="preserve"> </w:t>
      </w:r>
      <w:r>
        <w:rPr>
          <w:rFonts w:hint="eastAsia"/>
        </w:rPr>
        <w:t xml:space="preserve">直接融资占比提升有利于融资渠道多元化，也为资本市场服务提供中期空间。但总量“合理”不等于权益市场资金立即增加；还需结合后续新增社融结构、企业融资成本和真实融资需求判断。</w:t>
      </w:r>
    </w:p>
    <w:bookmarkEnd w:id="21"/>
    <w:bookmarkStart w:id="22" w:name="X16d4445f0a9d77ac39781c1ccfcc743651cfd8e"/>
    <w:p>
      <w:pPr>
        <w:pStyle w:val="Heading3"/>
      </w:pPr>
      <w:r>
        <w:t xml:space="preserve">12. </w:t>
      </w:r>
      <w:r>
        <w:rPr>
          <w:rFonts w:hint="eastAsia"/>
        </w:rPr>
        <w:t xml:space="preserve">长春2027大冬会筹备：存量场馆改造优先，冰雪经济获事件窗口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信号强度：★★★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A股影响：区域和事件型利好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影响时效：中期至2027年1月赛事窗口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受益映射：</w:t>
      </w:r>
      <w:r>
        <w:t xml:space="preserve"> </w:t>
      </w:r>
      <w:r>
        <w:rPr>
          <w:rFonts w:hint="eastAsia"/>
        </w:rPr>
        <w:t xml:space="preserve">场馆改造、体育运营、冰雪装备、文旅消费、赛事服务。</w:t>
      </w:r>
    </w:p>
    <w:p>
      <w:pPr>
        <w:pStyle w:val="FirstParagraph"/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大冬会将于2027年1月15日至25日举行，设长春主赛区和吉林分赛区，共12个项目97个小项；已有63个国家和地区3716人报名。长春、吉林不建新场馆，而对13个现有场馆改造提升，赛后向社会开放。</w:t>
      </w:r>
    </w:p>
    <w:p>
      <w:pPr>
        <w:pStyle w:val="BodyText"/>
      </w:pPr>
      <w:r>
        <w:rPr>
          <w:rFonts w:hint="eastAsia"/>
          <w:b/>
          <w:bCs/>
        </w:rPr>
        <w:t xml:space="preserve">分析：</w:t>
      </w:r>
      <w:r>
        <w:t xml:space="preserve"> </w:t>
      </w:r>
      <w:r>
        <w:rPr>
          <w:rFonts w:hint="eastAsia"/>
        </w:rPr>
        <w:t xml:space="preserve">投资重点是存量场馆改造和赛事运营，而非大规模新建。对A股的可验证增量应来自改造招标、运营合同、客流和消费数据，不能把赛事直接推演为普遍基建扩张。</w:t>
      </w:r>
    </w:p>
    <w:bookmarkEnd w:id="22"/>
    <w:bookmarkEnd w:id="23"/>
    <w:bookmarkStart w:id="31" w:name="四国内联播快讯逐项分析"/>
    <w:p>
      <w:pPr>
        <w:pStyle w:val="Heading2"/>
      </w:pPr>
      <w:r>
        <w:rPr>
          <w:rFonts w:hint="eastAsia"/>
        </w:rPr>
        <w:t xml:space="preserve">四、国内联播快讯逐项分析</w:t>
      </w:r>
    </w:p>
    <w:bookmarkStart w:id="24" w:name="Xa4b3536eb3820efc9210230a15ac927fe958f9d"/>
    <w:p>
      <w:pPr>
        <w:pStyle w:val="Heading3"/>
      </w:pPr>
      <w:r>
        <w:t xml:space="preserve">13.1 </w:t>
      </w:r>
      <w:r>
        <w:rPr>
          <w:rFonts w:hint="eastAsia"/>
        </w:rPr>
        <w:t xml:space="preserve">领导干部依法办事法治督察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信号强度：★★★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A股影响：长期改善预期，短期直接催化弱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关联方向：</w:t>
      </w:r>
      <w:r>
        <w:t xml:space="preserve"> </w:t>
      </w:r>
      <w:r>
        <w:rPr>
          <w:rFonts w:hint="eastAsia"/>
        </w:rPr>
        <w:t xml:space="preserve">企业合规、法律信息化、政务数字化。</w:t>
      </w:r>
    </w:p>
    <w:p>
      <w:pPr>
        <w:pStyle w:val="FirstParagraph"/>
      </w:pPr>
      <w:r>
        <w:rPr>
          <w:rFonts w:hint="eastAsia"/>
        </w:rPr>
        <w:t xml:space="preserve">督察覆盖依法决策和规范涉企执法，并赴8省区及新疆生产建设兵团实地开展。对市场的含义是强化依法行政和涉企执法规范，若落实有助于稳定经营预期；原文未披露软件采购或项目预算。</w:t>
      </w:r>
    </w:p>
    <w:bookmarkEnd w:id="24"/>
    <w:bookmarkStart w:id="25" w:name="X775e21b356f7574038ef2153c19df64da017227"/>
    <w:p>
      <w:pPr>
        <w:pStyle w:val="Heading3"/>
      </w:pPr>
      <w:r>
        <w:t xml:space="preserve">13.2 </w:t>
      </w:r>
      <w:r>
        <w:rPr>
          <w:rFonts w:hint="eastAsia"/>
        </w:rPr>
        <w:t xml:space="preserve">“社保服务进万家”活动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信号强度：★★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A股影响：中性偏利好政务与社保数字化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关联方向：</w:t>
      </w:r>
      <w:r>
        <w:t xml:space="preserve"> </w:t>
      </w:r>
      <w:r>
        <w:rPr>
          <w:rFonts w:hint="eastAsia"/>
        </w:rPr>
        <w:t xml:space="preserve">自助终端、政务IT、社保信息化、基层服务设备。</w:t>
      </w:r>
    </w:p>
    <w:p>
      <w:pPr>
        <w:pStyle w:val="FirstParagraph"/>
      </w:pPr>
      <w:r>
        <w:rPr>
          <w:rFonts w:hint="eastAsia"/>
        </w:rPr>
        <w:t xml:space="preserve">原文提出依托“15分钟+5公里”服务圈布设服务站点和自助终端、推广智慧化服务。方向明确，但没有终端数量、投资额或供应商，需等待地方采购项目验证。</w:t>
      </w:r>
    </w:p>
    <w:bookmarkEnd w:id="25"/>
    <w:bookmarkStart w:id="26" w:name="X7d9db994e3887203d0f502aa910a93411f56abd"/>
    <w:p>
      <w:pPr>
        <w:pStyle w:val="Heading3"/>
      </w:pPr>
      <w:r>
        <w:t xml:space="preserve">13.3 </w:t>
      </w:r>
      <w:r>
        <w:rPr>
          <w:rFonts w:hint="eastAsia"/>
        </w:rPr>
        <w:t xml:space="preserve">加强农村助老员队伍建设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信号强度：★★★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A股影响：中长期利好养老服务生态，盈利兑现仍需支付机制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关联方向：</w:t>
      </w:r>
      <w:r>
        <w:t xml:space="preserve"> </w:t>
      </w:r>
      <w:r>
        <w:rPr>
          <w:rFonts w:hint="eastAsia"/>
        </w:rPr>
        <w:t xml:space="preserve">农村养老、紧急援助、适老化服务、养老信息平台。</w:t>
      </w:r>
    </w:p>
    <w:p>
      <w:pPr>
        <w:pStyle w:val="FirstParagraph"/>
      </w:pPr>
      <w:r>
        <w:rPr>
          <w:rFonts w:hint="eastAsia"/>
        </w:rPr>
        <w:t xml:space="preserve">民政部等三部门发文，提出利用志愿者等力量充实农村助老员队伍，提供需求收集、紧急援助和探访关爱。政策首先补足服务人力，商业化空间取决于财政购买服务、保险支付和地方实施细则。</w:t>
      </w:r>
    </w:p>
    <w:bookmarkEnd w:id="26"/>
    <w:bookmarkStart w:id="27" w:name="Xbf66894a497be368fb23491874ac0668c7ba65c"/>
    <w:p>
      <w:pPr>
        <w:pStyle w:val="Heading3"/>
      </w:pPr>
      <w:r>
        <w:t xml:space="preserve">13.4 </w:t>
      </w:r>
      <w:r>
        <w:rPr>
          <w:rFonts w:hint="eastAsia"/>
        </w:rPr>
        <w:t xml:space="preserve">9月电商物流指数回升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信号强度：★★★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A股影响：利好电商物流景气预期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关联方向：</w:t>
      </w:r>
      <w:r>
        <w:t xml:space="preserve"> </w:t>
      </w:r>
      <w:r>
        <w:rPr>
          <w:rFonts w:hint="eastAsia"/>
        </w:rPr>
        <w:t xml:space="preserve">快递、电商仓储、物流自动化、农村物流。</w:t>
      </w:r>
    </w:p>
    <w:p>
      <w:pPr>
        <w:pStyle w:val="FirstParagraph"/>
      </w:pPr>
      <w:r>
        <w:rPr>
          <w:rFonts w:hint="eastAsia"/>
        </w:rPr>
        <w:t xml:space="preserve">9月电商物流指数为111.9点，环比上升0.4点；总业务量和农村业务量指数均创年内高点。数据支持供需协同改善，但原文没有披露企业收入、价格和利润，行业景气不必然等于单家公司盈利同步增长。</w:t>
      </w:r>
    </w:p>
    <w:bookmarkEnd w:id="27"/>
    <w:bookmarkStart w:id="28" w:name="X6253163ac6c361b62112c42e8c8460bcde159a9"/>
    <w:p>
      <w:pPr>
        <w:pStyle w:val="Heading3"/>
      </w:pPr>
      <w:r>
        <w:t xml:space="preserve">13.5 </w:t>
      </w:r>
      <w:r>
        <w:rPr>
          <w:rFonts w:hint="eastAsia"/>
        </w:rPr>
        <w:t xml:space="preserve">完善矿产资源分类管理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信号强度：★★★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A股影响：中长期利好矿业规范化与资源安全管理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关联方向：</w:t>
      </w:r>
      <w:r>
        <w:t xml:space="preserve"> </w:t>
      </w:r>
      <w:r>
        <w:rPr>
          <w:rFonts w:hint="eastAsia"/>
        </w:rPr>
        <w:t xml:space="preserve">地质勘查、矿山开发、矿业信息化、战略资源储备。</w:t>
      </w:r>
    </w:p>
    <w:p>
      <w:pPr>
        <w:pStyle w:val="FirstParagraph"/>
      </w:pPr>
      <w:r>
        <w:rPr>
          <w:rFonts w:hint="eastAsia"/>
        </w:rPr>
        <w:t xml:space="preserve">《矿产资源目录》把矿产分为能源、金属、非金属和水气4类，明确174个矿种和119个亚矿种，为差异化勘查、开采和储备政策提供基础。短期不是产量或价格政策，影响需看后续分类监管与储备细则。</w:t>
      </w:r>
    </w:p>
    <w:bookmarkEnd w:id="28"/>
    <w:bookmarkStart w:id="29" w:name="X5de4a85112fb70ca1231d187fac122d383185a3"/>
    <w:p>
      <w:pPr>
        <w:pStyle w:val="Heading3"/>
      </w:pPr>
      <w:r>
        <w:t xml:space="preserve">13.6 </w:t>
      </w:r>
      <w:r>
        <w:rPr>
          <w:rFonts w:hint="eastAsia"/>
        </w:rPr>
        <w:t xml:space="preserve">Visa获批筹备银行卡清算机构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信号强度：★★★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A股影响：支付开放与生态扩容利好，竞争效应并存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关联方向：</w:t>
      </w:r>
      <w:r>
        <w:t xml:space="preserve"> </w:t>
      </w:r>
      <w:r>
        <w:rPr>
          <w:rFonts w:hint="eastAsia"/>
        </w:rPr>
        <w:t xml:space="preserve">银行卡受理、支付IT、跨境支付、商户数字化服务。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约束方向：</w:t>
      </w:r>
      <w:r>
        <w:t xml:space="preserve"> </w:t>
      </w:r>
      <w:r>
        <w:rPr>
          <w:rFonts w:hint="eastAsia"/>
        </w:rPr>
        <w:t xml:space="preserve">现有支付清算和收单机构可能面临更强竞争。</w:t>
      </w:r>
    </w:p>
    <w:p>
      <w:pPr>
        <w:pStyle w:val="FirstParagraph"/>
      </w:pPr>
      <w:r>
        <w:rPr>
          <w:rFonts w:hint="eastAsia"/>
        </w:rPr>
        <w:t xml:space="preserve">人民银行批准Visa在中国境内筹备设立银行卡清算机构，完成筹备并获开业许可后方可开展人民币银行卡清算业务。该条明确处于“筹备”阶段，不能写成已经开业；其政策意义是丰富支付服务供给并改善外籍来华人员支付体验。</w:t>
      </w:r>
    </w:p>
    <w:bookmarkEnd w:id="29"/>
    <w:bookmarkStart w:id="30" w:name="X3e7687b1516ee3abce8612ea2f6586960365037"/>
    <w:p>
      <w:pPr>
        <w:pStyle w:val="Heading3"/>
      </w:pPr>
      <w:r>
        <w:t xml:space="preserve">13.7 </w:t>
      </w:r>
      <w:r>
        <w:rPr>
          <w:rFonts w:hint="eastAsia"/>
        </w:rPr>
        <w:t xml:space="preserve">新疆胡杨林进入赏秋季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信号强度：★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A股影响：局部文旅事件利好，持续性取决于客流和消费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关联方向：</w:t>
      </w:r>
      <w:r>
        <w:t xml:space="preserve"> </w:t>
      </w:r>
      <w:r>
        <w:rPr>
          <w:rFonts w:hint="eastAsia"/>
        </w:rPr>
        <w:t xml:space="preserve">新疆旅游、景区运营、酒店出行、自驾服务。</w:t>
      </w:r>
    </w:p>
    <w:p>
      <w:pPr>
        <w:pStyle w:val="FirstParagraph"/>
      </w:pPr>
      <w:r>
        <w:rPr>
          <w:rFonts w:hint="eastAsia"/>
        </w:rPr>
        <w:t xml:space="preserve">图木舒克市200多万亩原始胡杨林进入观赏期，多地推出自驾环线、观景点和赏秋路线。该条没有客流、收入或上市公司项目数据，主要是区域文旅季节性催化。</w:t>
      </w:r>
    </w:p>
    <w:bookmarkEnd w:id="30"/>
    <w:bookmarkEnd w:id="31"/>
    <w:bookmarkStart w:id="34" w:name="五国际新闻逐条分析"/>
    <w:p>
      <w:pPr>
        <w:pStyle w:val="Heading2"/>
      </w:pPr>
      <w:r>
        <w:rPr>
          <w:rFonts w:hint="eastAsia"/>
        </w:rPr>
        <w:t xml:space="preserve">五、国际新闻逐条分析</w:t>
      </w:r>
    </w:p>
    <w:bookmarkStart w:id="32" w:name="Xe79b3a433098e3803b336dfee69b16b3945cb25"/>
    <w:p>
      <w:pPr>
        <w:pStyle w:val="Heading3"/>
      </w:pPr>
      <w:r>
        <w:t xml:space="preserve">14. </w:t>
      </w:r>
      <w:r>
        <w:rPr>
          <w:rFonts w:hint="eastAsia"/>
        </w:rPr>
        <w:t xml:space="preserve">俄罗斯逮捕涉嫌间谍活动的日本人：俄日关系不确定性上升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信号强度：★★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A股影响：总体中性，短期抬升东北亚地缘风险关注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影响时效：短期事件，长期看外交升级程度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关联方向：</w:t>
      </w:r>
      <w:r>
        <w:t xml:space="preserve"> </w:t>
      </w:r>
      <w:r>
        <w:rPr>
          <w:rFonts w:hint="eastAsia"/>
        </w:rPr>
        <w:t xml:space="preserve">对俄日贸易、航运与地缘风险管理。</w:t>
      </w:r>
    </w:p>
    <w:p>
      <w:pPr>
        <w:pStyle w:val="FirstParagraph"/>
      </w:pPr>
      <w:r>
        <w:rPr>
          <w:rFonts w:hint="eastAsia"/>
        </w:rPr>
        <w:t xml:space="preserve">俄方称逮捕一名涉嫌收集俄防务情报的日本记者，俄外交部称事件将令俄日关系进一步恶化；日本外相提出交涉并要求俄方提供信息。原文没有涉及中国企业或商品，对A股直接影响有限，不应外推为具体贸易制裁。</w:t>
      </w:r>
    </w:p>
    <w:bookmarkEnd w:id="32"/>
    <w:bookmarkStart w:id="33" w:name="X431b4040ac747cebf41048a45674b3e80ce9721"/>
    <w:p>
      <w:pPr>
        <w:pStyle w:val="Heading3"/>
      </w:pPr>
      <w:r>
        <w:t xml:space="preserve">15. </w:t>
      </w:r>
      <w:r>
        <w:rPr>
          <w:rFonts w:hint="eastAsia"/>
        </w:rPr>
        <w:t xml:space="preserve">沙特主导联军与胡塞武装互击能源设施：油价与航空风险溢价上升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信号强度：★★★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A股影响：油气和能源安全方向可能受益，航空与高耗能方向可能承压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影响时效：短期1—3日，若设施或供应持续受扰则延长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可能受益：</w:t>
      </w:r>
      <w:r>
        <w:t xml:space="preserve"> </w:t>
      </w:r>
      <w:r>
        <w:rPr>
          <w:rFonts w:hint="eastAsia"/>
        </w:rPr>
        <w:t xml:space="preserve">油气开采、油服、能源储运、防务与安全设备。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可能承压：</w:t>
      </w:r>
      <w:r>
        <w:t xml:space="preserve"> </w:t>
      </w:r>
      <w:r>
        <w:rPr>
          <w:rFonts w:hint="eastAsia"/>
        </w:rPr>
        <w:t xml:space="preserve">航空、机场、化工下游及其他对燃料成本敏感行业。</w:t>
      </w:r>
    </w:p>
    <w:p>
      <w:pPr>
        <w:pStyle w:val="FirstParagraph"/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沙特主导联军打击也门石油公司中央站及燃料储存、运输和卸载设施，并拦截射向利雅得和宰赫兰等地的导弹与无人机。胡塞武装称打击沙特阿美位于宰赫兰的总部、利雅得炼油厂和哈立德国王国际机场。</w:t>
      </w:r>
    </w:p>
    <w:p>
      <w:pPr>
        <w:pStyle w:val="BodyText"/>
      </w:pPr>
      <w:r>
        <w:rPr>
          <w:rFonts w:hint="eastAsia"/>
          <w:b/>
          <w:bCs/>
        </w:rPr>
        <w:t xml:space="preserve">分析：</w:t>
      </w:r>
      <w:r>
        <w:t xml:space="preserve"> </w:t>
      </w:r>
      <w:r>
        <w:rPr>
          <w:rFonts w:hint="eastAsia"/>
        </w:rPr>
        <w:t xml:space="preserve">能源设施和机场直接成为攻击目标，市场会提高对原油供应、炼化、航班和地区安全的风险定价。但原文没有披露实际停产量、出口中断量或油价变化，不能断言供应已经大规模中断。</w:t>
      </w:r>
    </w:p>
    <w:bookmarkEnd w:id="33"/>
    <w:bookmarkEnd w:id="34"/>
    <w:bookmarkStart w:id="39" w:name="六国际联播快讯逐项分析"/>
    <w:p>
      <w:pPr>
        <w:pStyle w:val="Heading2"/>
      </w:pPr>
      <w:r>
        <w:rPr>
          <w:rFonts w:hint="eastAsia"/>
        </w:rPr>
        <w:t xml:space="preserve">六、国际联播快讯逐项分析</w:t>
      </w:r>
    </w:p>
    <w:bookmarkStart w:id="35" w:name="X4d5b80f9d594f5e2f5b8ee623e408460c27bfd8"/>
    <w:p>
      <w:pPr>
        <w:pStyle w:val="Heading3"/>
      </w:pPr>
      <w:r>
        <w:t xml:space="preserve">16.1 </w:t>
      </w:r>
      <w:r>
        <w:rPr>
          <w:rFonts w:hint="eastAsia"/>
        </w:rPr>
        <w:t xml:space="preserve">俄乌继续攻击通信与能源基础设施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信号强度：★★★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A股影响：风险偏好偏空，能源安全和防务主题相对受益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关联方向：</w:t>
      </w:r>
      <w:r>
        <w:t xml:space="preserve"> </w:t>
      </w:r>
      <w:r>
        <w:rPr>
          <w:rFonts w:hint="eastAsia"/>
        </w:rPr>
        <w:t xml:space="preserve">能源安全、防空反无人机、通信保障、基础设施防护。</w:t>
      </w:r>
    </w:p>
    <w:p>
      <w:pPr>
        <w:pStyle w:val="FirstParagraph"/>
      </w:pPr>
      <w:r>
        <w:rPr>
          <w:rFonts w:hint="eastAsia"/>
        </w:rPr>
        <w:t xml:space="preserve">俄方称使用精确武器和无人机打击乌方通信与能源基础设施，并称一夜拦截和击落902架乌克兰固定翼无人机；乌方称基辅多处能源设施遭袭。该条强化冲突高强度和基础设施脆弱性，但相关数量是报道中的俄方口径，不能外推为独立核验结论。</w:t>
      </w:r>
    </w:p>
    <w:bookmarkEnd w:id="35"/>
    <w:bookmarkStart w:id="36" w:name="Xb82ec5776eeecaae71006af0d5f695ba02ceedb"/>
    <w:p>
      <w:pPr>
        <w:pStyle w:val="Heading3"/>
      </w:pPr>
      <w:r>
        <w:t xml:space="preserve">16.2 </w:t>
      </w:r>
      <w:r>
        <w:rPr>
          <w:rFonts w:hint="eastAsia"/>
        </w:rPr>
        <w:t xml:space="preserve">黑海船只再次遇袭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信号强度：★★★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A股影响：短期抬升航运、保险和大宗商品运输风险溢价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关联方向：</w:t>
      </w:r>
      <w:r>
        <w:t xml:space="preserve"> </w:t>
      </w:r>
      <w:r>
        <w:rPr>
          <w:rFonts w:hint="eastAsia"/>
        </w:rPr>
        <w:t xml:space="preserve">航运、船舶安全、海事保障、货运保险。</w:t>
      </w:r>
    </w:p>
    <w:p>
      <w:pPr>
        <w:pStyle w:val="FirstParagraph"/>
      </w:pPr>
      <w:r>
        <w:rPr>
          <w:rFonts w:hint="eastAsia"/>
        </w:rPr>
        <w:t xml:space="preserve">一艘货船在靠近保加利亚的黑海海域遭无人机袭击沉没，11名水手失踪；另一艘船也遭袭但船员获救。保加利亚方面称事件或与俄罗斯有关，但尚无确凿证据。报告不把“或与俄罗斯有关”写成已确认事实。</w:t>
      </w:r>
    </w:p>
    <w:bookmarkEnd w:id="36"/>
    <w:bookmarkStart w:id="37" w:name="Xbe8cb4beace2272e103a846675f3d4aa4f8bc12"/>
    <w:p>
      <w:pPr>
        <w:pStyle w:val="Heading3"/>
      </w:pPr>
      <w:r>
        <w:t xml:space="preserve">16.3 </w:t>
      </w:r>
      <w:r>
        <w:rPr>
          <w:rFonts w:hint="eastAsia"/>
        </w:rPr>
        <w:t xml:space="preserve">“北溪”管道爆炸案在德国开庭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信号强度：★★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A股影响：对风险偏好影响有限，强化欧洲能源安全议题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关联方向：</w:t>
      </w:r>
      <w:r>
        <w:t xml:space="preserve"> </w:t>
      </w:r>
      <w:r>
        <w:rPr>
          <w:rFonts w:hint="eastAsia"/>
        </w:rPr>
        <w:t xml:space="preserve">天然气运输、管道安全、LNG替代、能源基础设施防护。</w:t>
      </w:r>
    </w:p>
    <w:p>
      <w:pPr>
        <w:pStyle w:val="FirstParagraph"/>
      </w:pPr>
      <w:r>
        <w:rPr>
          <w:rFonts w:hint="eastAsia"/>
        </w:rPr>
        <w:t xml:space="preserve">德国法院首次就“北溪”管道爆炸事件对嫌疑人启动庭审。该事件主要影响欧洲能源安全和地缘叙事，原文没有新的供给变化或中国企业信息，对A股属于间接影响。</w:t>
      </w:r>
    </w:p>
    <w:bookmarkEnd w:id="37"/>
    <w:bookmarkStart w:id="38" w:name="X1f912e10e7fa8cc791e3f85d5dfbe92c49e59f5"/>
    <w:p>
      <w:pPr>
        <w:pStyle w:val="Heading3"/>
      </w:pPr>
      <w:r>
        <w:t xml:space="preserve">16.4 </w:t>
      </w:r>
      <w:r>
        <w:rPr>
          <w:rFonts w:hint="eastAsia"/>
        </w:rPr>
        <w:t xml:space="preserve">欧洲天然气价格升至近四年高位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  <w:b/>
          <w:bCs/>
        </w:rPr>
        <w:t xml:space="preserve">信号强度：★★★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  <w:b/>
          <w:bCs/>
        </w:rPr>
        <w:t xml:space="preserve">A股影响：天然气与能源替代方向可能受益，欧洲高耗能需求链可能承压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  <w:b/>
          <w:bCs/>
        </w:rPr>
        <w:t xml:space="preserve">关联方向：</w:t>
      </w:r>
      <w:r>
        <w:t xml:space="preserve"> </w:t>
      </w:r>
      <w:r>
        <w:rPr>
          <w:rFonts w:hint="eastAsia"/>
        </w:rPr>
        <w:t xml:space="preserve">LNG、天然气供应链、能源装备、对欧出口、高耗能制造。</w:t>
      </w:r>
    </w:p>
    <w:p>
      <w:pPr>
        <w:pStyle w:val="FirstParagraph"/>
      </w:pPr>
      <w:r>
        <w:rPr>
          <w:rFonts w:hint="eastAsia"/>
        </w:rPr>
        <w:t xml:space="preserve">原文称TTF天然气期货价格突破每兆瓦时86欧元，升至2022年12月以来最高水平；欧洲天然气库存为73.75%，明显低于往年同期，冬季供应压力升高。A股影响取决于价格持续时间、欧洲需求变化及中国企业真实业务敞口，不能仅凭单日价格映射业绩。</w:t>
      </w:r>
    </w:p>
    <w:bookmarkEnd w:id="38"/>
    <w:bookmarkEnd w:id="39"/>
    <w:bookmarkStart w:id="40" w:name="七板块影响汇总"/>
    <w:p>
      <w:pPr>
        <w:pStyle w:val="Heading2"/>
      </w:pPr>
      <w:r>
        <w:rPr>
          <w:rFonts w:hint="eastAsia"/>
        </w:rPr>
        <w:t xml:space="preserve">七、板块影响汇总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影响判断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驱动新闻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信号强度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兑现条件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外贸制造/装备出海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中短期利好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广交会头条、总理两场活动、贸易数据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★★★★★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海外订单、出口量价、汇率与回款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跨境物流/港口/供应链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市场联通、进出口高增长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吞吐量、运价、服务收入与利润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智慧会展/绿色会展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主题利好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打造智慧、绿色、人文广交会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采购项目、服务商合同与转化率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医疗强基/医疗器械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中长期利好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健康中国、强基工程、分级诊疗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★★★★★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规划、预算、采购和支付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医药创新/健康管理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结构性利好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医药创新与全周期健康能力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★★★★★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临床价值、审批、支付与商业化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AI算力/行业应用/治理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中长期利好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AI发展、运用、治理及国际合作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产品能力、客户、订单和合规规则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云南绿色能源/磷化工/新材料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区域性利好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云南“十五五”产业部署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地方规划、项目核准和资本开支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算力出海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主题利好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云南布局算力出海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网络、能源、跨境规则与客户合同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电商物流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景气偏利好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9月指数111.9点、业务量年内高点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单量、价格、成本和企业利润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支付清算/支付IT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开放利好、竞争加剧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Visa获批筹备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完成筹备、开业许可、商户与交易量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冰雪体育/文旅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事件利好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长春2027大冬会、存量场馆改造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招标、运营合同、客流和消费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矿业服务/资源管理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中长期规范化利好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矿产资源分类目录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分类监管、勘查开采与储备细则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油气/LNG/油服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风险溢价可能上升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中东互袭、欧洲天然气紧张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供应扰动、价格持续与订单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航空/机场/高耗能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短期可能承压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能源设施和机场遇袭、气价上行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油气价格、航线与成本传导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航运/货运保险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波动加大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黑海船只遇袭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航线安全、保费和运价变化</w:t>
            </w:r>
          </w:p>
        </w:tc>
      </w:tr>
    </w:tbl>
    <w:bookmarkEnd w:id="40"/>
    <w:bookmarkStart w:id="44" w:name="八操作框架"/>
    <w:p>
      <w:pPr>
        <w:pStyle w:val="Heading2"/>
      </w:pPr>
      <w:r>
        <w:rPr>
          <w:rFonts w:hint="eastAsia"/>
        </w:rPr>
        <w:t xml:space="preserve">八、操作框架</w:t>
      </w:r>
    </w:p>
    <w:bookmarkStart w:id="41" w:name="短线方向"/>
    <w:p>
      <w:pPr>
        <w:pStyle w:val="Heading3"/>
      </w:pPr>
      <w:r>
        <w:rPr>
          <w:rFonts w:hint="eastAsia"/>
        </w:rPr>
        <w:t xml:space="preserve">短线方向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  <w:b/>
          <w:bCs/>
        </w:rPr>
        <w:t xml:space="preserve">第一优先：外贸制造与装备出海。</w:t>
      </w:r>
      <w:r>
        <w:t xml:space="preserve"> </w:t>
      </w:r>
      <w:r>
        <w:rPr>
          <w:rFonts w:hint="eastAsia"/>
        </w:rPr>
        <w:t xml:space="preserve">头条、高层活动和贸易数据形成同向共振；只关注订单、出口和回款可验证的企业，不追纯概念高开。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  <w:b/>
          <w:bCs/>
        </w:rPr>
        <w:t xml:space="preserve">第二优先：AI与健康中国。</w:t>
      </w:r>
      <w:r>
        <w:t xml:space="preserve"> </w:t>
      </w:r>
      <w:r>
        <w:rPr>
          <w:rFonts w:hint="eastAsia"/>
        </w:rPr>
        <w:t xml:space="preserve">两条均有高层政策锚，但当日没有新增预算和企业名单；观察板块量价共振，等待项目、采购和业绩证据。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  <w:b/>
          <w:bCs/>
        </w:rPr>
        <w:t xml:space="preserve">事件对冲：油气、LNG与能源安全。</w:t>
      </w:r>
      <w:r>
        <w:t xml:space="preserve"> </w:t>
      </w:r>
      <w:r>
        <w:rPr>
          <w:rFonts w:hint="eastAsia"/>
        </w:rPr>
        <w:t xml:space="preserve">中东和欧洲事件可能抬升风险溢价，但若供应未实质中断、价格回落，主题可能迅速退潮。</w:t>
      </w:r>
    </w:p>
    <w:bookmarkEnd w:id="41"/>
    <w:bookmarkStart w:id="42" w:name="中线布局"/>
    <w:p>
      <w:pPr>
        <w:pStyle w:val="Heading3"/>
      </w:pPr>
      <w:r>
        <w:rPr>
          <w:rFonts w:hint="eastAsia"/>
        </w:rPr>
        <w:t xml:space="preserve">中线布局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以装备制造、中间品出口、跨境供应链和现代化产业体系为开放主线，筛选海外渠道稳定、回款好、汇率风险管理成熟的企业。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健康中国优先跟踪医疗强基、分级诊疗、医药创新和健康管理的规划、预算与采购闭环。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AI方向同时评估算力效率、行业场景、治理合规和商业化，避免把高层定调等同于所有AI公司的利润增长。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云南绿色能源、磷化工、新材料、生物医药和算力出海属于区域产业方向，需等待项目级证据。</w:t>
      </w:r>
    </w:p>
    <w:bookmarkEnd w:id="42"/>
    <w:bookmarkStart w:id="43" w:name="风险与证伪"/>
    <w:p>
      <w:pPr>
        <w:pStyle w:val="Heading3"/>
      </w:pPr>
      <w:r>
        <w:rPr>
          <w:rFonts w:hint="eastAsia"/>
        </w:rPr>
        <w:t xml:space="preserve">风险与证伪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政策兑现风险：</w:t>
      </w:r>
      <w:r>
        <w:t xml:space="preserve"> </w:t>
      </w:r>
      <w:r>
        <w:rPr>
          <w:rFonts w:hint="eastAsia"/>
        </w:rPr>
        <w:t xml:space="preserve">未出现预算、采购、项目或订单时，顶层方向不等于当期利润。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外需与贸易风险：</w:t>
      </w:r>
      <w:r>
        <w:t xml:space="preserve"> </w:t>
      </w:r>
      <w:r>
        <w:rPr>
          <w:rFonts w:hint="eastAsia"/>
        </w:rPr>
        <w:t xml:space="preserve">出口高增长仍受贸易摩擦、汇率、运费和海外需求影响。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成本风险：</w:t>
      </w:r>
      <w:r>
        <w:t xml:space="preserve"> </w:t>
      </w:r>
      <w:r>
        <w:rPr>
          <w:rFonts w:hint="eastAsia"/>
        </w:rPr>
        <w:t xml:space="preserve">PPI、原油与欧洲天然气价格上行可能挤压缺乏议价能力的中下游利润。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地缘风险：</w:t>
      </w:r>
      <w:r>
        <w:t xml:space="preserve"> </w:t>
      </w:r>
      <w:r>
        <w:rPr>
          <w:rFonts w:hint="eastAsia"/>
        </w:rPr>
        <w:t xml:space="preserve">中东、俄乌和黑海事件可能打击风险偏好，并扰动能源、航运和航空。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交易拥挤风险：</w:t>
      </w:r>
      <w:r>
        <w:t xml:space="preserve"> </w:t>
      </w:r>
      <w:r>
        <w:rPr>
          <w:rFonts w:hint="eastAsia"/>
        </w:rPr>
        <w:t xml:space="preserve">外贸、AI、医药和能源若高开后缺乏成交与基本面确认，应防止情绪兑现。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信息边界：</w:t>
      </w:r>
      <w:r>
        <w:t xml:space="preserve"> </w:t>
      </w:r>
      <w:r>
        <w:rPr>
          <w:rFonts w:hint="eastAsia"/>
        </w:rPr>
        <w:t xml:space="preserve">本文未引入行情、资金流、估值、公司公告或指定底稿之外的新闻，执行前需另行核验市场数据。</w:t>
      </w:r>
    </w:p>
    <w:bookmarkEnd w:id="43"/>
    <w:bookmarkEnd w:id="44"/>
    <w:bookmarkStart w:id="45" w:name="九事实核验与覆盖清单"/>
    <w:p>
      <w:pPr>
        <w:pStyle w:val="Heading2"/>
      </w:pPr>
      <w:r>
        <w:rPr>
          <w:rFonts w:hint="eastAsia"/>
        </w:rPr>
        <w:t xml:space="preserve">九、事实核验与覆盖清单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已逐条覆盖指定底稿全部16个一级条目，顺序与原文一致。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已把“国内联播快讯”7个分项逐项展开：法治督察、社保服务、农村助老员、电商物流、矿产资源目录、Visa筹备银行卡清算机构、新疆胡杨林文旅。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已把“国际联播快讯”4个分项逐项展开：俄乌能源与通信设施冲突、黑海船只遇袭、“北溪”管道爆炸案庭审、欧洲天然气价格。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报告中的会议、政策措辞、日期、数字和事件事实均来自指定底稿；板块内容均以“映射”“关联方向”“可能受益或承压”等条件性语言呈现。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对俄乌无人机数量、黑海袭击归因和俄日间谍事件均保留原报道主体或不确定性，没有把单方说法写成独立核验事实。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未写入原文未披露的上市公司名单、订单金额、财政规模、市场涨跌或资金流数据。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央视快评未被重复计算为独立新增政策；Visa事项准确表述为获批筹备，而非已经开业。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  <w:i/>
          <w:iCs/>
        </w:rPr>
        <w:t xml:space="preserve">分析和写稿模型：GPT-5.6</w:t>
      </w:r>
      <w:r>
        <w:rPr>
          <w:i/>
          <w:iCs/>
        </w:rPr>
        <w:t xml:space="preserve"> Sol (openai-codex)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off"/>
    </w:pPr>
  </w:style>
  <w:style w:customStyle="1" w:styleId="KeywordTok" w:type="character">
    <w:name w:val="KeywordTok"/>
    <w:basedOn w:val="VerbatimChar"/>
    <w:rPr>
      <w:b/>
      <w:color w:val="007020"/>
    </w:rPr>
  </w:style>
  <w:style w:customStyle="1" w:styleId="DataTypeTok" w:type="character">
    <w:name w:val="DataTypeTok"/>
    <w:basedOn w:val="VerbatimChar"/>
    <w:rPr>
      <w:color w:val="902000"/>
    </w:rPr>
  </w:style>
  <w:style w:customStyle="1" w:styleId="DecValTok" w:type="character">
    <w:name w:val="DecValTok"/>
    <w:basedOn w:val="VerbatimChar"/>
    <w:rPr>
      <w:color w:val="40a070"/>
    </w:rPr>
  </w:style>
  <w:style w:customStyle="1" w:styleId="BaseNTok" w:type="character">
    <w:name w:val="BaseNTok"/>
    <w:basedOn w:val="VerbatimChar"/>
    <w:rPr>
      <w:color w:val="40a070"/>
    </w:rPr>
  </w:style>
  <w:style w:customStyle="1" w:styleId="FloatTok" w:type="character">
    <w:name w:val="FloatTok"/>
    <w:basedOn w:val="VerbatimChar"/>
    <w:rPr>
      <w:color w:val="40a070"/>
    </w:rPr>
  </w:style>
  <w:style w:customStyle="1" w:styleId="ConstantTok" w:type="character">
    <w:name w:val="ConstantTok"/>
    <w:basedOn w:val="VerbatimChar"/>
    <w:rPr>
      <w:color w:val="880000"/>
    </w:rPr>
  </w:style>
  <w:style w:customStyle="1" w:styleId="CharTok" w:type="character">
    <w:name w:val="CharTok"/>
    <w:basedOn w:val="VerbatimChar"/>
    <w:rPr>
      <w:color w:val="4070a0"/>
    </w:rPr>
  </w:style>
  <w:style w:customStyle="1" w:styleId="SpecialCharTok" w:type="character">
    <w:name w:val="SpecialCharTok"/>
    <w:basedOn w:val="VerbatimChar"/>
    <w:rPr>
      <w:color w:val="4070a0"/>
    </w:rPr>
  </w:style>
  <w:style w:customStyle="1" w:styleId="StringTok" w:type="character">
    <w:name w:val="StringTok"/>
    <w:basedOn w:val="VerbatimChar"/>
    <w:rPr>
      <w:color w:val="4070a0"/>
    </w:rPr>
  </w:style>
  <w:style w:customStyle="1" w:styleId="VerbatimStringTok" w:type="character">
    <w:name w:val="VerbatimStringTok"/>
    <w:basedOn w:val="VerbatimChar"/>
    <w:rPr>
      <w:color w:val="4070a0"/>
    </w:rPr>
  </w:style>
  <w:style w:customStyle="1" w:styleId="SpecialStringTok" w:type="character">
    <w:name w:val="SpecialStringTok"/>
    <w:basedOn w:val="VerbatimChar"/>
    <w:rPr>
      <w:color w:val="bb6688"/>
    </w:rPr>
  </w:style>
  <w:style w:customStyle="1" w:styleId="ImportTok" w:type="character">
    <w:name w:val="ImportTok"/>
    <w:basedOn w:val="VerbatimChar"/>
    <w:rPr>
      <w:b/>
      <w:color w:val="008000"/>
    </w:rPr>
  </w:style>
  <w:style w:customStyle="1" w:styleId="CommentTok" w:type="character">
    <w:name w:val="CommentTok"/>
    <w:basedOn w:val="VerbatimChar"/>
    <w:rPr>
      <w:i/>
      <w:color w:val="60a0b0"/>
    </w:rPr>
  </w:style>
  <w:style w:customStyle="1" w:styleId="DocumentationTok" w:type="character">
    <w:name w:val="DocumentationTok"/>
    <w:basedOn w:val="VerbatimChar"/>
    <w:rPr>
      <w:i/>
      <w:color w:val="ba2121"/>
    </w:rPr>
  </w:style>
  <w:style w:customStyle="1" w:styleId="AnnotationTok" w:type="character">
    <w:name w:val="AnnotationTok"/>
    <w:basedOn w:val="VerbatimChar"/>
    <w:rPr>
      <w:b/>
      <w:i/>
      <w:color w:val="60a0b0"/>
    </w:rPr>
  </w:style>
  <w:style w:customStyle="1" w:styleId="CommentVarTok" w:type="character">
    <w:name w:val="CommentVarTok"/>
    <w:basedOn w:val="VerbatimChar"/>
    <w:rPr>
      <w:b/>
      <w:i/>
      <w:color w:val="60a0b0"/>
    </w:rPr>
  </w:style>
  <w:style w:customStyle="1" w:styleId="OtherTok" w:type="character">
    <w:name w:val="OtherTok"/>
    <w:basedOn w:val="VerbatimChar"/>
    <w:rPr>
      <w:color w:val="007020"/>
    </w:rPr>
  </w:style>
  <w:style w:customStyle="1" w:styleId="FunctionTok" w:type="character">
    <w:name w:val="FunctionTok"/>
    <w:basedOn w:val="VerbatimChar"/>
    <w:rPr>
      <w:color w:val="06287e"/>
    </w:rPr>
  </w:style>
  <w:style w:customStyle="1" w:styleId="VariableTok" w:type="character">
    <w:name w:val="VariableTok"/>
    <w:basedOn w:val="VerbatimChar"/>
    <w:rPr>
      <w:color w:val="19177c"/>
    </w:rPr>
  </w:style>
  <w:style w:customStyle="1" w:styleId="ControlFlowTok" w:type="character">
    <w:name w:val="ControlFlowTok"/>
    <w:basedOn w:val="VerbatimChar"/>
    <w:rPr>
      <w:b/>
      <w:color w:val="007020"/>
    </w:rPr>
  </w:style>
  <w:style w:customStyle="1" w:styleId="OperatorTok" w:type="character">
    <w:name w:val="OperatorTok"/>
    <w:basedOn w:val="VerbatimChar"/>
    <w:rPr>
      <w:color w:val="666666"/>
    </w:rPr>
  </w:style>
  <w:style w:customStyle="1" w:styleId="BuiltInTok" w:type="character">
    <w:name w:val="BuiltInTok"/>
    <w:basedOn w:val="VerbatimChar"/>
    <w:rPr>
      <w:color w:val="008000"/>
    </w:rPr>
  </w:style>
  <w:style w:customStyle="1" w:styleId="ExtensionTok" w:type="character">
    <w:name w:val="ExtensionTok"/>
    <w:basedOn w:val="VerbatimChar"/>
    <w:rPr/>
  </w:style>
  <w:style w:customStyle="1" w:styleId="PreprocessorTok" w:type="character">
    <w:name w:val="PreprocessorTok"/>
    <w:basedOn w:val="VerbatimChar"/>
    <w:rPr>
      <w:color w:val="bc7a00"/>
    </w:rPr>
  </w:style>
  <w:style w:customStyle="1" w:styleId="AttributeTok" w:type="character">
    <w:name w:val="AttributeTok"/>
    <w:basedOn w:val="VerbatimChar"/>
    <w:rPr>
      <w:color w:val="7d9029"/>
    </w:rPr>
  </w:style>
  <w:style w:customStyle="1" w:styleId="RegionMarkerTok" w:type="character">
    <w:name w:val="RegionMarkerTok"/>
    <w:basedOn w:val="VerbatimChar"/>
    <w:rPr/>
  </w:style>
  <w:style w:customStyle="1" w:styleId="InformationTok" w:type="character">
    <w:name w:val="InformationTok"/>
    <w:basedOn w:val="VerbatimChar"/>
    <w:rPr>
      <w:b/>
      <w:i/>
      <w:color w:val="60a0b0"/>
    </w:rPr>
  </w:style>
  <w:style w:customStyle="1" w:styleId="WarningTok" w:type="character">
    <w:name w:val="WarningTok"/>
    <w:basedOn w:val="VerbatimChar"/>
    <w:rPr>
      <w:b/>
      <w:i/>
      <w:color w:val="60a0b0"/>
    </w:rPr>
  </w:style>
  <w:style w:customStyle="1" w:styleId="AlertTok" w:type="character">
    <w:name w:val="AlertTok"/>
    <w:basedOn w:val="VerbatimChar"/>
    <w:rPr>
      <w:b/>
      <w:color w:val="ff0000"/>
    </w:rPr>
  </w:style>
  <w:style w:customStyle="1" w:styleId="ErrorTok" w:type="character">
    <w:name w:val="ErrorTok"/>
    <w:basedOn w:val="VerbatimChar"/>
    <w:rPr>
      <w:b/>
      <w:color w:val="ff0000"/>
    </w:rPr>
  </w:style>
  <w:style w:customStyle="1" w:styleId="NormalTok" w:type="character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2026-10-14T12:21:09Z</dcterms:created>
  <dcterms:modified xsi:type="dcterms:W3CDTF">2026-10-14T12:21:09Z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