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6" w:name="年10月13日新闻联播a股影响深度解读"/>
    <w:p>
      <w:pPr>
        <w:pStyle w:val="Heading1"/>
      </w:pPr>
      <w:r>
        <w:rPr>
          <w:rFonts w:hint="eastAsia"/>
        </w:rPr>
        <w:t xml:space="preserve">2026年10月13日《新闻联播》A股影响深度解读</w:t>
      </w:r>
    </w:p>
    <w:p>
      <w:pPr>
        <w:pStyle w:val="BlockText"/>
      </w:pPr>
      <w:r>
        <w:rPr>
          <w:rFonts w:hint="eastAsia"/>
        </w:rPr>
        <w:t xml:space="preserve">数据边界：本文唯一事实底稿为</w:t>
      </w:r>
      <w:r>
        <w:t xml:space="preserve"> </w:t>
      </w:r>
      <w:r>
        <w:rPr>
          <w:rStyle w:val="VerbatimChar"/>
        </w:rPr>
        <w:t xml:space="preserve">/Users/qiji/.hermes/skills/finance/qiji-morning-know/memory/xinwenlianbo/2026-10-13.md</w:t>
      </w:r>
      <w:r>
        <w:rPr>
          <w:rFonts w:hint="eastAsia"/>
        </w:rPr>
        <w:t xml:space="preserve">。板块映射属于基于原文的情景分析，不代表政策已经转化为订单、业绩或资金流，也不构成投资建议。</w:t>
      </w:r>
    </w:p>
    <w:bookmarkStart w:id="9" w:name="一今日联播总评"/>
    <w:p>
      <w:pPr>
        <w:pStyle w:val="Heading2"/>
      </w:pPr>
      <w:r>
        <w:rPr>
          <w:rFonts w:hint="eastAsia"/>
        </w:rPr>
        <w:t xml:space="preserve">一、今日联播总评</w:t>
      </w:r>
    </w:p>
    <w:p>
      <w:pPr>
        <w:pStyle w:val="Compact"/>
        <w:numPr>
          <w:ilvl w:val="0"/>
          <w:numId w:val="1001"/>
        </w:numPr>
      </w:pPr>
      <w:r>
        <w:rPr>
          <w:rFonts w:hint="eastAsia"/>
          <w:b/>
          <w:bCs/>
        </w:rPr>
        <w:t xml:space="preserve">整体基调：积极，结构性利好强于指数级利好。</w:t>
      </w:r>
      <w:r>
        <w:t xml:space="preserve"> </w:t>
      </w:r>
      <w:r>
        <w:rPr>
          <w:rFonts w:hint="eastAsia"/>
        </w:rPr>
        <w:t xml:space="preserve">头条以全国卫生与健康大会定调“十五五”健康中国建设，政策覆盖预防、医疗强基、分级诊疗、慢病管理、中医药、医药创新、医保改革和健康产业，形成当日最清晰、层级最高的产业主线。</w:t>
      </w:r>
    </w:p>
    <w:p>
      <w:pPr>
        <w:pStyle w:val="Compact"/>
        <w:numPr>
          <w:ilvl w:val="0"/>
          <w:numId w:val="1001"/>
        </w:numPr>
      </w:pPr>
      <w:r>
        <w:rPr>
          <w:rFonts w:hint="eastAsia"/>
          <w:b/>
          <w:bCs/>
        </w:rPr>
        <w:t xml:space="preserve">政策信号强度：强。</w:t>
      </w:r>
      <w:r>
        <w:t xml:space="preserve"> </w:t>
      </w:r>
      <w:r>
        <w:rPr>
          <w:rFonts w:hint="eastAsia"/>
        </w:rPr>
        <w:t xml:space="preserve">最高领导人出席并讲话，明确“健康优先发展战略”和“确保‘十五五’时期健康中国建设取得决定性进展”，属于中长期顶层战略信号；但原文没有给出新增财政规模、专项资金、采购数量或具体实施时间表，短线应防止把战略定调直接等同于业绩兑现。</w:t>
      </w:r>
    </w:p>
    <w:p>
      <w:pPr>
        <w:pStyle w:val="Compact"/>
        <w:numPr>
          <w:ilvl w:val="0"/>
          <w:numId w:val="1001"/>
        </w:numPr>
      </w:pPr>
      <w:r>
        <w:rPr>
          <w:rFonts w:hint="eastAsia"/>
          <w:b/>
          <w:bCs/>
        </w:rPr>
        <w:t xml:space="preserve">对A股总体影响：偏利好。</w:t>
      </w:r>
      <w:r>
        <w:t xml:space="preserve"> </w:t>
      </w:r>
      <w:r>
        <w:rPr>
          <w:rFonts w:hint="eastAsia"/>
        </w:rPr>
        <w:t xml:space="preserve">医疗卫生主线获得中长期政策锚；中非经贸、绿色矿产、数字经济、农业畜牧、新能源、跨境人民币和企业出海获得结构性催化；航展、气象服务与网络安全分别提供事件和主题机会。中东冲突升级、欧俄制裁扩大则构成能源价格、外需和风险偏好的扰动。</w:t>
      </w:r>
    </w:p>
    <w:p>
      <w:pPr>
        <w:pStyle w:val="Compact"/>
        <w:numPr>
          <w:ilvl w:val="0"/>
          <w:numId w:val="1001"/>
        </w:numPr>
      </w:pPr>
      <w:r>
        <w:rPr>
          <w:rFonts w:hint="eastAsia"/>
          <w:b/>
          <w:bCs/>
        </w:rPr>
        <w:t xml:space="preserve">一句话结论：</w:t>
      </w:r>
      <w:r>
        <w:t xml:space="preserve"> </w:t>
      </w:r>
      <w:r>
        <w:rPr>
          <w:rFonts w:hint="eastAsia"/>
        </w:rPr>
        <w:t xml:space="preserve">今日最值得交易的不是泛化“健康概念”，而是能被后续规划、支付、采购和订单验证的医疗强基、医药创新与数字医疗方向；中非合作、航展和网络安全属于次主线催化。</w:t>
      </w:r>
    </w:p>
    <w:bookmarkEnd w:id="9"/>
    <w:bookmarkStart w:id="10" w:name="二核心信号排序"/>
    <w:p>
      <w:pPr>
        <w:pStyle w:val="Heading2"/>
      </w:pPr>
      <w:r>
        <w:rPr>
          <w:rFonts w:hint="eastAsia"/>
        </w:rPr>
        <w:t xml:space="preserve">二、核心信号排序</w:t>
      </w:r>
    </w:p>
    <w:p>
      <w:pPr>
        <w:pStyle w:val="Compact"/>
        <w:numPr>
          <w:ilvl w:val="0"/>
          <w:numId w:val="1002"/>
        </w:numPr>
      </w:pPr>
      <w:r>
        <w:rPr>
          <w:rFonts w:hint="eastAsia"/>
          <w:b/>
          <w:bCs/>
        </w:rPr>
        <w:t xml:space="preserve">健康中国进入“十五五”关键期（★★★★★）</w:t>
      </w:r>
      <w:r>
        <w:rPr>
          <w:rFonts w:hint="eastAsia"/>
        </w:rPr>
        <w:t xml:space="preserve">：健康优先被要求融入规划制定、政策设计、项目论证和工程建设，政策覆盖面广、持续期长。</w:t>
      </w:r>
    </w:p>
    <w:p>
      <w:pPr>
        <w:pStyle w:val="Compact"/>
        <w:numPr>
          <w:ilvl w:val="0"/>
          <w:numId w:val="1002"/>
        </w:numPr>
      </w:pPr>
      <w:r>
        <w:rPr>
          <w:rFonts w:hint="eastAsia"/>
          <w:b/>
          <w:bCs/>
        </w:rPr>
        <w:t xml:space="preserve">医疗、医保、医药协同改革（★★★★★）</w:t>
      </w:r>
      <w:r>
        <w:rPr>
          <w:rFonts w:hint="eastAsia"/>
        </w:rPr>
        <w:t xml:space="preserve">：公立医院公益性、基层运行保障、多层次医保、集采、医保支付和基金安全被同时部署，利好行业规范化和真实临床价值，亦会压缩缺乏成本与疗效优势的高价品种空间。</w:t>
      </w:r>
    </w:p>
    <w:p>
      <w:pPr>
        <w:pStyle w:val="Compact"/>
        <w:numPr>
          <w:ilvl w:val="0"/>
          <w:numId w:val="1002"/>
        </w:numPr>
      </w:pPr>
      <w:r>
        <w:rPr>
          <w:rFonts w:hint="eastAsia"/>
          <w:b/>
          <w:bCs/>
        </w:rPr>
        <w:t xml:space="preserve">中博、中多合作升级（★★★★）</w:t>
      </w:r>
      <w:r>
        <w:rPr>
          <w:rFonts w:hint="eastAsia"/>
        </w:rPr>
        <w:t xml:space="preserve">：零关税、绿色矿产、数字经济、农业畜牧、新能源、数智化、跨境人民币及基础设施合作均有明确原文支撑，但落地仍取决于后续项目和合同。</w:t>
      </w:r>
    </w:p>
    <w:p>
      <w:pPr>
        <w:pStyle w:val="Compact"/>
        <w:numPr>
          <w:ilvl w:val="0"/>
          <w:numId w:val="1002"/>
        </w:numPr>
      </w:pPr>
      <w:r>
        <w:rPr>
          <w:rFonts w:hint="eastAsia"/>
          <w:b/>
          <w:bCs/>
        </w:rPr>
        <w:t xml:space="preserve">广交会数字化与生产性服务全覆盖（★★★）</w:t>
      </w:r>
      <w:r>
        <w:rPr>
          <w:rFonts w:hint="eastAsia"/>
        </w:rPr>
        <w:t xml:space="preserve">：22个智慧应用场景、16项AI特色应用、超230家服务机构和10大类生产性服务业全覆盖，强化AI办展与出海服务链主题。</w:t>
      </w:r>
    </w:p>
    <w:p>
      <w:pPr>
        <w:pStyle w:val="Compact"/>
        <w:numPr>
          <w:ilvl w:val="0"/>
          <w:numId w:val="1002"/>
        </w:numPr>
      </w:pPr>
      <w:r>
        <w:rPr>
          <w:rFonts w:hint="eastAsia"/>
          <w:b/>
          <w:bCs/>
        </w:rPr>
        <w:t xml:space="preserve">航展规模创新高及海外网络攻击（★★★）</w:t>
      </w:r>
      <w:r>
        <w:rPr>
          <w:rFonts w:hint="eastAsia"/>
        </w:rPr>
        <w:t xml:space="preserve">：航展为军工装备展示提供事件窗口；法国超市制冷系统遭攻击则强化工业控制安全和关键基础设施防护的必要性。</w:t>
      </w:r>
    </w:p>
    <w:bookmarkEnd w:id="10"/>
    <w:bookmarkStart w:id="21" w:name="三逐条a股影响分析"/>
    <w:p>
      <w:pPr>
        <w:pStyle w:val="Heading2"/>
      </w:pPr>
      <w:r>
        <w:rPr>
          <w:rFonts w:hint="eastAsia"/>
        </w:rPr>
        <w:t xml:space="preserve">三、逐条A股影响分析</w:t>
      </w:r>
    </w:p>
    <w:bookmarkStart w:id="11" w:name="全国卫生与健康大会健康中国成为当日最高级别产业信号"/>
    <w:p>
      <w:pPr>
        <w:pStyle w:val="Heading3"/>
      </w:pPr>
      <w:r>
        <w:t xml:space="preserve">1. </w:t>
      </w:r>
      <w:r>
        <w:rPr>
          <w:rFonts w:hint="eastAsia"/>
        </w:rPr>
        <w:t xml:space="preserve">全国卫生与健康大会：健康中国成为当日最高级别产业信号</w:t>
      </w:r>
    </w:p>
    <w:p>
      <w:pPr>
        <w:pStyle w:val="Compact"/>
        <w:numPr>
          <w:ilvl w:val="0"/>
          <w:numId w:val="1003"/>
        </w:numPr>
      </w:pPr>
      <w:r>
        <w:rPr>
          <w:rFonts w:hint="eastAsia"/>
          <w:b/>
          <w:bCs/>
        </w:rPr>
        <w:t xml:space="preserve">信号强度：★★★★★</w:t>
      </w:r>
    </w:p>
    <w:p>
      <w:pPr>
        <w:pStyle w:val="Compact"/>
        <w:numPr>
          <w:ilvl w:val="0"/>
          <w:numId w:val="1003"/>
        </w:numPr>
      </w:pPr>
      <w:r>
        <w:rPr>
          <w:rFonts w:hint="eastAsia"/>
          <w:b/>
          <w:bCs/>
        </w:rPr>
        <w:t xml:space="preserve">A股影响：中长期显著利好，短线结构分化</w:t>
      </w:r>
    </w:p>
    <w:p>
      <w:pPr>
        <w:pStyle w:val="Compact"/>
        <w:numPr>
          <w:ilvl w:val="0"/>
          <w:numId w:val="1003"/>
        </w:numPr>
      </w:pPr>
      <w:r>
        <w:rPr>
          <w:rFonts w:hint="eastAsia"/>
          <w:b/>
          <w:bCs/>
        </w:rPr>
        <w:t xml:space="preserve">影响时效：短期1—3日形成主题关注；中期1—4周等待部门和地方细则；长期贯穿“十五五”</w:t>
      </w:r>
    </w:p>
    <w:p>
      <w:pPr>
        <w:pStyle w:val="Compact"/>
        <w:numPr>
          <w:ilvl w:val="0"/>
          <w:numId w:val="1003"/>
        </w:numPr>
      </w:pPr>
      <w:r>
        <w:rPr>
          <w:rFonts w:hint="eastAsia"/>
          <w:b/>
          <w:bCs/>
        </w:rPr>
        <w:t xml:space="preserve">受益板块：</w:t>
      </w:r>
      <w:r>
        <w:t xml:space="preserve"> </w:t>
      </w:r>
      <w:r>
        <w:rPr>
          <w:rFonts w:hint="eastAsia"/>
        </w:rPr>
        <w:t xml:space="preserve">基层医疗建设、医疗器械、医疗信息化、疾病防控、体外诊断、慢病管理、康复养老、创新药、中医药、全民健身、食品安全检测、医药流通与卫生健康科研服务。</w:t>
      </w:r>
    </w:p>
    <w:p>
      <w:pPr>
        <w:pStyle w:val="Compact"/>
        <w:numPr>
          <w:ilvl w:val="0"/>
          <w:numId w:val="1003"/>
        </w:numPr>
      </w:pPr>
      <w:r>
        <w:rPr>
          <w:rFonts w:hint="eastAsia"/>
          <w:b/>
          <w:bCs/>
        </w:rPr>
        <w:t xml:space="preserve">承压或约束方向：</w:t>
      </w:r>
      <w:r>
        <w:t xml:space="preserve"> </w:t>
      </w:r>
      <w:r>
        <w:rPr>
          <w:rFonts w:hint="eastAsia"/>
        </w:rPr>
        <w:t xml:space="preserve">缺乏临床价值与成本优势的高价药耗材、过度依赖单一支付方式的机构、治理效率偏低且现金流脆弱的医疗服务主体。</w:t>
      </w:r>
    </w:p>
    <w:p>
      <w:pPr>
        <w:pStyle w:val="FirstParagraph"/>
      </w:pPr>
      <w:r>
        <w:rPr>
          <w:rFonts w:hint="eastAsia"/>
          <w:b/>
          <w:bCs/>
        </w:rPr>
        <w:t xml:space="preserve">原文事实与政策含义</w:t>
      </w:r>
    </w:p>
    <w:p>
      <w:pPr>
        <w:pStyle w:val="BodyText"/>
      </w:pPr>
      <w:r>
        <w:rPr>
          <w:rFonts w:hint="eastAsia"/>
        </w:rPr>
        <w:t xml:space="preserve">会议把“十五五”界定为实现2035年建成健康中国目标的关键时期，并提出均衡普惠、优质高效的健康中国应具备健康管理、疾病防控、医疗服务、医保支撑、医药创新和人才培养能力。更重要的是，“健康优先”被要求进入规划制定、政策设计、项目论证和工程建设全过程，说明卫生健康不只是部门政策，而是跨领域的长期约束和资源配置原则。</w:t>
      </w:r>
    </w:p>
    <w:p>
      <w:pPr>
        <w:pStyle w:val="BodyText"/>
      </w:pPr>
      <w:r>
        <w:rPr>
          <w:rFonts w:hint="eastAsia"/>
        </w:rPr>
        <w:t xml:space="preserve">原文进一步给出八组可跟踪抓手：</w:t>
      </w:r>
    </w:p>
    <w:p>
      <w:pPr>
        <w:pStyle w:val="Compact"/>
        <w:numPr>
          <w:ilvl w:val="0"/>
          <w:numId w:val="1004"/>
        </w:numPr>
      </w:pPr>
      <w:r>
        <w:rPr>
          <w:rFonts w:hint="eastAsia"/>
          <w:b/>
          <w:bCs/>
        </w:rPr>
        <w:t xml:space="preserve">预防与疾控：</w:t>
      </w:r>
      <w:r>
        <w:t xml:space="preserve"> </w:t>
      </w:r>
      <w:r>
        <w:rPr>
          <w:rFonts w:hint="eastAsia"/>
        </w:rPr>
        <w:t xml:space="preserve">强调预防、健康管理、青少年健康、全民健身、食品安全和不发生规模性疫情的底线，利好防疫监测、公共卫生、检测设备、食品安全检测和健康管理服务。</w:t>
      </w:r>
    </w:p>
    <w:p>
      <w:pPr>
        <w:pStyle w:val="Compact"/>
        <w:numPr>
          <w:ilvl w:val="0"/>
          <w:numId w:val="1004"/>
        </w:numPr>
      </w:pPr>
      <w:r>
        <w:rPr>
          <w:rFonts w:hint="eastAsia"/>
          <w:b/>
          <w:bCs/>
        </w:rPr>
        <w:t xml:space="preserve">医疗强基与分级诊疗：</w:t>
      </w:r>
      <w:r>
        <w:t xml:space="preserve"> </w:t>
      </w:r>
      <w:r>
        <w:rPr>
          <w:rFonts w:hint="eastAsia"/>
        </w:rPr>
        <w:t xml:space="preserve">要求优化机构功能定位和结构布局，让群众就近看得上病、看得好病，基层医疗设备、县域医疗能力、区域诊疗协同和医疗信息化存在中期需求空间。</w:t>
      </w:r>
    </w:p>
    <w:p>
      <w:pPr>
        <w:pStyle w:val="Compact"/>
        <w:numPr>
          <w:ilvl w:val="0"/>
          <w:numId w:val="1004"/>
        </w:numPr>
      </w:pPr>
      <w:r>
        <w:rPr>
          <w:rFonts w:hint="eastAsia"/>
          <w:b/>
          <w:bCs/>
        </w:rPr>
        <w:t xml:space="preserve">慢病全链条：</w:t>
      </w:r>
      <w:r>
        <w:t xml:space="preserve"> </w:t>
      </w:r>
      <w:r>
        <w:rPr>
          <w:rFonts w:hint="eastAsia"/>
        </w:rPr>
        <w:t xml:space="preserve">“防治康管”覆盖预防、治疗、康复和管理，慢病筛查、家用监测、康复器械和长期健康管理具备政策连续性。</w:t>
      </w:r>
    </w:p>
    <w:p>
      <w:pPr>
        <w:pStyle w:val="Compact"/>
        <w:numPr>
          <w:ilvl w:val="0"/>
          <w:numId w:val="1004"/>
        </w:numPr>
      </w:pPr>
      <w:r>
        <w:rPr>
          <w:rFonts w:hint="eastAsia"/>
          <w:b/>
          <w:bCs/>
        </w:rPr>
        <w:t xml:space="preserve">中医药与中西医协同：</w:t>
      </w:r>
      <w:r>
        <w:t xml:space="preserve"> </w:t>
      </w:r>
      <w:r>
        <w:rPr>
          <w:rFonts w:hint="eastAsia"/>
        </w:rPr>
        <w:t xml:space="preserve">原文明确健全中医药传承创新机制、强化中西医融合，属于中长期制度支持，而不是单日情绪口号。</w:t>
      </w:r>
    </w:p>
    <w:p>
      <w:pPr>
        <w:pStyle w:val="Compact"/>
        <w:numPr>
          <w:ilvl w:val="0"/>
          <w:numId w:val="1004"/>
        </w:numPr>
      </w:pPr>
      <w:r>
        <w:rPr>
          <w:rFonts w:hint="eastAsia"/>
          <w:b/>
          <w:bCs/>
        </w:rPr>
        <w:t xml:space="preserve">基础研究、原始创新与成果转化：</w:t>
      </w:r>
      <w:r>
        <w:t xml:space="preserve"> </w:t>
      </w:r>
      <w:r>
        <w:rPr>
          <w:rFonts w:hint="eastAsia"/>
        </w:rPr>
        <w:t xml:space="preserve">医药创新获得直接表述，真正受益应以研发质量、临床价值、成果转化和商业化能力为筛选条件。</w:t>
      </w:r>
    </w:p>
    <w:p>
      <w:pPr>
        <w:pStyle w:val="Compact"/>
        <w:numPr>
          <w:ilvl w:val="0"/>
          <w:numId w:val="1004"/>
        </w:numPr>
      </w:pPr>
      <w:r>
        <w:rPr>
          <w:rFonts w:hint="eastAsia"/>
          <w:b/>
          <w:bCs/>
        </w:rPr>
        <w:t xml:space="preserve">三医协同改革：</w:t>
      </w:r>
      <w:r>
        <w:t xml:space="preserve"> </w:t>
      </w:r>
      <w:r>
        <w:rPr>
          <w:rFonts w:hint="eastAsia"/>
        </w:rPr>
        <w:t xml:space="preserve">集采、医保支付、资金使用、基金安全、医院良性运转和群众负担被同时纳入，意味着政策目标是在可负担前提下提高效率，不是对全体医药资产无差别利好。</w:t>
      </w:r>
    </w:p>
    <w:p>
      <w:pPr>
        <w:pStyle w:val="Compact"/>
        <w:numPr>
          <w:ilvl w:val="0"/>
          <w:numId w:val="1004"/>
        </w:numPr>
      </w:pPr>
      <w:r>
        <w:rPr>
          <w:rFonts w:hint="eastAsia"/>
          <w:b/>
          <w:bCs/>
        </w:rPr>
        <w:t xml:space="preserve">“一老一小”与人才队伍：</w:t>
      </w:r>
      <w:r>
        <w:t xml:space="preserve"> </w:t>
      </w:r>
      <w:r>
        <w:rPr>
          <w:rFonts w:hint="eastAsia"/>
        </w:rPr>
        <w:t xml:space="preserve">老年和儿童健康服务、医务人员培养将带来服务供给和培训需求，但盈利模式仍需看支付安排。</w:t>
      </w:r>
    </w:p>
    <w:p>
      <w:pPr>
        <w:pStyle w:val="Compact"/>
        <w:numPr>
          <w:ilvl w:val="0"/>
          <w:numId w:val="1004"/>
        </w:numPr>
      </w:pPr>
      <w:r>
        <w:rPr>
          <w:rFonts w:hint="eastAsia"/>
          <w:b/>
          <w:bCs/>
        </w:rPr>
        <w:t xml:space="preserve">健康产业与国际合作：</w:t>
      </w:r>
      <w:r>
        <w:t xml:space="preserve"> </w:t>
      </w:r>
      <w:r>
        <w:rPr>
          <w:rFonts w:hint="eastAsia"/>
        </w:rPr>
        <w:t xml:space="preserve">原文提出做大做强健康产业，并深化“一带一路”卫生健康合作，为设备、药品和服务出海提供政策方向。</w:t>
      </w:r>
    </w:p>
    <w:p>
      <w:pPr>
        <w:pStyle w:val="FirstParagraph"/>
      </w:pPr>
      <w:r>
        <w:rPr>
          <w:rFonts w:hint="eastAsia"/>
          <w:b/>
          <w:bCs/>
        </w:rPr>
        <w:t xml:space="preserve">A股交易解读</w:t>
      </w:r>
    </w:p>
    <w:p>
      <w:pPr>
        <w:pStyle w:val="BodyText"/>
      </w:pPr>
      <w:r>
        <w:rPr>
          <w:rFonts w:hint="eastAsia"/>
        </w:rPr>
        <w:t xml:space="preserve">这是今日最强主线，但应区分“顶层战略—实施方案—预算支付—采购订单—收入利润”五个阶段。短线可先观察医疗强基、医疗器械、医疗信息化和创新药的板块共振；中线只保留能够被财政、医保、医院采购或商业订单验证的方向。医保基金安全和集采优化意味着低效、高价、同质化供给仍有出清压力。</w:t>
      </w:r>
    </w:p>
    <w:p>
      <w:pPr>
        <w:pStyle w:val="BodyText"/>
      </w:pPr>
      <w:r>
        <w:rPr>
          <w:rFonts w:hint="eastAsia"/>
          <w:b/>
          <w:bCs/>
        </w:rPr>
        <w:t xml:space="preserve">后续验证点：</w:t>
      </w:r>
      <w:r>
        <w:t xml:space="preserve"> </w:t>
      </w:r>
      <w:r>
        <w:rPr>
          <w:rFonts w:hint="eastAsia"/>
        </w:rPr>
        <w:t xml:space="preserve">“十五五”卫生健康专项规划；医疗卫生强基工程清单；医保支付与集采规则；县区和基层机构保障资金；创新药与中医药成果转化政策。</w:t>
      </w:r>
    </w:p>
    <w:bookmarkEnd w:id="11"/>
    <w:bookmarkStart w:id="12" w:name="央视快评强化健康中国主线但不构成第二份独立政策"/>
    <w:p>
      <w:pPr>
        <w:pStyle w:val="Heading3"/>
      </w:pPr>
      <w:r>
        <w:t xml:space="preserve">2. </w:t>
      </w:r>
      <w:r>
        <w:rPr>
          <w:rFonts w:hint="eastAsia"/>
        </w:rPr>
        <w:t xml:space="preserve">央视快评：强化健康中国主线，但不构成第二份独立政策</w:t>
      </w:r>
    </w:p>
    <w:p>
      <w:pPr>
        <w:pStyle w:val="Compact"/>
        <w:numPr>
          <w:ilvl w:val="0"/>
          <w:numId w:val="1005"/>
        </w:numPr>
      </w:pPr>
      <w:r>
        <w:rPr>
          <w:rFonts w:hint="eastAsia"/>
          <w:b/>
          <w:bCs/>
        </w:rPr>
        <w:t xml:space="preserve">信号强度：★★★★</w:t>
      </w:r>
    </w:p>
    <w:p>
      <w:pPr>
        <w:pStyle w:val="Compact"/>
        <w:numPr>
          <w:ilvl w:val="0"/>
          <w:numId w:val="1005"/>
        </w:numPr>
      </w:pPr>
      <w:r>
        <w:rPr>
          <w:rFonts w:hint="eastAsia"/>
          <w:b/>
          <w:bCs/>
        </w:rPr>
        <w:t xml:space="preserve">A股影响：利好健康中国主题的政策确定性，中性于新增基本面</w:t>
      </w:r>
    </w:p>
    <w:p>
      <w:pPr>
        <w:pStyle w:val="Compact"/>
        <w:numPr>
          <w:ilvl w:val="0"/>
          <w:numId w:val="1005"/>
        </w:numPr>
      </w:pPr>
      <w:r>
        <w:rPr>
          <w:rFonts w:hint="eastAsia"/>
          <w:b/>
          <w:bCs/>
        </w:rPr>
        <w:t xml:space="preserve">影响时效：短期情绪确认；中长期随大会部署落地</w:t>
      </w:r>
    </w:p>
    <w:p>
      <w:pPr>
        <w:pStyle w:val="Compact"/>
        <w:numPr>
          <w:ilvl w:val="0"/>
          <w:numId w:val="1005"/>
        </w:numPr>
      </w:pPr>
      <w:r>
        <w:rPr>
          <w:rFonts w:hint="eastAsia"/>
          <w:b/>
          <w:bCs/>
        </w:rPr>
        <w:t xml:space="preserve">受益板块：</w:t>
      </w:r>
      <w:r>
        <w:t xml:space="preserve"> </w:t>
      </w:r>
      <w:r>
        <w:rPr>
          <w:rFonts w:hint="eastAsia"/>
        </w:rPr>
        <w:t xml:space="preserve">与上一条相同的健康中国产业链。</w:t>
      </w:r>
    </w:p>
    <w:p>
      <w:pPr>
        <w:pStyle w:val="FirstParagraph"/>
      </w:pPr>
      <w:r>
        <w:rPr>
          <w:rFonts w:hint="eastAsia"/>
        </w:rPr>
        <w:t xml:space="preserve">原文仅确认当日播发《确保健康中国建设取得决定性进展》央视快评，没有提供额外政策、数字或行业细则。因此它的意义是强化头条议题的传播权重，不能重复计算成新增政策利好，也不能据此推演未披露的资金规模。</w:t>
      </w:r>
    </w:p>
    <w:bookmarkEnd w:id="12"/>
    <w:bookmarkStart w:id="13" w:name="欢迎博茨瓦纳总统访华外交礼仪信号产业增量看后续会谈"/>
    <w:p>
      <w:pPr>
        <w:pStyle w:val="Heading3"/>
      </w:pPr>
      <w:r>
        <w:t xml:space="preserve">3. </w:t>
      </w:r>
      <w:r>
        <w:rPr>
          <w:rFonts w:hint="eastAsia"/>
        </w:rPr>
        <w:t xml:space="preserve">欢迎博茨瓦纳总统访华：外交礼仪信号，产业增量看后续会谈</w:t>
      </w:r>
    </w:p>
    <w:p>
      <w:pPr>
        <w:pStyle w:val="Compact"/>
        <w:numPr>
          <w:ilvl w:val="0"/>
          <w:numId w:val="1006"/>
        </w:numPr>
      </w:pPr>
      <w:r>
        <w:rPr>
          <w:rFonts w:hint="eastAsia"/>
          <w:b/>
          <w:bCs/>
        </w:rPr>
        <w:t xml:space="preserve">信号强度：★</w:t>
      </w:r>
    </w:p>
    <w:p>
      <w:pPr>
        <w:pStyle w:val="Compact"/>
        <w:numPr>
          <w:ilvl w:val="0"/>
          <w:numId w:val="1006"/>
        </w:numPr>
      </w:pPr>
      <w:r>
        <w:rPr>
          <w:rFonts w:hint="eastAsia"/>
          <w:b/>
          <w:bCs/>
        </w:rPr>
        <w:t xml:space="preserve">A股影响：中性</w:t>
      </w:r>
    </w:p>
    <w:p>
      <w:pPr>
        <w:pStyle w:val="Compact"/>
        <w:numPr>
          <w:ilvl w:val="0"/>
          <w:numId w:val="1006"/>
        </w:numPr>
      </w:pPr>
      <w:r>
        <w:rPr>
          <w:rFonts w:hint="eastAsia"/>
          <w:b/>
          <w:bCs/>
        </w:rPr>
        <w:t xml:space="preserve">影响时效：短期</w:t>
      </w:r>
    </w:p>
    <w:p>
      <w:pPr>
        <w:pStyle w:val="Compact"/>
        <w:numPr>
          <w:ilvl w:val="0"/>
          <w:numId w:val="1006"/>
        </w:numPr>
      </w:pPr>
      <w:r>
        <w:rPr>
          <w:rFonts w:hint="eastAsia"/>
          <w:b/>
          <w:bCs/>
        </w:rPr>
        <w:t xml:space="preserve">关联方向：</w:t>
      </w:r>
      <w:r>
        <w:t xml:space="preserve"> </w:t>
      </w:r>
      <w:r>
        <w:rPr>
          <w:rFonts w:hint="eastAsia"/>
        </w:rPr>
        <w:t xml:space="preserve">中非合作、“一带一路”。</w:t>
      </w:r>
    </w:p>
    <w:p>
      <w:pPr>
        <w:pStyle w:val="FirstParagraph"/>
      </w:pPr>
      <w:r>
        <w:rPr>
          <w:rFonts w:hint="eastAsia"/>
        </w:rPr>
        <w:t xml:space="preserve">该条主要记录欢迎仪式、21响礼炮、国歌、仪仗队和来访安排，属于国事访问礼仪事实。对A股没有独立基本面增量，应与随后会谈及合作文件合并研判，避免仅凭仪式规格炒作行业。</w:t>
      </w:r>
    </w:p>
    <w:bookmarkEnd w:id="13"/>
    <w:bookmarkStart w:id="14" w:name="中博关系升为全面战略合作伙伴绿色矿产与数字农业获得明确合作方向"/>
    <w:p>
      <w:pPr>
        <w:pStyle w:val="Heading3"/>
      </w:pPr>
      <w:r>
        <w:t xml:space="preserve">4. </w:t>
      </w:r>
      <w:r>
        <w:rPr>
          <w:rFonts w:hint="eastAsia"/>
        </w:rPr>
        <w:t xml:space="preserve">中博关系升为全面战略合作伙伴：绿色矿产与数字农业获得明确合作方向</w:t>
      </w:r>
    </w:p>
    <w:p>
      <w:pPr>
        <w:pStyle w:val="Compact"/>
        <w:numPr>
          <w:ilvl w:val="0"/>
          <w:numId w:val="1007"/>
        </w:numPr>
      </w:pPr>
      <w:r>
        <w:rPr>
          <w:rFonts w:hint="eastAsia"/>
          <w:b/>
          <w:bCs/>
        </w:rPr>
        <w:t xml:space="preserve">信号强度：★★★★</w:t>
      </w:r>
    </w:p>
    <w:p>
      <w:pPr>
        <w:pStyle w:val="Compact"/>
        <w:numPr>
          <w:ilvl w:val="0"/>
          <w:numId w:val="1007"/>
        </w:numPr>
      </w:pPr>
      <w:r>
        <w:rPr>
          <w:rFonts w:hint="eastAsia"/>
          <w:b/>
          <w:bCs/>
        </w:rPr>
        <w:t xml:space="preserve">A股影响：结构性利好</w:t>
      </w:r>
    </w:p>
    <w:p>
      <w:pPr>
        <w:pStyle w:val="Compact"/>
        <w:numPr>
          <w:ilvl w:val="0"/>
          <w:numId w:val="1007"/>
        </w:numPr>
      </w:pPr>
      <w:r>
        <w:rPr>
          <w:rFonts w:hint="eastAsia"/>
          <w:b/>
          <w:bCs/>
        </w:rPr>
        <w:t xml:space="preserve">影响时效：中期1—4周看项目披露，长期看产业合作落地</w:t>
      </w:r>
    </w:p>
    <w:p>
      <w:pPr>
        <w:pStyle w:val="Compact"/>
        <w:numPr>
          <w:ilvl w:val="0"/>
          <w:numId w:val="1007"/>
        </w:numPr>
      </w:pPr>
      <w:r>
        <w:rPr>
          <w:rFonts w:hint="eastAsia"/>
          <w:b/>
          <w:bCs/>
        </w:rPr>
        <w:t xml:space="preserve">受益板块：</w:t>
      </w:r>
      <w:r>
        <w:t xml:space="preserve"> </w:t>
      </w:r>
      <w:r>
        <w:rPr>
          <w:rFonts w:hint="eastAsia"/>
        </w:rPr>
        <w:t xml:space="preserve">绿色矿业技术与服务、矿山装备、数字经济、农业与畜牧业技术、智慧教育、对非贸易服务、“一带一路”工程服务、卫生健康合作。</w:t>
      </w:r>
    </w:p>
    <w:p>
      <w:pPr>
        <w:pStyle w:val="Compact"/>
        <w:numPr>
          <w:ilvl w:val="0"/>
          <w:numId w:val="1007"/>
        </w:numPr>
      </w:pPr>
      <w:r>
        <w:rPr>
          <w:rFonts w:hint="eastAsia"/>
          <w:b/>
          <w:bCs/>
        </w:rPr>
        <w:t xml:space="preserve">风险方向：</w:t>
      </w:r>
      <w:r>
        <w:t xml:space="preserve"> </w:t>
      </w:r>
      <w:r>
        <w:rPr>
          <w:rFonts w:hint="eastAsia"/>
        </w:rPr>
        <w:t xml:space="preserve">海外项目所在国政策、汇率、回款、建设周期及地缘风险较高的企业。</w:t>
      </w:r>
    </w:p>
    <w:p>
      <w:pPr>
        <w:pStyle w:val="FirstParagraph"/>
      </w:pPr>
      <w:r>
        <w:rPr>
          <w:rFonts w:hint="eastAsia"/>
        </w:rPr>
        <w:t xml:space="preserve">双方宣布把双边关系提升为全面战略合作伙伴关系。原文明确提出用好中国对非洲建交国全面零关税机遇，加强数字经济、农业、畜牧业和智慧教育合作；矿业合作强调非洲资源属于非洲、绿色技术、产业增值、创新融资和公平开放。会谈后签署全球安全倡议、共建“一带一路”、绿色矿产、卫生健康、人力资源等多项合作文件。</w:t>
      </w:r>
    </w:p>
    <w:p>
      <w:pPr>
        <w:pStyle w:val="BodyText"/>
      </w:pPr>
      <w:r>
        <w:rPr>
          <w:rFonts w:hint="eastAsia"/>
        </w:rPr>
        <w:t xml:space="preserve">对A股而言，最直接的是矿业合作由资源获取向绿色技术和产业增值延伸，服务、装备和加工能力的重要性上升；但原文没有披露具体矿种、项目金额、企业名单和交付周期，不能据此确认任何上市公司订单。零关税首先改变贸易条件，是否转化为收入仍需看企业渠道、产品竞争力与合同。</w:t>
      </w:r>
    </w:p>
    <w:p>
      <w:pPr>
        <w:pStyle w:val="BodyText"/>
      </w:pPr>
      <w:r>
        <w:rPr>
          <w:rFonts w:hint="eastAsia"/>
          <w:b/>
          <w:bCs/>
        </w:rPr>
        <w:t xml:space="preserve">后续验证点：</w:t>
      </w:r>
      <w:r>
        <w:t xml:space="preserve"> </w:t>
      </w:r>
      <w:r>
        <w:rPr>
          <w:rFonts w:hint="eastAsia"/>
        </w:rPr>
        <w:t xml:space="preserve">合作文件全文；具体矿业和数字经济项目；中国企业投资公告；融资安排；进出口数据和回款条件。</w:t>
      </w:r>
    </w:p>
    <w:bookmarkEnd w:id="14"/>
    <w:bookmarkStart w:id="15" w:name="中多关系提升零关税跨境人民币新能源和数智合作并行"/>
    <w:p>
      <w:pPr>
        <w:pStyle w:val="Heading3"/>
      </w:pPr>
      <w:r>
        <w:t xml:space="preserve">5. </w:t>
      </w:r>
      <w:r>
        <w:rPr>
          <w:rFonts w:hint="eastAsia"/>
        </w:rPr>
        <w:t xml:space="preserve">中多关系提升：零关税、跨境人民币、新能源和数智合作并行</w:t>
      </w:r>
    </w:p>
    <w:p>
      <w:pPr>
        <w:pStyle w:val="Compact"/>
        <w:numPr>
          <w:ilvl w:val="0"/>
          <w:numId w:val="1008"/>
        </w:numPr>
      </w:pPr>
      <w:r>
        <w:rPr>
          <w:rFonts w:hint="eastAsia"/>
          <w:b/>
          <w:bCs/>
        </w:rPr>
        <w:t xml:space="preserve">信号强度：★★★★</w:t>
      </w:r>
    </w:p>
    <w:p>
      <w:pPr>
        <w:pStyle w:val="Compact"/>
        <w:numPr>
          <w:ilvl w:val="0"/>
          <w:numId w:val="1008"/>
        </w:numPr>
      </w:pPr>
      <w:r>
        <w:rPr>
          <w:rFonts w:hint="eastAsia"/>
          <w:b/>
          <w:bCs/>
        </w:rPr>
        <w:t xml:space="preserve">A股影响：结构性利好</w:t>
      </w:r>
    </w:p>
    <w:p>
      <w:pPr>
        <w:pStyle w:val="Compact"/>
        <w:numPr>
          <w:ilvl w:val="0"/>
          <w:numId w:val="1008"/>
        </w:numPr>
      </w:pPr>
      <w:r>
        <w:rPr>
          <w:rFonts w:hint="eastAsia"/>
          <w:b/>
          <w:bCs/>
        </w:rPr>
        <w:t xml:space="preserve">影响时效：中期至长期</w:t>
      </w:r>
    </w:p>
    <w:p>
      <w:pPr>
        <w:pStyle w:val="Compact"/>
        <w:numPr>
          <w:ilvl w:val="0"/>
          <w:numId w:val="1008"/>
        </w:numPr>
      </w:pPr>
      <w:r>
        <w:rPr>
          <w:rFonts w:hint="eastAsia"/>
          <w:b/>
          <w:bCs/>
        </w:rPr>
        <w:t xml:space="preserve">受益板块：</w:t>
      </w:r>
      <w:r>
        <w:t xml:space="preserve"> </w:t>
      </w:r>
      <w:r>
        <w:rPr>
          <w:rFonts w:hint="eastAsia"/>
        </w:rPr>
        <w:t xml:space="preserve">港口物流与贸易服务、跨境支付、新能源设备、数字化解决方案、基础设施工程、对非出口链。</w:t>
      </w:r>
    </w:p>
    <w:p>
      <w:pPr>
        <w:pStyle w:val="FirstParagraph"/>
      </w:pPr>
      <w:r>
        <w:rPr>
          <w:rFonts w:hint="eastAsia"/>
        </w:rPr>
        <w:t xml:space="preserve">两国把关系定位提升为新时代中多命运共同体。原文明确欢迎多哥使用零关税和输华产品“绿色通道”，发挥地区贸易、物流枢纽作用；赞赏扩大人民币跨境使用，并提出新能源、数智、贸易、基础设施和科技合作。</w:t>
      </w:r>
    </w:p>
    <w:p>
      <w:pPr>
        <w:pStyle w:val="BodyText"/>
      </w:pPr>
      <w:r>
        <w:rPr>
          <w:rFonts w:hint="eastAsia"/>
        </w:rPr>
        <w:t xml:space="preserve">这为对非贸易、物流、人民币结算和产业出海提供政策方向。A股映射应优先观察已有非洲业务、项目执行和回款记录的企业，而不是所有新能源或数字化公司。原文还强调非洲主导、主权和领土完整、协商止战及长期发展，说明合作框架重视当地自主性和长期可持续性。</w:t>
      </w:r>
    </w:p>
    <w:p>
      <w:pPr>
        <w:pStyle w:val="BodyText"/>
      </w:pPr>
      <w:r>
        <w:rPr>
          <w:rFonts w:hint="eastAsia"/>
          <w:b/>
          <w:bCs/>
        </w:rPr>
        <w:t xml:space="preserve">后续验证点：</w:t>
      </w:r>
      <w:r>
        <w:t xml:space="preserve"> </w:t>
      </w:r>
      <w:r>
        <w:rPr>
          <w:rFonts w:hint="eastAsia"/>
        </w:rPr>
        <w:t xml:space="preserve">绿色通道品类与贸易量；人民币结算规模；新能源和基础设施项目清单；中资企业合同及回款。</w:t>
      </w:r>
    </w:p>
    <w:bookmarkEnd w:id="15"/>
    <w:bookmarkStart w:id="16" w:name="祝贺爱沙尼亚总统就任释放关系稳定信号a股影响弱"/>
    <w:p>
      <w:pPr>
        <w:pStyle w:val="Heading3"/>
      </w:pPr>
      <w:r>
        <w:t xml:space="preserve">6. </w:t>
      </w:r>
      <w:r>
        <w:rPr>
          <w:rFonts w:hint="eastAsia"/>
        </w:rPr>
        <w:t xml:space="preserve">祝贺爱沙尼亚总统就任：释放关系稳定信号，A股影响弱</w:t>
      </w:r>
    </w:p>
    <w:p>
      <w:pPr>
        <w:pStyle w:val="Compact"/>
        <w:numPr>
          <w:ilvl w:val="0"/>
          <w:numId w:val="1009"/>
        </w:numPr>
      </w:pPr>
      <w:r>
        <w:rPr>
          <w:rFonts w:hint="eastAsia"/>
          <w:b/>
          <w:bCs/>
        </w:rPr>
        <w:t xml:space="preserve">信号强度：★</w:t>
      </w:r>
    </w:p>
    <w:p>
      <w:pPr>
        <w:pStyle w:val="Compact"/>
        <w:numPr>
          <w:ilvl w:val="0"/>
          <w:numId w:val="1009"/>
        </w:numPr>
      </w:pPr>
      <w:r>
        <w:rPr>
          <w:rFonts w:hint="eastAsia"/>
          <w:b/>
          <w:bCs/>
        </w:rPr>
        <w:t xml:space="preserve">A股影响：中性</w:t>
      </w:r>
    </w:p>
    <w:p>
      <w:pPr>
        <w:pStyle w:val="Compact"/>
        <w:numPr>
          <w:ilvl w:val="0"/>
          <w:numId w:val="1009"/>
        </w:numPr>
      </w:pPr>
      <w:r>
        <w:rPr>
          <w:rFonts w:hint="eastAsia"/>
          <w:b/>
          <w:bCs/>
        </w:rPr>
        <w:t xml:space="preserve">影响时效：长期观察</w:t>
      </w:r>
    </w:p>
    <w:p>
      <w:pPr>
        <w:pStyle w:val="Compact"/>
        <w:numPr>
          <w:ilvl w:val="0"/>
          <w:numId w:val="1009"/>
        </w:numPr>
      </w:pPr>
      <w:r>
        <w:rPr>
          <w:rFonts w:hint="eastAsia"/>
          <w:b/>
          <w:bCs/>
        </w:rPr>
        <w:t xml:space="preserve">关联方向：</w:t>
      </w:r>
      <w:r>
        <w:t xml:space="preserve"> </w:t>
      </w:r>
      <w:r>
        <w:rPr>
          <w:rFonts w:hint="eastAsia"/>
        </w:rPr>
        <w:t xml:space="preserve">对欧贸易、人文交流。</w:t>
      </w:r>
    </w:p>
    <w:p>
      <w:pPr>
        <w:pStyle w:val="FirstParagraph"/>
      </w:pPr>
      <w:r>
        <w:rPr>
          <w:rFonts w:hint="eastAsia"/>
        </w:rPr>
        <w:t xml:space="preserve">原文表示以建交35周年为契机，增进政治互信、拓展互利合作、扩大人文交流，但没有行业、项目或金额。对A股暂不构成可交易的独立催化，后续如出现具体经贸协议再评估。</w:t>
      </w:r>
    </w:p>
    <w:bookmarkEnd w:id="16"/>
    <w:bookmarkStart w:id="17" w:name="赵乐际会见博茨瓦纳多哥领导人为合作提供立法交流与制度支持"/>
    <w:p>
      <w:pPr>
        <w:pStyle w:val="Heading3"/>
      </w:pPr>
      <w:r>
        <w:t xml:space="preserve">7. </w:t>
      </w:r>
      <w:r>
        <w:rPr>
          <w:rFonts w:hint="eastAsia"/>
        </w:rPr>
        <w:t xml:space="preserve">赵乐际会见博茨瓦纳、多哥领导人：为合作提供立法交流与制度支持</w:t>
      </w:r>
    </w:p>
    <w:p>
      <w:pPr>
        <w:pStyle w:val="Compact"/>
        <w:numPr>
          <w:ilvl w:val="0"/>
          <w:numId w:val="1010"/>
        </w:numPr>
      </w:pPr>
      <w:r>
        <w:rPr>
          <w:rFonts w:hint="eastAsia"/>
          <w:b/>
          <w:bCs/>
        </w:rPr>
        <w:t xml:space="preserve">信号强度：★★</w:t>
      </w:r>
    </w:p>
    <w:p>
      <w:pPr>
        <w:pStyle w:val="Compact"/>
        <w:numPr>
          <w:ilvl w:val="0"/>
          <w:numId w:val="1010"/>
        </w:numPr>
      </w:pPr>
      <w:r>
        <w:rPr>
          <w:rFonts w:hint="eastAsia"/>
          <w:b/>
          <w:bCs/>
        </w:rPr>
        <w:t xml:space="preserve">A股影响：中性偏利好，主要是对前述合作的制度确认</w:t>
      </w:r>
    </w:p>
    <w:p>
      <w:pPr>
        <w:pStyle w:val="Compact"/>
        <w:numPr>
          <w:ilvl w:val="0"/>
          <w:numId w:val="1010"/>
        </w:numPr>
      </w:pPr>
      <w:r>
        <w:rPr>
          <w:rFonts w:hint="eastAsia"/>
          <w:b/>
          <w:bCs/>
        </w:rPr>
        <w:t xml:space="preserve">影响时效：中长期</w:t>
      </w:r>
    </w:p>
    <w:p>
      <w:pPr>
        <w:pStyle w:val="Compact"/>
        <w:numPr>
          <w:ilvl w:val="0"/>
          <w:numId w:val="1010"/>
        </w:numPr>
      </w:pPr>
      <w:r>
        <w:rPr>
          <w:rFonts w:hint="eastAsia"/>
          <w:b/>
          <w:bCs/>
        </w:rPr>
        <w:t xml:space="preserve">关联方向：</w:t>
      </w:r>
      <w:r>
        <w:t xml:space="preserve"> </w:t>
      </w:r>
      <w:r>
        <w:rPr>
          <w:rFonts w:hint="eastAsia"/>
        </w:rPr>
        <w:t xml:space="preserve">中非经贸、立法保障、能力建设与人员培训。</w:t>
      </w:r>
    </w:p>
    <w:p>
      <w:pPr>
        <w:pStyle w:val="FirstParagraph"/>
      </w:pPr>
      <w:r>
        <w:rPr>
          <w:rFonts w:hint="eastAsia"/>
        </w:rPr>
        <w:t xml:space="preserve">该条强调落实元首共识，中国全国人大与博茨瓦纳、多哥立法机构加强交流，为务实合作提供法律保障，并涉及能力建设、人员培训和多边协作。其增量不在新增产业清单，而在提高合作的制度稳定性。市场层面仍需以项目、合同和回款作为兑现标准。</w:t>
      </w:r>
    </w:p>
    <w:bookmarkEnd w:id="17"/>
    <w:bookmarkStart w:id="18" w:name="第140届广交会ai办展与出海生产性服务链扩容"/>
    <w:p>
      <w:pPr>
        <w:pStyle w:val="Heading3"/>
      </w:pPr>
      <w:r>
        <w:t xml:space="preserve">8. </w:t>
      </w:r>
      <w:r>
        <w:rPr>
          <w:rFonts w:hint="eastAsia"/>
        </w:rPr>
        <w:t xml:space="preserve">第140届广交会：AI办展与出海生产性服务链扩容</w:t>
      </w:r>
    </w:p>
    <w:p>
      <w:pPr>
        <w:pStyle w:val="Compact"/>
        <w:numPr>
          <w:ilvl w:val="0"/>
          <w:numId w:val="1011"/>
        </w:numPr>
      </w:pPr>
      <w:r>
        <w:rPr>
          <w:rFonts w:hint="eastAsia"/>
          <w:b/>
          <w:bCs/>
        </w:rPr>
        <w:t xml:space="preserve">信号强度：★★★</w:t>
      </w:r>
    </w:p>
    <w:p>
      <w:pPr>
        <w:pStyle w:val="Compact"/>
        <w:numPr>
          <w:ilvl w:val="0"/>
          <w:numId w:val="1011"/>
        </w:numPr>
      </w:pPr>
      <w:r>
        <w:rPr>
          <w:rFonts w:hint="eastAsia"/>
          <w:b/>
          <w:bCs/>
        </w:rPr>
        <w:t xml:space="preserve">A股影响：结构性利好</w:t>
      </w:r>
    </w:p>
    <w:p>
      <w:pPr>
        <w:pStyle w:val="Compact"/>
        <w:numPr>
          <w:ilvl w:val="0"/>
          <w:numId w:val="1011"/>
        </w:numPr>
      </w:pPr>
      <w:r>
        <w:rPr>
          <w:rFonts w:hint="eastAsia"/>
          <w:b/>
          <w:bCs/>
        </w:rPr>
        <w:t xml:space="preserve">影响时效：短期事件催化，中期看服务转化</w:t>
      </w:r>
    </w:p>
    <w:p>
      <w:pPr>
        <w:pStyle w:val="Compact"/>
        <w:numPr>
          <w:ilvl w:val="0"/>
          <w:numId w:val="1011"/>
        </w:numPr>
      </w:pPr>
      <w:r>
        <w:rPr>
          <w:rFonts w:hint="eastAsia"/>
          <w:b/>
          <w:bCs/>
        </w:rPr>
        <w:t xml:space="preserve">受益板块：</w:t>
      </w:r>
      <w:r>
        <w:t xml:space="preserve"> </w:t>
      </w:r>
      <w:r>
        <w:rPr>
          <w:rFonts w:hint="eastAsia"/>
        </w:rPr>
        <w:t xml:space="preserve">会展数字化、企业级AI与大数据、物流仓储、金融保险、研发设计、跨境贸易综合服务。</w:t>
      </w:r>
    </w:p>
    <w:p>
      <w:pPr>
        <w:pStyle w:val="FirstParagraph"/>
      </w:pPr>
      <w:r>
        <w:rPr>
          <w:rFonts w:hint="eastAsia"/>
        </w:rPr>
        <w:t xml:space="preserve">本届广交会推出超50项创新举措，首次落地22个智慧应用场景和16项AI特色应用；通过App实现展位导航。展会还引入超230家服务机构，首次覆盖10大类生产性服务业，为企业和产品出海提供全周期、一站式支撑。</w:t>
      </w:r>
    </w:p>
    <w:p>
      <w:pPr>
        <w:pStyle w:val="BodyText"/>
      </w:pPr>
      <w:r>
        <w:rPr>
          <w:rFonts w:hint="eastAsia"/>
        </w:rPr>
        <w:t xml:space="preserve">该条对A股的核心并非泛AI，而是AI和大数据在真实会展流程中的应用，以及物流、保险、设计等出海服务能力。由于原文没有披露服务商名单、采购金额和成交数据，不能外推具体公司受益。中期应跟踪广交会订单、服务机构业务转化和出口数据。</w:t>
      </w:r>
    </w:p>
    <w:bookmarkEnd w:id="18"/>
    <w:bookmarkStart w:id="19" w:name="气象工作者见面会气象监测智能预报和防灾减灾受关注"/>
    <w:p>
      <w:pPr>
        <w:pStyle w:val="Heading3"/>
      </w:pPr>
      <w:r>
        <w:t xml:space="preserve">9. </w:t>
      </w:r>
      <w:r>
        <w:rPr>
          <w:rFonts w:hint="eastAsia"/>
        </w:rPr>
        <w:t xml:space="preserve">气象工作者见面会：气象监测、智能预报和防灾减灾受关注</w:t>
      </w:r>
    </w:p>
    <w:p>
      <w:pPr>
        <w:pStyle w:val="Compact"/>
        <w:numPr>
          <w:ilvl w:val="0"/>
          <w:numId w:val="1012"/>
        </w:numPr>
      </w:pPr>
      <w:r>
        <w:rPr>
          <w:rFonts w:hint="eastAsia"/>
          <w:b/>
          <w:bCs/>
        </w:rPr>
        <w:t xml:space="preserve">信号强度：★★</w:t>
      </w:r>
    </w:p>
    <w:p>
      <w:pPr>
        <w:pStyle w:val="Compact"/>
        <w:numPr>
          <w:ilvl w:val="0"/>
          <w:numId w:val="1012"/>
        </w:numPr>
      </w:pPr>
      <w:r>
        <w:rPr>
          <w:rFonts w:hint="eastAsia"/>
          <w:b/>
          <w:bCs/>
        </w:rPr>
        <w:t xml:space="preserve">A股影响：中性偏利好</w:t>
      </w:r>
    </w:p>
    <w:p>
      <w:pPr>
        <w:pStyle w:val="Compact"/>
        <w:numPr>
          <w:ilvl w:val="0"/>
          <w:numId w:val="1012"/>
        </w:numPr>
      </w:pPr>
      <w:r>
        <w:rPr>
          <w:rFonts w:hint="eastAsia"/>
          <w:b/>
          <w:bCs/>
        </w:rPr>
        <w:t xml:space="preserve">影响时效：中期主题观察</w:t>
      </w:r>
    </w:p>
    <w:p>
      <w:pPr>
        <w:pStyle w:val="Compact"/>
        <w:numPr>
          <w:ilvl w:val="0"/>
          <w:numId w:val="1012"/>
        </w:numPr>
      </w:pPr>
      <w:r>
        <w:rPr>
          <w:rFonts w:hint="eastAsia"/>
          <w:b/>
          <w:bCs/>
        </w:rPr>
        <w:t xml:space="preserve">受益板块：</w:t>
      </w:r>
      <w:r>
        <w:t xml:space="preserve"> </w:t>
      </w:r>
      <w:r>
        <w:rPr>
          <w:rFonts w:hint="eastAsia"/>
        </w:rPr>
        <w:t xml:space="preserve">气象监测设备、卫星与雷达应用、智能预报软件、基层预警系统、防灾减灾信息化。</w:t>
      </w:r>
    </w:p>
    <w:p>
      <w:pPr>
        <w:pStyle w:val="FirstParagraph"/>
      </w:pPr>
      <w:r>
        <w:rPr>
          <w:rFonts w:hint="eastAsia"/>
        </w:rPr>
        <w:t xml:space="preserve">原文由5位气象领域代表介绍天气监测预报预警、台风智能预报模式、海岛和高原气象服务以及基层气象防灾减灾实践。它体现气象服务的公共安全和科技属性，但并非新政策发布，短期催化弱于健康中国和中非合作。后续只有出现设备更新、系统建设或预算项目时，才可向基本面兑现。</w:t>
      </w:r>
    </w:p>
    <w:bookmarkEnd w:id="19"/>
    <w:bookmarkStart w:id="20" w:name="缅北魏氏家族电诈案一审宣判反诈和平台风控保持高压"/>
    <w:p>
      <w:pPr>
        <w:pStyle w:val="Heading3"/>
      </w:pPr>
      <w:r>
        <w:t xml:space="preserve">10. </w:t>
      </w:r>
      <w:r>
        <w:rPr>
          <w:rFonts w:hint="eastAsia"/>
        </w:rPr>
        <w:t xml:space="preserve">缅北魏氏家族电诈案一审宣判：反诈和平台风控保持高压</w:t>
      </w:r>
    </w:p>
    <w:p>
      <w:pPr>
        <w:pStyle w:val="Compact"/>
        <w:numPr>
          <w:ilvl w:val="0"/>
          <w:numId w:val="1013"/>
        </w:numPr>
      </w:pPr>
      <w:r>
        <w:rPr>
          <w:rFonts w:hint="eastAsia"/>
          <w:b/>
          <w:bCs/>
        </w:rPr>
        <w:t xml:space="preserve">信号强度：★★</w:t>
      </w:r>
    </w:p>
    <w:p>
      <w:pPr>
        <w:pStyle w:val="Compact"/>
        <w:numPr>
          <w:ilvl w:val="0"/>
          <w:numId w:val="1013"/>
        </w:numPr>
      </w:pPr>
      <w:r>
        <w:rPr>
          <w:rFonts w:hint="eastAsia"/>
          <w:b/>
          <w:bCs/>
        </w:rPr>
        <w:t xml:space="preserve">A股影响：总体中性，合规科技方向轻度受益</w:t>
      </w:r>
    </w:p>
    <w:p>
      <w:pPr>
        <w:pStyle w:val="Compact"/>
        <w:numPr>
          <w:ilvl w:val="0"/>
          <w:numId w:val="1013"/>
        </w:numPr>
      </w:pPr>
      <w:r>
        <w:rPr>
          <w:rFonts w:hint="eastAsia"/>
          <w:b/>
          <w:bCs/>
        </w:rPr>
        <w:t xml:space="preserve">影响时效：短期情绪、中期合规投入</w:t>
      </w:r>
    </w:p>
    <w:p>
      <w:pPr>
        <w:pStyle w:val="Compact"/>
        <w:numPr>
          <w:ilvl w:val="0"/>
          <w:numId w:val="1013"/>
        </w:numPr>
      </w:pPr>
      <w:r>
        <w:rPr>
          <w:rFonts w:hint="eastAsia"/>
          <w:b/>
          <w:bCs/>
        </w:rPr>
        <w:t xml:space="preserve">受益板块：</w:t>
      </w:r>
      <w:r>
        <w:t xml:space="preserve"> </w:t>
      </w:r>
      <w:r>
        <w:rPr>
          <w:rFonts w:hint="eastAsia"/>
        </w:rPr>
        <w:t xml:space="preserve">反诈系统、身份认证、通信与金融风控、数据安全。</w:t>
      </w:r>
    </w:p>
    <w:p>
      <w:pPr>
        <w:pStyle w:val="Compact"/>
        <w:numPr>
          <w:ilvl w:val="0"/>
          <w:numId w:val="1013"/>
        </w:numPr>
      </w:pPr>
      <w:r>
        <w:rPr>
          <w:rFonts w:hint="eastAsia"/>
          <w:b/>
          <w:bCs/>
        </w:rPr>
        <w:t xml:space="preserve">约束方向：</w:t>
      </w:r>
      <w:r>
        <w:t xml:space="preserve"> </w:t>
      </w:r>
      <w:r>
        <w:rPr>
          <w:rFonts w:hint="eastAsia"/>
        </w:rPr>
        <w:t xml:space="preserve">合规薄弱、账户与流量治理能力不足的平台和服务商。</w:t>
      </w:r>
    </w:p>
    <w:p>
      <w:pPr>
        <w:pStyle w:val="FirstParagraph"/>
      </w:pPr>
      <w:r>
        <w:rPr>
          <w:rFonts w:hint="eastAsia"/>
        </w:rPr>
        <w:t xml:space="preserve">法院对魏家犯罪集团系列案公开宣判，原文披露涉赌诈资金122亿余元、造成4名中国公民死亡，并涉及诈骗、故意杀人等7项罪名。该事件强化跨境电诈治理的严肃性，但原文没有新增行业监管规则。A股影响主要体现在金融、通信和互联网平台持续加大反诈、实名、账户异常识别和数据治理投入。</w:t>
      </w:r>
    </w:p>
    <w:bookmarkEnd w:id="20"/>
    <w:bookmarkEnd w:id="21"/>
    <w:bookmarkStart w:id="29" w:name="四联播快讯逐项分析"/>
    <w:p>
      <w:pPr>
        <w:pStyle w:val="Heading2"/>
      </w:pPr>
      <w:r>
        <w:rPr>
          <w:rFonts w:hint="eastAsia"/>
        </w:rPr>
        <w:t xml:space="preserve">四、联播快讯逐项分析</w:t>
      </w:r>
    </w:p>
    <w:bookmarkStart w:id="22" w:name="新修订的烈士纪念设施保护管理办法11月1日起施行"/>
    <w:p>
      <w:pPr>
        <w:pStyle w:val="Heading3"/>
      </w:pPr>
      <w:r>
        <w:t xml:space="preserve">11.1 </w:t>
      </w:r>
      <w:r>
        <w:rPr>
          <w:rFonts w:hint="eastAsia"/>
        </w:rPr>
        <w:t xml:space="preserve">新修订的《烈士纪念设施保护管理办法》11月1日起施行</w:t>
      </w:r>
    </w:p>
    <w:p>
      <w:pPr>
        <w:pStyle w:val="Compact"/>
        <w:numPr>
          <w:ilvl w:val="0"/>
          <w:numId w:val="1014"/>
        </w:numPr>
      </w:pPr>
      <w:r>
        <w:rPr>
          <w:rFonts w:hint="eastAsia"/>
          <w:b/>
          <w:bCs/>
        </w:rPr>
        <w:t xml:space="preserve">信号强度：★★</w:t>
      </w:r>
    </w:p>
    <w:p>
      <w:pPr>
        <w:pStyle w:val="Compact"/>
        <w:numPr>
          <w:ilvl w:val="0"/>
          <w:numId w:val="1014"/>
        </w:numPr>
      </w:pPr>
      <w:r>
        <w:rPr>
          <w:rFonts w:hint="eastAsia"/>
          <w:b/>
          <w:bCs/>
        </w:rPr>
        <w:t xml:space="preserve">A股影响：中性，局部工程与数字化需求需看预算</w:t>
      </w:r>
    </w:p>
    <w:p>
      <w:pPr>
        <w:pStyle w:val="Compact"/>
        <w:numPr>
          <w:ilvl w:val="0"/>
          <w:numId w:val="1014"/>
        </w:numPr>
      </w:pPr>
      <w:r>
        <w:rPr>
          <w:rFonts w:hint="eastAsia"/>
          <w:b/>
          <w:bCs/>
        </w:rPr>
        <w:t xml:space="preserve">影响时效：中期</w:t>
      </w:r>
    </w:p>
    <w:p>
      <w:pPr>
        <w:pStyle w:val="Compact"/>
        <w:numPr>
          <w:ilvl w:val="0"/>
          <w:numId w:val="1014"/>
        </w:numPr>
      </w:pPr>
      <w:r>
        <w:rPr>
          <w:rFonts w:hint="eastAsia"/>
          <w:b/>
          <w:bCs/>
        </w:rPr>
        <w:t xml:space="preserve">关联方向：</w:t>
      </w:r>
      <w:r>
        <w:t xml:space="preserve"> </w:t>
      </w:r>
      <w:r>
        <w:rPr>
          <w:rFonts w:hint="eastAsia"/>
        </w:rPr>
        <w:t xml:space="preserve">纪念设施维护、安全保护、展示与数字化管理。</w:t>
      </w:r>
    </w:p>
    <w:p>
      <w:pPr>
        <w:pStyle w:val="FirstParagraph"/>
      </w:pPr>
      <w:r>
        <w:rPr>
          <w:rFonts w:hint="eastAsia"/>
        </w:rPr>
        <w:t xml:space="preserve">新办法完善全链条管护，规范新建、迁建和改扩建。原文没有项目规模和预算，不能直接推导大额工程增量；仅在地方项目、招标和财政安排出现后，相关设施维护与安全系统才可能形成业务机会。</w:t>
      </w:r>
    </w:p>
    <w:bookmarkEnd w:id="22"/>
    <w:bookmarkStart w:id="23" w:name="少先队建队77周年主题活动"/>
    <w:p>
      <w:pPr>
        <w:pStyle w:val="Heading3"/>
      </w:pPr>
      <w:r>
        <w:t xml:space="preserve">11.2 </w:t>
      </w:r>
      <w:r>
        <w:rPr>
          <w:rFonts w:hint="eastAsia"/>
        </w:rPr>
        <w:t xml:space="preserve">少先队建队77周年主题活动</w:t>
      </w:r>
    </w:p>
    <w:p>
      <w:pPr>
        <w:pStyle w:val="Compact"/>
        <w:numPr>
          <w:ilvl w:val="0"/>
          <w:numId w:val="1015"/>
        </w:numPr>
      </w:pPr>
      <w:r>
        <w:rPr>
          <w:rFonts w:hint="eastAsia"/>
          <w:b/>
          <w:bCs/>
        </w:rPr>
        <w:t xml:space="preserve">信号强度：★</w:t>
      </w:r>
    </w:p>
    <w:p>
      <w:pPr>
        <w:pStyle w:val="Compact"/>
        <w:numPr>
          <w:ilvl w:val="0"/>
          <w:numId w:val="1015"/>
        </w:numPr>
      </w:pPr>
      <w:r>
        <w:rPr>
          <w:rFonts w:hint="eastAsia"/>
          <w:b/>
          <w:bCs/>
        </w:rPr>
        <w:t xml:space="preserve">A股影响：中性</w:t>
      </w:r>
    </w:p>
    <w:p>
      <w:pPr>
        <w:pStyle w:val="Compact"/>
        <w:numPr>
          <w:ilvl w:val="0"/>
          <w:numId w:val="1015"/>
        </w:numPr>
      </w:pPr>
      <w:r>
        <w:rPr>
          <w:rFonts w:hint="eastAsia"/>
          <w:b/>
          <w:bCs/>
        </w:rPr>
        <w:t xml:space="preserve">影响时效：短期</w:t>
      </w:r>
    </w:p>
    <w:p>
      <w:pPr>
        <w:pStyle w:val="Compact"/>
        <w:numPr>
          <w:ilvl w:val="0"/>
          <w:numId w:val="1015"/>
        </w:numPr>
      </w:pPr>
      <w:r>
        <w:rPr>
          <w:rFonts w:hint="eastAsia"/>
          <w:b/>
          <w:bCs/>
        </w:rPr>
        <w:t xml:space="preserve">关联方向：</w:t>
      </w:r>
      <w:r>
        <w:t xml:space="preserve"> </w:t>
      </w:r>
      <w:r>
        <w:rPr>
          <w:rFonts w:hint="eastAsia"/>
        </w:rPr>
        <w:t xml:space="preserve">研学、红色文化内容服务。</w:t>
      </w:r>
    </w:p>
    <w:p>
      <w:pPr>
        <w:pStyle w:val="FirstParagraph"/>
      </w:pPr>
      <w:r>
        <w:rPr>
          <w:rFonts w:hint="eastAsia"/>
        </w:rPr>
        <w:t xml:space="preserve">各地通过入队仪式、长征故事宣讲和参观研学开展主题活动。该条以教育和价值引导为主，未披露产业政策或市场规模，A股直接影响有限。</w:t>
      </w:r>
    </w:p>
    <w:bookmarkEnd w:id="23"/>
    <w:bookmarkStart w:id="24" w:name="红星照耀中国新长征再出发网络主题宣传活动"/>
    <w:p>
      <w:pPr>
        <w:pStyle w:val="Heading3"/>
      </w:pPr>
      <w:r>
        <w:t xml:space="preserve">11.3 </w:t>
      </w:r>
      <w:r>
        <w:rPr>
          <w:rFonts w:hint="eastAsia"/>
        </w:rPr>
        <w:t xml:space="preserve">“红星照耀中国·新长征再出发”网络主题宣传活动</w:t>
      </w:r>
    </w:p>
    <w:p>
      <w:pPr>
        <w:pStyle w:val="Compact"/>
        <w:numPr>
          <w:ilvl w:val="0"/>
          <w:numId w:val="1016"/>
        </w:numPr>
      </w:pPr>
      <w:r>
        <w:rPr>
          <w:rFonts w:hint="eastAsia"/>
          <w:b/>
          <w:bCs/>
        </w:rPr>
        <w:t xml:space="preserve">信号强度：★</w:t>
      </w:r>
    </w:p>
    <w:p>
      <w:pPr>
        <w:pStyle w:val="Compact"/>
        <w:numPr>
          <w:ilvl w:val="0"/>
          <w:numId w:val="1016"/>
        </w:numPr>
      </w:pPr>
      <w:r>
        <w:rPr>
          <w:rFonts w:hint="eastAsia"/>
          <w:b/>
          <w:bCs/>
        </w:rPr>
        <w:t xml:space="preserve">A股影响：中性</w:t>
      </w:r>
    </w:p>
    <w:p>
      <w:pPr>
        <w:pStyle w:val="Compact"/>
        <w:numPr>
          <w:ilvl w:val="0"/>
          <w:numId w:val="1016"/>
        </w:numPr>
      </w:pPr>
      <w:r>
        <w:rPr>
          <w:rFonts w:hint="eastAsia"/>
          <w:b/>
          <w:bCs/>
        </w:rPr>
        <w:t xml:space="preserve">影响时效：短期事件</w:t>
      </w:r>
    </w:p>
    <w:p>
      <w:pPr>
        <w:pStyle w:val="Compact"/>
        <w:numPr>
          <w:ilvl w:val="0"/>
          <w:numId w:val="1016"/>
        </w:numPr>
      </w:pPr>
      <w:r>
        <w:rPr>
          <w:rFonts w:hint="eastAsia"/>
          <w:b/>
          <w:bCs/>
        </w:rPr>
        <w:t xml:space="preserve">关联方向：</w:t>
      </w:r>
      <w:r>
        <w:t xml:space="preserve"> </w:t>
      </w:r>
      <w:r>
        <w:rPr>
          <w:rFonts w:hint="eastAsia"/>
        </w:rPr>
        <w:t xml:space="preserve">数字内容、沉浸式展示、文旅传播。</w:t>
      </w:r>
    </w:p>
    <w:p>
      <w:pPr>
        <w:pStyle w:val="FirstParagraph"/>
      </w:pPr>
      <w:r>
        <w:rPr>
          <w:rFonts w:hint="eastAsia"/>
        </w:rPr>
        <w:t xml:space="preserve">活动采用可视化、故事化、沉浸式和互动化表达长征精神。它展示数字传播形态，但原文未披露商业项目、采购主体或金额，不宜扩展为确定性文旅订单。</w:t>
      </w:r>
    </w:p>
    <w:bookmarkEnd w:id="24"/>
    <w:bookmarkStart w:id="25" w:name="第十六届中国航展12月举行规模创新高"/>
    <w:p>
      <w:pPr>
        <w:pStyle w:val="Heading3"/>
      </w:pPr>
      <w:r>
        <w:t xml:space="preserve">11.4 </w:t>
      </w:r>
      <w:r>
        <w:rPr>
          <w:rFonts w:hint="eastAsia"/>
        </w:rPr>
        <w:t xml:space="preserve">第十六届中国航展12月举行，规模创新高</w:t>
      </w:r>
    </w:p>
    <w:p>
      <w:pPr>
        <w:pStyle w:val="Compact"/>
        <w:numPr>
          <w:ilvl w:val="0"/>
          <w:numId w:val="1017"/>
        </w:numPr>
      </w:pPr>
      <w:r>
        <w:rPr>
          <w:rFonts w:hint="eastAsia"/>
          <w:b/>
          <w:bCs/>
        </w:rPr>
        <w:t xml:space="preserve">信号强度：★★★</w:t>
      </w:r>
    </w:p>
    <w:p>
      <w:pPr>
        <w:pStyle w:val="Compact"/>
        <w:numPr>
          <w:ilvl w:val="0"/>
          <w:numId w:val="1017"/>
        </w:numPr>
      </w:pPr>
      <w:r>
        <w:rPr>
          <w:rFonts w:hint="eastAsia"/>
          <w:b/>
          <w:bCs/>
        </w:rPr>
        <w:t xml:space="preserve">A股影响：短期偏利好军工与航空航天主题</w:t>
      </w:r>
    </w:p>
    <w:p>
      <w:pPr>
        <w:pStyle w:val="Compact"/>
        <w:numPr>
          <w:ilvl w:val="0"/>
          <w:numId w:val="1017"/>
        </w:numPr>
      </w:pPr>
      <w:r>
        <w:rPr>
          <w:rFonts w:hint="eastAsia"/>
          <w:b/>
          <w:bCs/>
        </w:rPr>
        <w:t xml:space="preserve">影响时效：短期至12月事件窗口，中期看订单</w:t>
      </w:r>
    </w:p>
    <w:p>
      <w:pPr>
        <w:pStyle w:val="Compact"/>
        <w:numPr>
          <w:ilvl w:val="0"/>
          <w:numId w:val="1017"/>
        </w:numPr>
      </w:pPr>
      <w:r>
        <w:rPr>
          <w:rFonts w:hint="eastAsia"/>
          <w:b/>
          <w:bCs/>
        </w:rPr>
        <w:t xml:space="preserve">受益板块：</w:t>
      </w:r>
      <w:r>
        <w:t xml:space="preserve"> </w:t>
      </w:r>
      <w:r>
        <w:rPr>
          <w:rFonts w:hint="eastAsia"/>
        </w:rPr>
        <w:t xml:space="preserve">航空装备、航天装备、军工电子、材料与配套保障。</w:t>
      </w:r>
    </w:p>
    <w:p>
      <w:pPr>
        <w:pStyle w:val="FirstParagraph"/>
      </w:pPr>
      <w:r>
        <w:rPr>
          <w:rFonts w:hint="eastAsia"/>
        </w:rPr>
        <w:t xml:space="preserve">航展定于12月7日至13日在珠海举行，近50个国家和地区、超过1100家企业参展，参展装备超过3000件，中国空军、海军多型新型装备将集中亮相，多支中外飞行表演队参加。规模和装备展示构成明确事件催化，但展示不等于采购。真正基本面信号仍是后续型号进展、采购合同和交付节奏。</w:t>
      </w:r>
    </w:p>
    <w:bookmarkEnd w:id="25"/>
    <w:bookmarkStart w:id="26" w:name="沙特首都再遭袭能源与航运风险溢价上升"/>
    <w:p>
      <w:pPr>
        <w:pStyle w:val="Heading3"/>
      </w:pPr>
      <w:r>
        <w:t xml:space="preserve">11.5 </w:t>
      </w:r>
      <w:r>
        <w:rPr>
          <w:rFonts w:hint="eastAsia"/>
        </w:rPr>
        <w:t xml:space="preserve">沙特首都再遭袭：能源与航运风险溢价上升</w:t>
      </w:r>
    </w:p>
    <w:p>
      <w:pPr>
        <w:pStyle w:val="Compact"/>
        <w:numPr>
          <w:ilvl w:val="0"/>
          <w:numId w:val="1018"/>
        </w:numPr>
      </w:pPr>
      <w:r>
        <w:rPr>
          <w:rFonts w:hint="eastAsia"/>
          <w:b/>
          <w:bCs/>
        </w:rPr>
        <w:t xml:space="preserve">信号强度：★★</w:t>
      </w:r>
    </w:p>
    <w:p>
      <w:pPr>
        <w:pStyle w:val="Compact"/>
        <w:numPr>
          <w:ilvl w:val="0"/>
          <w:numId w:val="1018"/>
        </w:numPr>
      </w:pPr>
      <w:r>
        <w:rPr>
          <w:rFonts w:hint="eastAsia"/>
          <w:b/>
          <w:bCs/>
        </w:rPr>
        <w:t xml:space="preserve">A股影响：风险偏好偏空，油气与安全方向可能相对受益</w:t>
      </w:r>
    </w:p>
    <w:p>
      <w:pPr>
        <w:pStyle w:val="Compact"/>
        <w:numPr>
          <w:ilvl w:val="0"/>
          <w:numId w:val="1018"/>
        </w:numPr>
      </w:pPr>
      <w:r>
        <w:rPr>
          <w:rFonts w:hint="eastAsia"/>
          <w:b/>
          <w:bCs/>
        </w:rPr>
        <w:t xml:space="preserve">影响时效：短期1—3日，取决于冲突是否升级</w:t>
      </w:r>
    </w:p>
    <w:p>
      <w:pPr>
        <w:pStyle w:val="Compact"/>
        <w:numPr>
          <w:ilvl w:val="0"/>
          <w:numId w:val="1018"/>
        </w:numPr>
      </w:pPr>
      <w:r>
        <w:rPr>
          <w:rFonts w:hint="eastAsia"/>
          <w:b/>
          <w:bCs/>
        </w:rPr>
        <w:t xml:space="preserve">可能受益：</w:t>
      </w:r>
      <w:r>
        <w:t xml:space="preserve"> </w:t>
      </w:r>
      <w:r>
        <w:rPr>
          <w:rFonts w:hint="eastAsia"/>
        </w:rPr>
        <w:t xml:space="preserve">油气开采、油服、安防与防务主题。</w:t>
      </w:r>
    </w:p>
    <w:p>
      <w:pPr>
        <w:pStyle w:val="Compact"/>
        <w:numPr>
          <w:ilvl w:val="0"/>
          <w:numId w:val="1018"/>
        </w:numPr>
      </w:pPr>
      <w:r>
        <w:rPr>
          <w:rFonts w:hint="eastAsia"/>
          <w:b/>
          <w:bCs/>
        </w:rPr>
        <w:t xml:space="preserve">可能承压：</w:t>
      </w:r>
      <w:r>
        <w:t xml:space="preserve"> </w:t>
      </w:r>
      <w:r>
        <w:rPr>
          <w:rFonts w:hint="eastAsia"/>
        </w:rPr>
        <w:t xml:space="preserve">航空、机场、部分高能耗和对油价敏感行业。</w:t>
      </w:r>
    </w:p>
    <w:p>
      <w:pPr>
        <w:pStyle w:val="FirstParagraph"/>
      </w:pPr>
      <w:r>
        <w:rPr>
          <w:rFonts w:hint="eastAsia"/>
        </w:rPr>
        <w:t xml:space="preserve">原文称沙特拦截胡塞武装导弹，利雅得机场继续暂停运营，世界石油大会部分会议改为线上，胡塞警告美国勿介入。该事件的A股影响主要通过油价预期、航空运营和风险偏好传导。原文未提供原油供应中断数据，不能直接判断油价必然大涨；若冲突未扩大，主题持续性可能有限。</w:t>
      </w:r>
    </w:p>
    <w:bookmarkEnd w:id="26"/>
    <w:bookmarkStart w:id="27" w:name="欧盟新增对俄大规模制裁军工与大宗商品不确定性增加"/>
    <w:p>
      <w:pPr>
        <w:pStyle w:val="Heading3"/>
      </w:pPr>
      <w:r>
        <w:t xml:space="preserve">11.6 </w:t>
      </w:r>
      <w:r>
        <w:rPr>
          <w:rFonts w:hint="eastAsia"/>
        </w:rPr>
        <w:t xml:space="preserve">欧盟新增对俄大规模制裁：军工与大宗商品不确定性增加</w:t>
      </w:r>
    </w:p>
    <w:p>
      <w:pPr>
        <w:pStyle w:val="Compact"/>
        <w:numPr>
          <w:ilvl w:val="0"/>
          <w:numId w:val="1019"/>
        </w:numPr>
      </w:pPr>
      <w:r>
        <w:rPr>
          <w:rFonts w:hint="eastAsia"/>
          <w:b/>
          <w:bCs/>
        </w:rPr>
        <w:t xml:space="preserve">信号强度：★★</w:t>
      </w:r>
    </w:p>
    <w:p>
      <w:pPr>
        <w:pStyle w:val="Compact"/>
        <w:numPr>
          <w:ilvl w:val="0"/>
          <w:numId w:val="1019"/>
        </w:numPr>
      </w:pPr>
      <w:r>
        <w:rPr>
          <w:rFonts w:hint="eastAsia"/>
          <w:b/>
          <w:bCs/>
        </w:rPr>
        <w:t xml:space="preserve">A股影响：总体偏中性至轻度利空风险偏好</w:t>
      </w:r>
    </w:p>
    <w:p>
      <w:pPr>
        <w:pStyle w:val="Compact"/>
        <w:numPr>
          <w:ilvl w:val="0"/>
          <w:numId w:val="1019"/>
        </w:numPr>
      </w:pPr>
      <w:r>
        <w:rPr>
          <w:rFonts w:hint="eastAsia"/>
          <w:b/>
          <w:bCs/>
        </w:rPr>
        <w:t xml:space="preserve">影响时效：短期情绪、中期贸易链观察</w:t>
      </w:r>
    </w:p>
    <w:p>
      <w:pPr>
        <w:pStyle w:val="Compact"/>
        <w:numPr>
          <w:ilvl w:val="0"/>
          <w:numId w:val="1019"/>
        </w:numPr>
      </w:pPr>
      <w:r>
        <w:rPr>
          <w:rFonts w:hint="eastAsia"/>
          <w:b/>
          <w:bCs/>
        </w:rPr>
        <w:t xml:space="preserve">关联方向：</w:t>
      </w:r>
      <w:r>
        <w:t xml:space="preserve"> </w:t>
      </w:r>
      <w:r>
        <w:rPr>
          <w:rFonts w:hint="eastAsia"/>
        </w:rPr>
        <w:t xml:space="preserve">能源、大宗商品、航运、军工；对欧俄业务链需做风险筛查。</w:t>
      </w:r>
    </w:p>
    <w:p>
      <w:pPr>
        <w:pStyle w:val="FirstParagraph"/>
      </w:pPr>
      <w:r>
        <w:rPr>
          <w:rFonts w:hint="eastAsia"/>
        </w:rPr>
        <w:t xml:space="preserve">欧盟通过新增近1600名个人和实体的制裁名单，主要涉及俄罗斯军工领域，俄方称将回应。市场影响取决于反制范围以及能源和贸易链是否受扰。原文没有中国企业、商品或结算渠道被涉及的信息，因此不能推导具体A股公司受制裁。</w:t>
      </w:r>
    </w:p>
    <w:bookmarkEnd w:id="27"/>
    <w:bookmarkStart w:id="28" w:name="法国数百家超市制冷系统遭网络攻击工业控制安全出现真实损失案例"/>
    <w:p>
      <w:pPr>
        <w:pStyle w:val="Heading3"/>
      </w:pPr>
      <w:r>
        <w:t xml:space="preserve">11.7 </w:t>
      </w:r>
      <w:r>
        <w:rPr>
          <w:rFonts w:hint="eastAsia"/>
        </w:rPr>
        <w:t xml:space="preserve">法国数百家超市制冷系统遭网络攻击：工业控制安全出现真实损失案例</w:t>
      </w:r>
    </w:p>
    <w:p>
      <w:pPr>
        <w:pStyle w:val="Compact"/>
        <w:numPr>
          <w:ilvl w:val="0"/>
          <w:numId w:val="1020"/>
        </w:numPr>
      </w:pPr>
      <w:r>
        <w:rPr>
          <w:rFonts w:hint="eastAsia"/>
          <w:b/>
          <w:bCs/>
        </w:rPr>
        <w:t xml:space="preserve">信号强度：★★★</w:t>
      </w:r>
    </w:p>
    <w:p>
      <w:pPr>
        <w:pStyle w:val="Compact"/>
        <w:numPr>
          <w:ilvl w:val="0"/>
          <w:numId w:val="1020"/>
        </w:numPr>
      </w:pPr>
      <w:r>
        <w:rPr>
          <w:rFonts w:hint="eastAsia"/>
          <w:b/>
          <w:bCs/>
        </w:rPr>
        <w:t xml:space="preserve">A股影响：偏利好工业网络安全和关键基础设施防护</w:t>
      </w:r>
    </w:p>
    <w:p>
      <w:pPr>
        <w:pStyle w:val="Compact"/>
        <w:numPr>
          <w:ilvl w:val="0"/>
          <w:numId w:val="1020"/>
        </w:numPr>
      </w:pPr>
      <w:r>
        <w:rPr>
          <w:rFonts w:hint="eastAsia"/>
          <w:b/>
          <w:bCs/>
        </w:rPr>
        <w:t xml:space="preserve">影响时效：短期主题催化，中期看安全投入</w:t>
      </w:r>
    </w:p>
    <w:p>
      <w:pPr>
        <w:pStyle w:val="Compact"/>
        <w:numPr>
          <w:ilvl w:val="0"/>
          <w:numId w:val="1020"/>
        </w:numPr>
      </w:pPr>
      <w:r>
        <w:rPr>
          <w:rFonts w:hint="eastAsia"/>
          <w:b/>
          <w:bCs/>
        </w:rPr>
        <w:t xml:space="preserve">受益板块：</w:t>
      </w:r>
      <w:r>
        <w:t xml:space="preserve"> </w:t>
      </w:r>
      <w:r>
        <w:rPr>
          <w:rFonts w:hint="eastAsia"/>
        </w:rPr>
        <w:t xml:space="preserve">工业互联网安全、工控安全、终端与漏洞管理、冷链设备安全运维。</w:t>
      </w:r>
    </w:p>
    <w:p>
      <w:pPr>
        <w:pStyle w:val="FirstParagraph"/>
      </w:pPr>
      <w:r>
        <w:rPr>
          <w:rFonts w:hint="eastAsia"/>
        </w:rPr>
        <w:t xml:space="preserve">原文称法国数百家超市制冷设备温度被调高至50摄氏度，造成食品变质、部分设备起火，损失可能达数百万欧元；法国国家信息系统安全局确认相关软件存在安全漏洞。该案例表明网络风险可直接转化为物理设备和库存损失，强化工控系统分区隔离、身份权限、补丁与漏洞管理、异常监测的必要性。A股映射应以实际工控安全产品、客户和合同为准。</w:t>
      </w:r>
    </w:p>
    <w:bookmarkEnd w:id="28"/>
    <w:bookmarkEnd w:id="29"/>
    <w:bookmarkStart w:id="30" w:name="五板块影响汇总"/>
    <w:p>
      <w:pPr>
        <w:pStyle w:val="Heading2"/>
      </w:pPr>
      <w:r>
        <w:rPr>
          <w:rFonts w:hint="eastAsia"/>
        </w:rPr>
        <w:t xml:space="preserve">五、板块影响汇总</w:t>
      </w:r>
    </w:p>
    <w:tbl>
      <w:tblPr>
        <w:tblStyle w:val="Table"/>
        <w:tblW w:type="pct" w:w="5000"/>
        <w:tblLayout w:type="fixed"/>
        <w:tblLook w:firstRow="1" w:lastRow="0" w:firstColumn="0" w:lastColumn="0" w:noHBand="0" w:noVBand="0" w:val="0020"/>
      </w:tblPr>
      <w:tblGrid>
        <w:gridCol w:w="1485"/>
        <w:gridCol w:w="1485"/>
        <w:gridCol w:w="1485"/>
        <w:gridCol w:w="1980"/>
        <w:gridCol w:w="1485"/>
      </w:tblGrid>
      <w:tr>
        <w:trPr>
          <w:tblHeader w:val="on"/>
        </w:trPr>
        <w:tc>
          <w:tcPr/>
          <w:p>
            <w:pPr>
              <w:pStyle w:val="Compact"/>
            </w:pPr>
            <w:r>
              <w:rPr>
                <w:rFonts w:hint="eastAsia"/>
              </w:rPr>
              <w:t xml:space="preserve">板块</w:t>
            </w:r>
          </w:p>
        </w:tc>
        <w:tc>
          <w:tcPr/>
          <w:p>
            <w:pPr>
              <w:pStyle w:val="Compact"/>
            </w:pPr>
            <w:r>
              <w:rPr>
                <w:rFonts w:hint="eastAsia"/>
              </w:rPr>
              <w:t xml:space="preserve">影响判断</w:t>
            </w:r>
          </w:p>
        </w:tc>
        <w:tc>
          <w:tcPr/>
          <w:p>
            <w:pPr>
              <w:pStyle w:val="Compact"/>
            </w:pPr>
            <w:r>
              <w:rPr>
                <w:rFonts w:hint="eastAsia"/>
              </w:rPr>
              <w:t xml:space="preserve">驱动新闻</w:t>
            </w:r>
          </w:p>
        </w:tc>
        <w:tc>
          <w:tcPr/>
          <w:p>
            <w:pPr>
              <w:pStyle w:val="Compact"/>
              <w:jc w:val="right"/>
            </w:pPr>
            <w:r>
              <w:rPr>
                <w:rFonts w:hint="eastAsia"/>
              </w:rPr>
              <w:t xml:space="preserve">信号强度</w:t>
            </w:r>
          </w:p>
        </w:tc>
        <w:tc>
          <w:tcPr/>
          <w:p>
            <w:pPr>
              <w:pStyle w:val="Compact"/>
            </w:pPr>
            <w:r>
              <w:rPr>
                <w:rFonts w:hint="eastAsia"/>
              </w:rPr>
              <w:t xml:space="preserve">兑现条件</w:t>
            </w:r>
          </w:p>
        </w:tc>
      </w:tr>
      <w:tr>
        <w:tc>
          <w:tcPr/>
          <w:p>
            <w:pPr>
              <w:pStyle w:val="Compact"/>
            </w:pPr>
            <w:r>
              <w:rPr>
                <w:rFonts w:hint="eastAsia"/>
              </w:rPr>
              <w:t xml:space="preserve">医疗强基/医疗器械</w:t>
            </w:r>
          </w:p>
        </w:tc>
        <w:tc>
          <w:tcPr/>
          <w:p>
            <w:pPr>
              <w:pStyle w:val="Compact"/>
            </w:pPr>
            <w:r>
              <w:rPr>
                <w:rFonts w:hint="eastAsia"/>
              </w:rPr>
              <w:t xml:space="preserve">中长期利好</w:t>
            </w:r>
          </w:p>
        </w:tc>
        <w:tc>
          <w:tcPr/>
          <w:p>
            <w:pPr>
              <w:pStyle w:val="Compact"/>
            </w:pPr>
            <w:r>
              <w:rPr>
                <w:rFonts w:hint="eastAsia"/>
              </w:rPr>
              <w:t xml:space="preserve">全国卫生与健康大会</w:t>
            </w:r>
          </w:p>
        </w:tc>
        <w:tc>
          <w:tcPr/>
          <w:p>
            <w:pPr>
              <w:pStyle w:val="Compact"/>
              <w:jc w:val="right"/>
            </w:pPr>
            <w:r>
              <w:t xml:space="preserve">★★★★★</w:t>
            </w:r>
          </w:p>
        </w:tc>
        <w:tc>
          <w:tcPr/>
          <w:p>
            <w:pPr>
              <w:pStyle w:val="Compact"/>
            </w:pPr>
            <w:r>
              <w:rPr>
                <w:rFonts w:hint="eastAsia"/>
              </w:rPr>
              <w:t xml:space="preserve">专项规划、基层项目、采购与财政安排</w:t>
            </w:r>
          </w:p>
        </w:tc>
      </w:tr>
      <w:tr>
        <w:tc>
          <w:tcPr/>
          <w:p>
            <w:pPr>
              <w:pStyle w:val="Compact"/>
            </w:pPr>
            <w:r>
              <w:rPr>
                <w:rFonts w:hint="eastAsia"/>
              </w:rPr>
              <w:t xml:space="preserve">创新药/医药研发</w:t>
            </w:r>
          </w:p>
        </w:tc>
        <w:tc>
          <w:tcPr/>
          <w:p>
            <w:pPr>
              <w:pStyle w:val="Compact"/>
            </w:pPr>
            <w:r>
              <w:rPr>
                <w:rFonts w:hint="eastAsia"/>
              </w:rPr>
              <w:t xml:space="preserve">结构性利好</w:t>
            </w:r>
          </w:p>
        </w:tc>
        <w:tc>
          <w:tcPr/>
          <w:p>
            <w:pPr>
              <w:pStyle w:val="Compact"/>
            </w:pPr>
            <w:r>
              <w:rPr>
                <w:rFonts w:hint="eastAsia"/>
              </w:rPr>
              <w:t xml:space="preserve">基础研究、原始创新、成果转化</w:t>
            </w:r>
          </w:p>
        </w:tc>
        <w:tc>
          <w:tcPr/>
          <w:p>
            <w:pPr>
              <w:pStyle w:val="Compact"/>
              <w:jc w:val="right"/>
            </w:pPr>
            <w:r>
              <w:t xml:space="preserve">★★★★★</w:t>
            </w:r>
          </w:p>
        </w:tc>
        <w:tc>
          <w:tcPr/>
          <w:p>
            <w:pPr>
              <w:pStyle w:val="Compact"/>
            </w:pPr>
            <w:r>
              <w:rPr>
                <w:rFonts w:hint="eastAsia"/>
              </w:rPr>
              <w:t xml:space="preserve">临床价值、审批、支付与商业化</w:t>
            </w:r>
          </w:p>
        </w:tc>
      </w:tr>
      <w:tr>
        <w:tc>
          <w:tcPr/>
          <w:p>
            <w:pPr>
              <w:pStyle w:val="Compact"/>
            </w:pPr>
            <w:r>
              <w:rPr>
                <w:rFonts w:hint="eastAsia"/>
              </w:rPr>
              <w:t xml:space="preserve">医疗信息化/慢病管理</w:t>
            </w:r>
          </w:p>
        </w:tc>
        <w:tc>
          <w:tcPr/>
          <w:p>
            <w:pPr>
              <w:pStyle w:val="Compact"/>
            </w:pPr>
            <w:r>
              <w:rPr>
                <w:rFonts w:hint="eastAsia"/>
              </w:rPr>
              <w:t xml:space="preserve">利好</w:t>
            </w:r>
          </w:p>
        </w:tc>
        <w:tc>
          <w:tcPr/>
          <w:p>
            <w:pPr>
              <w:pStyle w:val="Compact"/>
            </w:pPr>
            <w:r>
              <w:rPr>
                <w:rFonts w:hint="eastAsia"/>
              </w:rPr>
              <w:t xml:space="preserve">分级诊疗、防治康管全链条</w:t>
            </w:r>
          </w:p>
        </w:tc>
        <w:tc>
          <w:tcPr/>
          <w:p>
            <w:pPr>
              <w:pStyle w:val="Compact"/>
              <w:jc w:val="right"/>
            </w:pPr>
            <w:r>
              <w:t xml:space="preserve">★★★★</w:t>
            </w:r>
          </w:p>
        </w:tc>
        <w:tc>
          <w:tcPr/>
          <w:p>
            <w:pPr>
              <w:pStyle w:val="Compact"/>
            </w:pPr>
            <w:r>
              <w:rPr>
                <w:rFonts w:hint="eastAsia"/>
              </w:rPr>
              <w:t xml:space="preserve">医院和基层系统订单、支付模式</w:t>
            </w:r>
          </w:p>
        </w:tc>
      </w:tr>
      <w:tr>
        <w:tc>
          <w:tcPr/>
          <w:p>
            <w:pPr>
              <w:pStyle w:val="Compact"/>
            </w:pPr>
            <w:r>
              <w:rPr>
                <w:rFonts w:hint="eastAsia"/>
              </w:rPr>
              <w:t xml:space="preserve">中医药</w:t>
            </w:r>
          </w:p>
        </w:tc>
        <w:tc>
          <w:tcPr/>
          <w:p>
            <w:pPr>
              <w:pStyle w:val="Compact"/>
            </w:pPr>
            <w:r>
              <w:rPr>
                <w:rFonts w:hint="eastAsia"/>
              </w:rPr>
              <w:t xml:space="preserve">中长期利好</w:t>
            </w:r>
          </w:p>
        </w:tc>
        <w:tc>
          <w:tcPr/>
          <w:p>
            <w:pPr>
              <w:pStyle w:val="Compact"/>
            </w:pPr>
            <w:r>
              <w:rPr>
                <w:rFonts w:hint="eastAsia"/>
              </w:rPr>
              <w:t xml:space="preserve">传承创新、中西医协同</w:t>
            </w:r>
          </w:p>
        </w:tc>
        <w:tc>
          <w:tcPr/>
          <w:p>
            <w:pPr>
              <w:pStyle w:val="Compact"/>
              <w:jc w:val="right"/>
            </w:pPr>
            <w:r>
              <w:t xml:space="preserve">★★★★</w:t>
            </w:r>
          </w:p>
        </w:tc>
        <w:tc>
          <w:tcPr/>
          <w:p>
            <w:pPr>
              <w:pStyle w:val="Compact"/>
            </w:pPr>
            <w:r>
              <w:rPr>
                <w:rFonts w:hint="eastAsia"/>
              </w:rPr>
              <w:t xml:space="preserve">细则、产品质量与真实需求</w:t>
            </w:r>
          </w:p>
        </w:tc>
      </w:tr>
      <w:tr>
        <w:tc>
          <w:tcPr/>
          <w:p>
            <w:pPr>
              <w:pStyle w:val="Compact"/>
            </w:pPr>
            <w:r>
              <w:rPr>
                <w:rFonts w:hint="eastAsia"/>
              </w:rPr>
              <w:t xml:space="preserve">医保与药耗材</w:t>
            </w:r>
          </w:p>
        </w:tc>
        <w:tc>
          <w:tcPr/>
          <w:p>
            <w:pPr>
              <w:pStyle w:val="Compact"/>
            </w:pPr>
            <w:r>
              <w:rPr>
                <w:rFonts w:hint="eastAsia"/>
              </w:rPr>
              <w:t xml:space="preserve">明显分化</w:t>
            </w:r>
          </w:p>
        </w:tc>
        <w:tc>
          <w:tcPr/>
          <w:p>
            <w:pPr>
              <w:pStyle w:val="Compact"/>
            </w:pPr>
            <w:r>
              <w:rPr>
                <w:rFonts w:hint="eastAsia"/>
              </w:rPr>
              <w:t xml:space="preserve">集采、医保支付、基金安全</w:t>
            </w:r>
          </w:p>
        </w:tc>
        <w:tc>
          <w:tcPr/>
          <w:p>
            <w:pPr>
              <w:pStyle w:val="Compact"/>
              <w:jc w:val="right"/>
            </w:pPr>
            <w:r>
              <w:t xml:space="preserve">★★★★</w:t>
            </w:r>
          </w:p>
        </w:tc>
        <w:tc>
          <w:tcPr/>
          <w:p>
            <w:pPr>
              <w:pStyle w:val="Compact"/>
            </w:pPr>
            <w:r>
              <w:rPr>
                <w:rFonts w:hint="eastAsia"/>
              </w:rPr>
              <w:t xml:space="preserve">规则优化；低效高价供给承压</w:t>
            </w:r>
          </w:p>
        </w:tc>
      </w:tr>
      <w:tr>
        <w:tc>
          <w:tcPr/>
          <w:p>
            <w:pPr>
              <w:pStyle w:val="Compact"/>
            </w:pPr>
            <w:r>
              <w:rPr>
                <w:rFonts w:hint="eastAsia"/>
              </w:rPr>
              <w:t xml:space="preserve">中非绿色矿产/矿山服务</w:t>
            </w:r>
          </w:p>
        </w:tc>
        <w:tc>
          <w:tcPr/>
          <w:p>
            <w:pPr>
              <w:pStyle w:val="Compact"/>
            </w:pPr>
            <w:r>
              <w:rPr>
                <w:rFonts w:hint="eastAsia"/>
              </w:rPr>
              <w:t xml:space="preserve">结构性利好</w:t>
            </w:r>
          </w:p>
        </w:tc>
        <w:tc>
          <w:tcPr/>
          <w:p>
            <w:pPr>
              <w:pStyle w:val="Compact"/>
            </w:pPr>
            <w:r>
              <w:rPr>
                <w:rFonts w:hint="eastAsia"/>
              </w:rPr>
              <w:t xml:space="preserve">中博绿色矿产与产业增值合作</w:t>
            </w:r>
          </w:p>
        </w:tc>
        <w:tc>
          <w:tcPr/>
          <w:p>
            <w:pPr>
              <w:pStyle w:val="Compact"/>
              <w:jc w:val="right"/>
            </w:pPr>
            <w:r>
              <w:t xml:space="preserve">★★★★</w:t>
            </w:r>
          </w:p>
        </w:tc>
        <w:tc>
          <w:tcPr/>
          <w:p>
            <w:pPr>
              <w:pStyle w:val="Compact"/>
            </w:pPr>
            <w:r>
              <w:rPr>
                <w:rFonts w:hint="eastAsia"/>
              </w:rPr>
              <w:t xml:space="preserve">项目、融资、合同和回款</w:t>
            </w:r>
          </w:p>
        </w:tc>
      </w:tr>
      <w:tr>
        <w:tc>
          <w:tcPr/>
          <w:p>
            <w:pPr>
              <w:pStyle w:val="Compact"/>
            </w:pPr>
            <w:r>
              <w:rPr>
                <w:rFonts w:hint="eastAsia"/>
              </w:rPr>
              <w:t xml:space="preserve">对非贸易/物流/跨境支付</w:t>
            </w:r>
          </w:p>
        </w:tc>
        <w:tc>
          <w:tcPr/>
          <w:p>
            <w:pPr>
              <w:pStyle w:val="Compact"/>
            </w:pPr>
            <w:r>
              <w:rPr>
                <w:rFonts w:hint="eastAsia"/>
              </w:rPr>
              <w:t xml:space="preserve">利好</w:t>
            </w:r>
          </w:p>
        </w:tc>
        <w:tc>
          <w:tcPr/>
          <w:p>
            <w:pPr>
              <w:pStyle w:val="Compact"/>
            </w:pPr>
            <w:r>
              <w:rPr>
                <w:rFonts w:hint="eastAsia"/>
              </w:rPr>
              <w:t xml:space="preserve">零关税、绿色通道、人民币跨境使用</w:t>
            </w:r>
          </w:p>
        </w:tc>
        <w:tc>
          <w:tcPr/>
          <w:p>
            <w:pPr>
              <w:pStyle w:val="Compact"/>
              <w:jc w:val="right"/>
            </w:pPr>
            <w:r>
              <w:t xml:space="preserve">★★★★</w:t>
            </w:r>
          </w:p>
        </w:tc>
        <w:tc>
          <w:tcPr/>
          <w:p>
            <w:pPr>
              <w:pStyle w:val="Compact"/>
            </w:pPr>
            <w:r>
              <w:rPr>
                <w:rFonts w:hint="eastAsia"/>
              </w:rPr>
              <w:t xml:space="preserve">贸易量、结算量和企业公告</w:t>
            </w:r>
          </w:p>
        </w:tc>
      </w:tr>
      <w:tr>
        <w:tc>
          <w:tcPr/>
          <w:p>
            <w:pPr>
              <w:pStyle w:val="Compact"/>
            </w:pPr>
            <w:r>
              <w:rPr>
                <w:rFonts w:hint="eastAsia"/>
              </w:rPr>
              <w:t xml:space="preserve">AI会展/出海服务</w:t>
            </w:r>
          </w:p>
        </w:tc>
        <w:tc>
          <w:tcPr/>
          <w:p>
            <w:pPr>
              <w:pStyle w:val="Compact"/>
            </w:pPr>
            <w:r>
              <w:rPr>
                <w:rFonts w:hint="eastAsia"/>
              </w:rPr>
              <w:t xml:space="preserve">主题利好</w:t>
            </w:r>
          </w:p>
        </w:tc>
        <w:tc>
          <w:tcPr/>
          <w:p>
            <w:pPr>
              <w:pStyle w:val="Compact"/>
            </w:pPr>
            <w:r>
              <w:rPr>
                <w:rFonts w:hint="eastAsia"/>
              </w:rPr>
              <w:t xml:space="preserve">广交会智慧应用与生产性服务</w:t>
            </w:r>
          </w:p>
        </w:tc>
        <w:tc>
          <w:tcPr/>
          <w:p>
            <w:pPr>
              <w:pStyle w:val="Compact"/>
              <w:jc w:val="right"/>
            </w:pPr>
            <w:r>
              <w:t xml:space="preserve">★★★</w:t>
            </w:r>
          </w:p>
        </w:tc>
        <w:tc>
          <w:tcPr/>
          <w:p>
            <w:pPr>
              <w:pStyle w:val="Compact"/>
            </w:pPr>
            <w:r>
              <w:rPr>
                <w:rFonts w:hint="eastAsia"/>
              </w:rPr>
              <w:t xml:space="preserve">服务商订单、成交和出口数据</w:t>
            </w:r>
          </w:p>
        </w:tc>
      </w:tr>
      <w:tr>
        <w:tc>
          <w:tcPr/>
          <w:p>
            <w:pPr>
              <w:pStyle w:val="Compact"/>
            </w:pPr>
            <w:r>
              <w:rPr>
                <w:rFonts w:hint="eastAsia"/>
              </w:rPr>
              <w:t xml:space="preserve">航空航天/军工</w:t>
            </w:r>
          </w:p>
        </w:tc>
        <w:tc>
          <w:tcPr/>
          <w:p>
            <w:pPr>
              <w:pStyle w:val="Compact"/>
            </w:pPr>
            <w:r>
              <w:rPr>
                <w:rFonts w:hint="eastAsia"/>
              </w:rPr>
              <w:t xml:space="preserve">事件利好</w:t>
            </w:r>
          </w:p>
        </w:tc>
        <w:tc>
          <w:tcPr/>
          <w:p>
            <w:pPr>
              <w:pStyle w:val="Compact"/>
            </w:pPr>
            <w:r>
              <w:rPr>
                <w:rFonts w:hint="eastAsia"/>
              </w:rPr>
              <w:t xml:space="preserve">第十六届中国航展</w:t>
            </w:r>
          </w:p>
        </w:tc>
        <w:tc>
          <w:tcPr/>
          <w:p>
            <w:pPr>
              <w:pStyle w:val="Compact"/>
              <w:jc w:val="right"/>
            </w:pPr>
            <w:r>
              <w:t xml:space="preserve">★★★</w:t>
            </w:r>
          </w:p>
        </w:tc>
        <w:tc>
          <w:tcPr/>
          <w:p>
            <w:pPr>
              <w:pStyle w:val="Compact"/>
            </w:pPr>
            <w:r>
              <w:rPr>
                <w:rFonts w:hint="eastAsia"/>
              </w:rPr>
              <w:t xml:space="preserve">型号进展、采购与交付</w:t>
            </w:r>
          </w:p>
        </w:tc>
      </w:tr>
      <w:tr>
        <w:tc>
          <w:tcPr/>
          <w:p>
            <w:pPr>
              <w:pStyle w:val="Compact"/>
            </w:pPr>
            <w:r>
              <w:rPr>
                <w:rFonts w:hint="eastAsia"/>
              </w:rPr>
              <w:t xml:space="preserve">气象监测/防灾减灾</w:t>
            </w:r>
          </w:p>
        </w:tc>
        <w:tc>
          <w:tcPr/>
          <w:p>
            <w:pPr>
              <w:pStyle w:val="Compact"/>
            </w:pPr>
            <w:r>
              <w:rPr>
                <w:rFonts w:hint="eastAsia"/>
              </w:rPr>
              <w:t xml:space="preserve">中性偏利好</w:t>
            </w:r>
          </w:p>
        </w:tc>
        <w:tc>
          <w:tcPr/>
          <w:p>
            <w:pPr>
              <w:pStyle w:val="Compact"/>
            </w:pPr>
            <w:r>
              <w:rPr>
                <w:rFonts w:hint="eastAsia"/>
              </w:rPr>
              <w:t xml:space="preserve">气象代表记者见面会</w:t>
            </w:r>
          </w:p>
        </w:tc>
        <w:tc>
          <w:tcPr/>
          <w:p>
            <w:pPr>
              <w:pStyle w:val="Compact"/>
              <w:jc w:val="right"/>
            </w:pPr>
            <w:r>
              <w:t xml:space="preserve">★★</w:t>
            </w:r>
          </w:p>
        </w:tc>
        <w:tc>
          <w:tcPr/>
          <w:p>
            <w:pPr>
              <w:pStyle w:val="Compact"/>
            </w:pPr>
            <w:r>
              <w:rPr>
                <w:rFonts w:hint="eastAsia"/>
              </w:rPr>
              <w:t xml:space="preserve">预算、设备更新与系统项目</w:t>
            </w:r>
          </w:p>
        </w:tc>
      </w:tr>
      <w:tr>
        <w:tc>
          <w:tcPr/>
          <w:p>
            <w:pPr>
              <w:pStyle w:val="Compact"/>
            </w:pPr>
            <w:r>
              <w:rPr>
                <w:rFonts w:hint="eastAsia"/>
              </w:rPr>
              <w:t xml:space="preserve">网络安全/工控安全</w:t>
            </w:r>
          </w:p>
        </w:tc>
        <w:tc>
          <w:tcPr/>
          <w:p>
            <w:pPr>
              <w:pStyle w:val="Compact"/>
            </w:pPr>
            <w:r>
              <w:rPr>
                <w:rFonts w:hint="eastAsia"/>
              </w:rPr>
              <w:t xml:space="preserve">主题利好</w:t>
            </w:r>
          </w:p>
        </w:tc>
        <w:tc>
          <w:tcPr/>
          <w:p>
            <w:pPr>
              <w:pStyle w:val="Compact"/>
            </w:pPr>
            <w:r>
              <w:rPr>
                <w:rFonts w:hint="eastAsia"/>
              </w:rPr>
              <w:t xml:space="preserve">法国超市制冷系统网络攻击</w:t>
            </w:r>
          </w:p>
        </w:tc>
        <w:tc>
          <w:tcPr/>
          <w:p>
            <w:pPr>
              <w:pStyle w:val="Compact"/>
              <w:jc w:val="right"/>
            </w:pPr>
            <w:r>
              <w:t xml:space="preserve">★★★</w:t>
            </w:r>
          </w:p>
        </w:tc>
        <w:tc>
          <w:tcPr/>
          <w:p>
            <w:pPr>
              <w:pStyle w:val="Compact"/>
            </w:pPr>
            <w:r>
              <w:rPr>
                <w:rFonts w:hint="eastAsia"/>
              </w:rPr>
              <w:t xml:space="preserve">国内安全建设和企业订单</w:t>
            </w:r>
          </w:p>
        </w:tc>
      </w:tr>
      <w:tr>
        <w:tc>
          <w:tcPr/>
          <w:p>
            <w:pPr>
              <w:pStyle w:val="Compact"/>
            </w:pPr>
            <w:r>
              <w:rPr>
                <w:rFonts w:hint="eastAsia"/>
              </w:rPr>
              <w:t xml:space="preserve">油气/油服</w:t>
            </w:r>
          </w:p>
        </w:tc>
        <w:tc>
          <w:tcPr/>
          <w:p>
            <w:pPr>
              <w:pStyle w:val="Compact"/>
            </w:pPr>
            <w:r>
              <w:rPr>
                <w:rFonts w:hint="eastAsia"/>
              </w:rPr>
              <w:t xml:space="preserve">短期可能受益</w:t>
            </w:r>
          </w:p>
        </w:tc>
        <w:tc>
          <w:tcPr/>
          <w:p>
            <w:pPr>
              <w:pStyle w:val="Compact"/>
            </w:pPr>
            <w:r>
              <w:rPr>
                <w:rFonts w:hint="eastAsia"/>
              </w:rPr>
              <w:t xml:space="preserve">沙特遭袭与地区冲突</w:t>
            </w:r>
          </w:p>
        </w:tc>
        <w:tc>
          <w:tcPr/>
          <w:p>
            <w:pPr>
              <w:pStyle w:val="Compact"/>
              <w:jc w:val="right"/>
            </w:pPr>
            <w:r>
              <w:t xml:space="preserve">★★</w:t>
            </w:r>
          </w:p>
        </w:tc>
        <w:tc>
          <w:tcPr/>
          <w:p>
            <w:pPr>
              <w:pStyle w:val="Compact"/>
            </w:pPr>
            <w:r>
              <w:rPr>
                <w:rFonts w:hint="eastAsia"/>
              </w:rPr>
              <w:t xml:space="preserve">冲突升级、供应扰动与油价</w:t>
            </w:r>
          </w:p>
        </w:tc>
      </w:tr>
      <w:tr>
        <w:tc>
          <w:tcPr/>
          <w:p>
            <w:pPr>
              <w:pStyle w:val="Compact"/>
            </w:pPr>
            <w:r>
              <w:rPr>
                <w:rFonts w:hint="eastAsia"/>
              </w:rPr>
              <w:t xml:space="preserve">航空机场/高耗能</w:t>
            </w:r>
          </w:p>
        </w:tc>
        <w:tc>
          <w:tcPr/>
          <w:p>
            <w:pPr>
              <w:pStyle w:val="Compact"/>
            </w:pPr>
            <w:r>
              <w:rPr>
                <w:rFonts w:hint="eastAsia"/>
              </w:rPr>
              <w:t xml:space="preserve">短期可能承压</w:t>
            </w:r>
          </w:p>
        </w:tc>
        <w:tc>
          <w:tcPr/>
          <w:p>
            <w:pPr>
              <w:pStyle w:val="Compact"/>
            </w:pPr>
            <w:r>
              <w:rPr>
                <w:rFonts w:hint="eastAsia"/>
              </w:rPr>
              <w:t xml:space="preserve">沙特机场停运、能源风险</w:t>
            </w:r>
          </w:p>
        </w:tc>
        <w:tc>
          <w:tcPr/>
          <w:p>
            <w:pPr>
              <w:pStyle w:val="Compact"/>
              <w:jc w:val="right"/>
            </w:pPr>
            <w:r>
              <w:t xml:space="preserve">★★</w:t>
            </w:r>
          </w:p>
        </w:tc>
        <w:tc>
          <w:tcPr/>
          <w:p>
            <w:pPr>
              <w:pStyle w:val="Compact"/>
            </w:pPr>
            <w:r>
              <w:rPr>
                <w:rFonts w:hint="eastAsia"/>
              </w:rPr>
              <w:t xml:space="preserve">油价和航线扰动持续性</w:t>
            </w:r>
          </w:p>
        </w:tc>
      </w:tr>
    </w:tbl>
    <w:bookmarkEnd w:id="30"/>
    <w:bookmarkStart w:id="34" w:name="六操作框架"/>
    <w:p>
      <w:pPr>
        <w:pStyle w:val="Heading2"/>
      </w:pPr>
      <w:r>
        <w:rPr>
          <w:rFonts w:hint="eastAsia"/>
        </w:rPr>
        <w:t xml:space="preserve">六、操作框架</w:t>
      </w:r>
    </w:p>
    <w:bookmarkStart w:id="31" w:name="短线方向"/>
    <w:p>
      <w:pPr>
        <w:pStyle w:val="Heading3"/>
      </w:pPr>
      <w:r>
        <w:rPr>
          <w:rFonts w:hint="eastAsia"/>
        </w:rPr>
        <w:t xml:space="preserve">短线方向</w:t>
      </w:r>
    </w:p>
    <w:p>
      <w:pPr>
        <w:pStyle w:val="Compact"/>
        <w:numPr>
          <w:ilvl w:val="0"/>
          <w:numId w:val="1021"/>
        </w:numPr>
      </w:pPr>
      <w:r>
        <w:rPr>
          <w:rFonts w:hint="eastAsia"/>
          <w:b/>
          <w:bCs/>
        </w:rPr>
        <w:t xml:space="preserve">第一优先：健康中国。</w:t>
      </w:r>
      <w:r>
        <w:t xml:space="preserve"> </w:t>
      </w:r>
      <w:r>
        <w:rPr>
          <w:rFonts w:hint="eastAsia"/>
        </w:rPr>
        <w:t xml:space="preserve">观察医疗器械、医疗信息化、创新药、中医药和慢病管理是否出现板块共振；不追逐仅靠名称映射、无业务和订单支撑的标的。</w:t>
      </w:r>
    </w:p>
    <w:p>
      <w:pPr>
        <w:pStyle w:val="Compact"/>
        <w:numPr>
          <w:ilvl w:val="0"/>
          <w:numId w:val="1021"/>
        </w:numPr>
      </w:pPr>
      <w:r>
        <w:rPr>
          <w:rFonts w:hint="eastAsia"/>
          <w:b/>
          <w:bCs/>
        </w:rPr>
        <w:t xml:space="preserve">第二优先：航展与工控安全。</w:t>
      </w:r>
      <w:r>
        <w:t xml:space="preserve"> </w:t>
      </w:r>
      <w:r>
        <w:rPr>
          <w:rFonts w:hint="eastAsia"/>
        </w:rPr>
        <w:t xml:space="preserve">航展有明确日期和规模，网络攻击有真实损失场景，适合作为事件型主题跟踪，但必须设置热度退潮和证伪条件。</w:t>
      </w:r>
    </w:p>
    <w:p>
      <w:pPr>
        <w:pStyle w:val="Compact"/>
        <w:numPr>
          <w:ilvl w:val="0"/>
          <w:numId w:val="1021"/>
        </w:numPr>
      </w:pPr>
      <w:r>
        <w:rPr>
          <w:rFonts w:hint="eastAsia"/>
          <w:b/>
          <w:bCs/>
        </w:rPr>
        <w:t xml:space="preserve">第三优先：中非合作与出海服务。</w:t>
      </w:r>
      <w:r>
        <w:t xml:space="preserve"> </w:t>
      </w:r>
      <w:r>
        <w:rPr>
          <w:rFonts w:hint="eastAsia"/>
        </w:rPr>
        <w:t xml:space="preserve">只关注已有海外收入、项目执行和回款能力的方向，避免把合作意向直接折算为利润。</w:t>
      </w:r>
    </w:p>
    <w:bookmarkEnd w:id="31"/>
    <w:bookmarkStart w:id="32" w:name="中线布局"/>
    <w:p>
      <w:pPr>
        <w:pStyle w:val="Heading3"/>
      </w:pPr>
      <w:r>
        <w:rPr>
          <w:rFonts w:hint="eastAsia"/>
        </w:rPr>
        <w:t xml:space="preserve">中线布局</w:t>
      </w:r>
    </w:p>
    <w:p>
      <w:pPr>
        <w:pStyle w:val="Compact"/>
        <w:numPr>
          <w:ilvl w:val="0"/>
          <w:numId w:val="1022"/>
        </w:numPr>
      </w:pPr>
      <w:r>
        <w:rPr>
          <w:rFonts w:hint="eastAsia"/>
        </w:rPr>
        <w:t xml:space="preserve">医疗强基、分级诊疗、疾病防控、慢病全链条和医药创新具备最高政策持续性。</w:t>
      </w:r>
    </w:p>
    <w:p>
      <w:pPr>
        <w:pStyle w:val="Compact"/>
        <w:numPr>
          <w:ilvl w:val="0"/>
          <w:numId w:val="1022"/>
        </w:numPr>
      </w:pPr>
      <w:r>
        <w:rPr>
          <w:rFonts w:hint="eastAsia"/>
        </w:rPr>
        <w:t xml:space="preserve">绿色矿产、数字经济、跨境人民币和对非物流属于长期开放合作方向，但海外经营质量比主题标签更重要。</w:t>
      </w:r>
    </w:p>
    <w:p>
      <w:pPr>
        <w:pStyle w:val="Compact"/>
        <w:numPr>
          <w:ilvl w:val="0"/>
          <w:numId w:val="1022"/>
        </w:numPr>
      </w:pPr>
      <w:r>
        <w:rPr>
          <w:rFonts w:hint="eastAsia"/>
        </w:rPr>
        <w:t xml:space="preserve">医保改革必须双向理解：它既改善支付效率和行业生态，也会压缩低价值、高价格、同质化供给。</w:t>
      </w:r>
    </w:p>
    <w:bookmarkEnd w:id="32"/>
    <w:bookmarkStart w:id="33" w:name="风险与证伪"/>
    <w:p>
      <w:pPr>
        <w:pStyle w:val="Heading3"/>
      </w:pPr>
      <w:r>
        <w:rPr>
          <w:rFonts w:hint="eastAsia"/>
        </w:rPr>
        <w:t xml:space="preserve">风险与证伪</w:t>
      </w:r>
    </w:p>
    <w:p>
      <w:pPr>
        <w:pStyle w:val="Compact"/>
        <w:numPr>
          <w:ilvl w:val="0"/>
          <w:numId w:val="1023"/>
        </w:numPr>
      </w:pPr>
      <w:r>
        <w:rPr>
          <w:rFonts w:hint="eastAsia"/>
          <w:b/>
          <w:bCs/>
        </w:rPr>
        <w:t xml:space="preserve">政策落地风险：</w:t>
      </w:r>
      <w:r>
        <w:t xml:space="preserve"> </w:t>
      </w:r>
      <w:r>
        <w:rPr>
          <w:rFonts w:hint="eastAsia"/>
        </w:rPr>
        <w:t xml:space="preserve">没有专项规划、预算、采购或支付细则时，顶层定调不等于当期利润。</w:t>
      </w:r>
    </w:p>
    <w:p>
      <w:pPr>
        <w:pStyle w:val="Compact"/>
        <w:numPr>
          <w:ilvl w:val="0"/>
          <w:numId w:val="1023"/>
        </w:numPr>
      </w:pPr>
      <w:r>
        <w:rPr>
          <w:rFonts w:hint="eastAsia"/>
          <w:b/>
          <w:bCs/>
        </w:rPr>
        <w:t xml:space="preserve">交易拥挤风险：</w:t>
      </w:r>
      <w:r>
        <w:t xml:space="preserve"> </w:t>
      </w:r>
      <w:r>
        <w:rPr>
          <w:rFonts w:hint="eastAsia"/>
        </w:rPr>
        <w:t xml:space="preserve">医疗、军工和网络安全若高开后量价背离，事件催化可能快速兑现。</w:t>
      </w:r>
    </w:p>
    <w:p>
      <w:pPr>
        <w:pStyle w:val="Compact"/>
        <w:numPr>
          <w:ilvl w:val="0"/>
          <w:numId w:val="1023"/>
        </w:numPr>
      </w:pPr>
      <w:r>
        <w:rPr>
          <w:rFonts w:hint="eastAsia"/>
          <w:b/>
          <w:bCs/>
        </w:rPr>
        <w:t xml:space="preserve">海外经营风险：</w:t>
      </w:r>
      <w:r>
        <w:t xml:space="preserve"> </w:t>
      </w:r>
      <w:r>
        <w:rPr>
          <w:rFonts w:hint="eastAsia"/>
        </w:rPr>
        <w:t xml:space="preserve">中非合作涉及汇率、融资、当地政策、建设周期和回款；原文未披露具体企业订单。</w:t>
      </w:r>
    </w:p>
    <w:p>
      <w:pPr>
        <w:pStyle w:val="Compact"/>
        <w:numPr>
          <w:ilvl w:val="0"/>
          <w:numId w:val="1023"/>
        </w:numPr>
      </w:pPr>
      <w:r>
        <w:rPr>
          <w:rFonts w:hint="eastAsia"/>
          <w:b/>
          <w:bCs/>
        </w:rPr>
        <w:t xml:space="preserve">地缘风险：</w:t>
      </w:r>
      <w:r>
        <w:t xml:space="preserve"> </w:t>
      </w:r>
      <w:r>
        <w:rPr>
          <w:rFonts w:hint="eastAsia"/>
        </w:rPr>
        <w:t xml:space="preserve">中东冲突和欧俄制裁可能推升能源、航运和风险溢价，也可能压制成长板块估值。</w:t>
      </w:r>
    </w:p>
    <w:p>
      <w:pPr>
        <w:pStyle w:val="Compact"/>
        <w:numPr>
          <w:ilvl w:val="0"/>
          <w:numId w:val="1023"/>
        </w:numPr>
      </w:pPr>
      <w:r>
        <w:rPr>
          <w:rFonts w:hint="eastAsia"/>
          <w:b/>
          <w:bCs/>
        </w:rPr>
        <w:t xml:space="preserve">信息边界：</w:t>
      </w:r>
      <w:r>
        <w:t xml:space="preserve"> </w:t>
      </w:r>
      <w:r>
        <w:rPr>
          <w:rFonts w:hint="eastAsia"/>
        </w:rPr>
        <w:t xml:space="preserve">本文没有引入行情、资金流、估值、公司公告或外部新闻，执行前需另行核验市场数据。</w:t>
      </w:r>
    </w:p>
    <w:bookmarkEnd w:id="33"/>
    <w:bookmarkEnd w:id="34"/>
    <w:bookmarkStart w:id="35" w:name="七事实核验与覆盖清单"/>
    <w:p>
      <w:pPr>
        <w:pStyle w:val="Heading2"/>
      </w:pPr>
      <w:r>
        <w:rPr>
          <w:rFonts w:hint="eastAsia"/>
        </w:rPr>
        <w:t xml:space="preserve">七、事实核验与覆盖清单</w:t>
      </w:r>
    </w:p>
    <w:p>
      <w:pPr>
        <w:pStyle w:val="Compact"/>
        <w:numPr>
          <w:ilvl w:val="0"/>
          <w:numId w:val="1024"/>
        </w:numPr>
      </w:pPr>
      <w:r>
        <w:rPr>
          <w:rFonts w:hint="eastAsia"/>
        </w:rPr>
        <w:t xml:space="preserve">已覆盖原文全部11个一级条目。</w:t>
      </w:r>
    </w:p>
    <w:p>
      <w:pPr>
        <w:pStyle w:val="Compact"/>
        <w:numPr>
          <w:ilvl w:val="0"/>
          <w:numId w:val="1024"/>
        </w:numPr>
      </w:pPr>
      <w:r>
        <w:rPr>
          <w:rFonts w:hint="eastAsia"/>
        </w:rPr>
        <w:t xml:space="preserve">已将“联播快讯”中的7个分项逐项展开：烈士纪念设施办法、少先队主题活动、网络主题宣传、珠海航展、沙特遭袭、欧盟对俄制裁、法国超市制冷系统网络攻击。</w:t>
      </w:r>
    </w:p>
    <w:p>
      <w:pPr>
        <w:pStyle w:val="Compact"/>
        <w:numPr>
          <w:ilvl w:val="0"/>
          <w:numId w:val="1024"/>
        </w:numPr>
      </w:pPr>
      <w:r>
        <w:rPr>
          <w:rFonts w:hint="eastAsia"/>
        </w:rPr>
        <w:t xml:space="preserve">报告中的会议时间、政策措辞、合作领域、数字和事件事实均来自指定底稿。</w:t>
      </w:r>
    </w:p>
    <w:p>
      <w:pPr>
        <w:pStyle w:val="Compact"/>
        <w:numPr>
          <w:ilvl w:val="0"/>
          <w:numId w:val="1024"/>
        </w:numPr>
      </w:pPr>
      <w:r>
        <w:rPr>
          <w:rFonts w:hint="eastAsia"/>
        </w:rPr>
        <w:t xml:space="preserve">未把外交礼仪、央视快评或记者见面会重复计算为独立新增政策。</w:t>
      </w:r>
    </w:p>
    <w:p>
      <w:pPr>
        <w:pStyle w:val="Compact"/>
        <w:numPr>
          <w:ilvl w:val="0"/>
          <w:numId w:val="1024"/>
        </w:numPr>
      </w:pPr>
      <w:r>
        <w:rPr>
          <w:rFonts w:hint="eastAsia"/>
        </w:rPr>
        <w:t xml:space="preserve">未写入原文未披露的上市公司名单、订单金额、财政规模、商品价格或市场涨跌。</w:t>
      </w:r>
    </w:p>
    <w:p>
      <w:r>
        <w:pict>
          <v:rect style="width:0;height:1.5pt" o:hralign="center" o:hrstd="t" o:hr="t"/>
        </w:pict>
      </w:r>
    </w:p>
    <w:p>
      <w:pPr>
        <w:pStyle w:val="FirstParagraph"/>
      </w:pPr>
      <w:r>
        <w:rPr>
          <w:rFonts w:hint="eastAsia"/>
          <w:i/>
          <w:iCs/>
        </w:rPr>
        <w:t xml:space="preserve">分析和写稿模型：GPT-5.6</w:t>
      </w:r>
      <w:r>
        <w:rPr>
          <w:i/>
          <w:iCs/>
        </w:rPr>
        <w:t xml:space="preserve"> Sol (openai-codex)</w:t>
      </w:r>
    </w:p>
    <w:bookmarkEnd w:id="35"/>
    <w:bookmarkEnd w:id="3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1"/>
  </w:num>
  <w:num w:numId="102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2026-10-13T12:35:53Z</dcterms:created>
  <dcterms:modified xsi:type="dcterms:W3CDTF">2026-10-13T12:35:53Z</dcterms:modified>
</cp:coreProperties>
</file>

<file path=docProps/custom.xml><?xml version="1.0" encoding="utf-8"?>
<Properties xmlns="http://schemas.openxmlformats.org/officeDocument/2006/custom-properties" xmlns:vt="http://schemas.openxmlformats.org/officeDocument/2006/docPropsVTypes"/>
</file>