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a21cc66eb8ba1905d055d1c66c55b0c7425f9e1"/>
    <w:p>
      <w:pPr>
        <w:pStyle w:val="Heading1"/>
      </w:pPr>
      <w:r>
        <w:rPr>
          <w:rFonts w:hint="eastAsia"/>
        </w:rPr>
        <w:t xml:space="preserve">2026年10月12日《新闻联播》A股影响深度解读</w:t>
      </w:r>
    </w:p>
    <w:p>
      <w:pPr>
        <w:pStyle w:val="BlockText"/>
      </w:pPr>
      <w:r>
        <w:rPr>
          <w:rFonts w:hint="eastAsia"/>
        </w:rPr>
        <w:t xml:space="preserve">唯一原文依据：</w:t>
      </w:r>
      <w:r>
        <w:rPr>
          <w:rStyle w:val="VerbatimChar"/>
        </w:rPr>
        <w:t xml:space="preserve">memory/xinwenlianbo/2026-10-12.md</w:t>
      </w:r>
      <w:r>
        <w:rPr>
          <w:rFonts w:hint="eastAsia"/>
        </w:rPr>
        <w:t xml:space="preserve">。本文按节目顺序覆盖全部13个分项，并拆解“国内联播快讯”8条、“国际联播快讯”3条。事实与判断分开表述；板块映射仅为政策与产业链观察，不构成个股推荐或收益承诺。</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整体基调：国内产业与民生政策积极，海外能源安全风险显著升温。</w:t>
      </w:r>
      <w:r>
        <w:t xml:space="preserve"> </w:t>
      </w:r>
      <w:r>
        <w:rPr>
          <w:rFonts w:hint="eastAsia"/>
        </w:rPr>
        <w:t xml:space="preserve">国内最清晰的增量来自健康中国、智能网联新能源汽车“十五五”规划、服务业数智化，以及水库改造、生态督察、食品安全和品质电商等快讯政策；国际部分则集中提示沙特机场和能源设施遭袭、霍尔木兹海峡油轮触雷等风险。</w:t>
      </w:r>
    </w:p>
    <w:p>
      <w:pPr>
        <w:pStyle w:val="Compact"/>
        <w:numPr>
          <w:ilvl w:val="0"/>
          <w:numId w:val="1001"/>
        </w:numPr>
      </w:pPr>
      <w:r>
        <w:rPr>
          <w:rFonts w:hint="eastAsia"/>
          <w:b/>
          <w:bCs/>
        </w:rPr>
        <w:t xml:space="preserve">政策信号强度：中强。</w:t>
      </w:r>
      <w:r>
        <w:t xml:space="preserve"> </w:t>
      </w:r>
      <w:r>
        <w:rPr>
          <w:rFonts w:hint="eastAsia"/>
        </w:rPr>
        <w:t xml:space="preserve">健康中国报道处于前列并明确2035年目标及“三医”协同改革方向；新能源汽车规划已经正式发布；水库改造有“年底前完成排查评估”的时间要求，生态督察和食品安全执法则具有明确约束性。</w:t>
      </w:r>
    </w:p>
    <w:p>
      <w:pPr>
        <w:pStyle w:val="Compact"/>
        <w:numPr>
          <w:ilvl w:val="0"/>
          <w:numId w:val="1001"/>
        </w:numPr>
      </w:pPr>
      <w:r>
        <w:rPr>
          <w:rFonts w:hint="eastAsia"/>
          <w:b/>
          <w:bCs/>
        </w:rPr>
        <w:t xml:space="preserve">对A股总体影响：结构性利好、指数层面中性偏谨慎。</w:t>
      </w:r>
      <w:r>
        <w:t xml:space="preserve"> </w:t>
      </w:r>
      <w:r>
        <w:rPr>
          <w:rFonts w:hint="eastAsia"/>
        </w:rPr>
        <w:t xml:space="preserve">医疗服务与器械、创新药、医疗AI、智能网联汽车、车路云、服务业数字化、品质电商和水利安全链获得政策或数据催化；中东冲突可能推高原油、油运、保险和避险资产风险溢价，同时压制航空、化工下游及其他能源成本敏感行业。</w:t>
      </w:r>
    </w:p>
    <w:p>
      <w:pPr>
        <w:pStyle w:val="Compact"/>
        <w:numPr>
          <w:ilvl w:val="0"/>
          <w:numId w:val="1001"/>
        </w:numPr>
      </w:pPr>
      <w:r>
        <w:rPr>
          <w:rFonts w:hint="eastAsia"/>
          <w:b/>
          <w:bCs/>
        </w:rPr>
        <w:t xml:space="preserve">市场主线排序：</w:t>
      </w:r>
      <w:r>
        <w:t xml:space="preserve"> </w:t>
      </w:r>
      <w:r>
        <w:rPr>
          <w:rFonts w:hint="eastAsia"/>
        </w:rPr>
        <w:t xml:space="preserve">健康中国与医疗科技</w:t>
      </w:r>
      <w:r>
        <w:t xml:space="preserve"> &gt; </w:t>
      </w:r>
      <w:r>
        <w:rPr>
          <w:rFonts w:hint="eastAsia"/>
        </w:rPr>
        <w:t xml:space="preserve">智能网联新能源汽车/车路云</w:t>
      </w:r>
      <w:r>
        <w:t xml:space="preserve"> &gt; </w:t>
      </w:r>
      <w:r>
        <w:rPr>
          <w:rFonts w:hint="eastAsia"/>
        </w:rPr>
        <w:t xml:space="preserve">服务业数智化与算力</w:t>
      </w:r>
      <w:r>
        <w:t xml:space="preserve"> &gt; </w:t>
      </w:r>
      <w:r>
        <w:rPr>
          <w:rFonts w:hint="eastAsia"/>
        </w:rPr>
        <w:t xml:space="preserve">水库安全改造</w:t>
      </w:r>
      <w:r>
        <w:t xml:space="preserve"> &gt; </w:t>
      </w:r>
      <w:r>
        <w:rPr>
          <w:rFonts w:hint="eastAsia"/>
        </w:rPr>
        <w:t xml:space="preserve">品质电商与消费品牌</w:t>
      </w:r>
      <w:r>
        <w:t xml:space="preserve"> &gt; </w:t>
      </w:r>
      <w:r>
        <w:rPr>
          <w:rFonts w:hint="eastAsia"/>
        </w:rPr>
        <w:t xml:space="preserve">内蒙古新能源/绿色算力。</w:t>
      </w:r>
    </w:p>
    <w:p>
      <w:pPr>
        <w:pStyle w:val="Compact"/>
        <w:numPr>
          <w:ilvl w:val="0"/>
          <w:numId w:val="1001"/>
        </w:numPr>
      </w:pPr>
      <w:r>
        <w:rPr>
          <w:rFonts w:hint="eastAsia"/>
          <w:b/>
          <w:bCs/>
        </w:rPr>
        <w:t xml:space="preserve">一句话总结：</w:t>
      </w:r>
      <w:r>
        <w:t xml:space="preserve"> </w:t>
      </w:r>
      <w:r>
        <w:rPr>
          <w:rFonts w:hint="eastAsia"/>
        </w:rPr>
        <w:t xml:space="preserve">国内主线兼具顶层目标、产业规划和高景气数据，但海外能源通道风险可能放大市场波动，交易上应优先等待右侧确认，并以订单、采购、现金流和量价趋势验证主题兑现。</w:t>
      </w:r>
    </w:p>
    <w:bookmarkEnd w:id="9"/>
    <w:bookmarkStart w:id="15" w:name="二核心政策与产业信号"/>
    <w:p>
      <w:pPr>
        <w:pStyle w:val="Heading2"/>
      </w:pPr>
      <w:r>
        <w:rPr>
          <w:rFonts w:hint="eastAsia"/>
        </w:rPr>
        <w:t xml:space="preserve">二、核心政策与产业信号</w:t>
      </w:r>
    </w:p>
    <w:bookmarkStart w:id="10" w:name="X9775c2770e67696decafcec8bad930c50e0d8a4"/>
    <w:p>
      <w:pPr>
        <w:pStyle w:val="Heading3"/>
      </w:pPr>
      <w:r>
        <w:t xml:space="preserve">1. </w:t>
      </w:r>
      <w:r>
        <w:rPr>
          <w:rFonts w:hint="eastAsia"/>
        </w:rPr>
        <w:t xml:space="preserve">健康中国进入基层扩容、支付改革与医疗科技创新并进阶段</w:t>
      </w:r>
      <w:r>
        <w:t xml:space="preserve"> ★★★★★</w:t>
      </w:r>
    </w:p>
    <w:p>
      <w:pPr>
        <w:pStyle w:val="FirstParagraph"/>
      </w:pPr>
      <w:r>
        <w:rPr>
          <w:rFonts w:hint="eastAsia"/>
          <w:b/>
          <w:bCs/>
        </w:rPr>
        <w:t xml:space="preserve">原文事实：</w:t>
      </w:r>
      <w:r>
        <w:t xml:space="preserve"> </w:t>
      </w:r>
      <w:r>
        <w:rPr>
          <w:rFonts w:hint="eastAsia"/>
        </w:rPr>
        <w:t xml:space="preserve">报道显示，全国有110万余个医疗卫生机构、1600多万名医疗卫生人员，超过90%的居民可在15分钟内到达最近医疗服务点；2199个县域正在开展紧密型县域医共体建设，基本实现全覆盖。基本医保参保率稳定在95%左右，谈判药品在协议期内惠及近9亿人次、减负超9000亿元。2025年我国创新药获批76个，光子能谱CT、人工心脏、手术机器人进入临床，人工智能和互联网技术赋能基层诊疗。目标是到2035年建成健康中国，并持续深化医疗、医保、医药协同改革。</w:t>
      </w:r>
    </w:p>
    <w:p>
      <w:pPr>
        <w:pStyle w:val="BodyText"/>
      </w:pPr>
      <w:r>
        <w:rPr>
          <w:rFonts w:hint="eastAsia"/>
          <w:b/>
          <w:bCs/>
        </w:rPr>
        <w:t xml:space="preserve">通俗解码：</w:t>
      </w:r>
      <w:r>
        <w:t xml:space="preserve"> </w:t>
      </w:r>
      <w:r>
        <w:rPr>
          <w:rFonts w:hint="eastAsia"/>
        </w:rPr>
        <w:t xml:space="preserve">“以人民健康为中心”不只是扩医院，而是把资源继续向县域和基层下沉，同时通过医保、集采和目录谈判控制支付负担，再用创新药、高端器械、医疗AI和互联网提高诊疗质量。政策长期性强，但支付控费与集采仍会约束部分产品价格和利润率。</w:t>
      </w:r>
    </w:p>
    <w:p>
      <w:pPr>
        <w:pStyle w:val="BodyText"/>
      </w:pPr>
      <w:r>
        <w:rPr>
          <w:rFonts w:hint="eastAsia"/>
          <w:b/>
          <w:bCs/>
        </w:rPr>
        <w:t xml:space="preserve">A股映射：</w:t>
      </w:r>
      <w:r>
        <w:t xml:space="preserve"> </w:t>
      </w:r>
      <w:r>
        <w:rPr>
          <w:rFonts w:hint="eastAsia"/>
        </w:rPr>
        <w:t xml:space="preserve">中长期利好县域医疗设备、医学影像、手术机器人、人工心脏等高端器械，创新药、医疗信息化、互联网医疗、医疗AI、慢病管理、早筛和中医药服务亦有方向性支撑。医院端项目需核查采购预算、招标周期、回款和设备利用率；创新药需核查临床价值、医保谈判后放量与降价之间的平衡。</w:t>
      </w:r>
    </w:p>
    <w:p>
      <w:pPr>
        <w:pStyle w:val="BodyText"/>
      </w:pPr>
      <w:r>
        <w:rPr>
          <w:rFonts w:hint="eastAsia"/>
          <w:b/>
          <w:bCs/>
        </w:rPr>
        <w:t xml:space="preserve">影响时效：</w:t>
      </w:r>
      <w:r>
        <w:t xml:space="preserve"> </w:t>
      </w:r>
      <w:r>
        <w:rPr>
          <w:rFonts w:hint="eastAsia"/>
        </w:rPr>
        <w:t xml:space="preserve">系列报道可形成短期主题催化；行业利润兑现取决于后续政策细则、采购招标、医保支付、产品商业化与现金回款。</w:t>
      </w:r>
    </w:p>
    <w:bookmarkEnd w:id="10"/>
    <w:bookmarkStart w:id="11" w:name="X3766960241bc7e838ed32f04b973a9d486f4325"/>
    <w:p>
      <w:pPr>
        <w:pStyle w:val="Heading3"/>
      </w:pPr>
      <w:r>
        <w:t xml:space="preserve">2. </w:t>
      </w:r>
      <w:r>
        <w:rPr>
          <w:rFonts w:hint="eastAsia"/>
        </w:rPr>
        <w:t xml:space="preserve">智能网联新能源汽车“十五五”规划正式发布，产业从销量增长转向强基础、补短板</w:t>
      </w:r>
      <w:r>
        <w:t xml:space="preserve"> ★★★★☆</w:t>
      </w:r>
    </w:p>
    <w:p>
      <w:pPr>
        <w:pStyle w:val="FirstParagraph"/>
      </w:pPr>
      <w:r>
        <w:rPr>
          <w:rFonts w:hint="eastAsia"/>
          <w:b/>
          <w:bCs/>
        </w:rPr>
        <w:t xml:space="preserve">原文事实：</w:t>
      </w:r>
      <w:r>
        <w:t xml:space="preserve"> </w:t>
      </w:r>
      <w:r>
        <w:rPr>
          <w:rFonts w:hint="eastAsia"/>
        </w:rPr>
        <w:t xml:space="preserve">今年1—9月新能源汽车产量和销量分别为1248.3万辆、1247.2万辆，同比分别增长11%和11.1%，新能源汽车新车销量占国内汽车新车总销量53.6%。《智能网联新能源汽车产业发展“十五五”规划》正式发布，聚焦关键核心技术攻关、车路云跨界融合、产业结构优化和行业治理完善。</w:t>
      </w:r>
    </w:p>
    <w:p>
      <w:pPr>
        <w:pStyle w:val="BodyText"/>
      </w:pPr>
      <w:r>
        <w:rPr>
          <w:rFonts w:hint="eastAsia"/>
          <w:b/>
          <w:bCs/>
        </w:rPr>
        <w:t xml:space="preserve">通俗解码：</w:t>
      </w:r>
      <w:r>
        <w:t xml:space="preserve"> </w:t>
      </w:r>
      <w:r>
        <w:rPr>
          <w:rFonts w:hint="eastAsia"/>
        </w:rPr>
        <w:t xml:space="preserve">新能源汽车已进入高渗透率阶段，政策关注点不再只是扩大销量，而是核心技术、车路云协同、行业结构与治理质量。销量两位数增长提供基本面支撑，规划则强化智能化和基础设施预期。</w:t>
      </w:r>
    </w:p>
    <w:p>
      <w:pPr>
        <w:pStyle w:val="BodyText"/>
      </w:pPr>
      <w:r>
        <w:rPr>
          <w:rFonts w:hint="eastAsia"/>
          <w:b/>
          <w:bCs/>
        </w:rPr>
        <w:t xml:space="preserve">A股映射：</w:t>
      </w:r>
      <w:r>
        <w:t xml:space="preserve"> </w:t>
      </w:r>
      <w:r>
        <w:rPr>
          <w:rFonts w:hint="eastAsia"/>
        </w:rPr>
        <w:t xml:space="preserve">偏利好智能驾驶软硬件、车载计算、传感器、汽车芯片、域控制器、车路云平台、路侧设备、汽车网络安全、测试验证、充换电及具备产品力的整车与零部件企业。高渗透率同时意味着竞争加剧，需防范价格战、资本开支过快和盈利能力分化。</w:t>
      </w:r>
    </w:p>
    <w:p>
      <w:pPr>
        <w:pStyle w:val="BodyText"/>
      </w:pPr>
      <w:r>
        <w:rPr>
          <w:rFonts w:hint="eastAsia"/>
          <w:b/>
          <w:bCs/>
        </w:rPr>
        <w:t xml:space="preserve">影响时效：</w:t>
      </w:r>
      <w:r>
        <w:t xml:space="preserve"> </w:t>
      </w:r>
      <w:r>
        <w:rPr>
          <w:rFonts w:hint="eastAsia"/>
        </w:rPr>
        <w:t xml:space="preserve">短期有规划和销量数据双重催化；中期看规划细则、示范城市建设、订单、车型搭载率和单车价值量。</w:t>
      </w:r>
    </w:p>
    <w:bookmarkEnd w:id="11"/>
    <w:bookmarkStart w:id="12" w:name="X6bd86a6e38ee33bde324a5a6a7590e55b42c6f5"/>
    <w:p>
      <w:pPr>
        <w:pStyle w:val="Heading3"/>
      </w:pPr>
      <w:r>
        <w:t xml:space="preserve">3. </w:t>
      </w:r>
      <w:r>
        <w:rPr>
          <w:rFonts w:hint="eastAsia"/>
        </w:rPr>
        <w:t xml:space="preserve">服务业数智化由示范场景走向中小企业低成本普及</w:t>
      </w:r>
      <w:r>
        <w:t xml:space="preserve"> ★★★★☆</w:t>
      </w:r>
    </w:p>
    <w:p>
      <w:pPr>
        <w:pStyle w:val="FirstParagraph"/>
      </w:pPr>
      <w:r>
        <w:rPr>
          <w:rFonts w:hint="eastAsia"/>
          <w:b/>
          <w:bCs/>
        </w:rPr>
        <w:t xml:space="preserve">原文事实：</w:t>
      </w:r>
      <w:r>
        <w:t xml:space="preserve"> </w:t>
      </w:r>
      <w:r>
        <w:rPr>
          <w:rFonts w:hint="eastAsia"/>
        </w:rPr>
        <w:t xml:space="preserve">数智化工具已用于商贸、交通、物流和生活服务。武汉数字化加油站将加油、支付、开票耗时缩短八成以上；厦门思明区10家社区卫生服务中心全部上线“先诊疗、后付费”，截至2026年9月累计服务18.4万人次。六成以上规模以上服务业企业已使用云计算等数智技术，20.2%的规模以上服务业企业落地人工智能相关应用；前8个月信息传输、软件和信息技术服务业生产指数同比增长10.4%。下一步将推广“小快轻准、低成本易落地”的数字化工具。</w:t>
      </w:r>
    </w:p>
    <w:p>
      <w:pPr>
        <w:pStyle w:val="BodyText"/>
      </w:pPr>
      <w:r>
        <w:rPr>
          <w:rFonts w:hint="eastAsia"/>
          <w:b/>
          <w:bCs/>
        </w:rPr>
        <w:t xml:space="preserve">通俗解码：</w:t>
      </w:r>
      <w:r>
        <w:t xml:space="preserve"> </w:t>
      </w:r>
      <w:r>
        <w:rPr>
          <w:rFonts w:hint="eastAsia"/>
        </w:rPr>
        <w:t xml:space="preserve">数字化正在从大型企业定制项目扩展到加油、医疗支付、仓储配送等可复制流程，并明确向中小服务企业推广低成本工具。这利好标准化软件和云服务，但低价易部署也意味着供应商需要控制获客与交付成本。</w:t>
      </w:r>
    </w:p>
    <w:p>
      <w:pPr>
        <w:pStyle w:val="BodyText"/>
      </w:pPr>
      <w:r>
        <w:rPr>
          <w:rFonts w:hint="eastAsia"/>
          <w:b/>
          <w:bCs/>
        </w:rPr>
        <w:t xml:space="preserve">A股映射：</w:t>
      </w:r>
      <w:r>
        <w:t xml:space="preserve"> </w:t>
      </w:r>
      <w:r>
        <w:rPr>
          <w:rFonts w:hint="eastAsia"/>
        </w:rPr>
        <w:t xml:space="preserve">利好企业SaaS、云计算、AI应用、算力服务、智慧物流、数字支付、电子发票、供应链管理、医疗信息化和行业数字化解决方案。后续应区分真实付费客户与免费试点，关注续费率、毛利率、应收账款和算力成本。</w:t>
      </w:r>
    </w:p>
    <w:p>
      <w:pPr>
        <w:pStyle w:val="BodyText"/>
      </w:pPr>
      <w:r>
        <w:rPr>
          <w:rFonts w:hint="eastAsia"/>
          <w:b/>
          <w:bCs/>
        </w:rPr>
        <w:t xml:space="preserve">影响时效：</w:t>
      </w:r>
      <w:r>
        <w:t xml:space="preserve"> </w:t>
      </w:r>
      <w:r>
        <w:rPr>
          <w:rFonts w:hint="eastAsia"/>
        </w:rPr>
        <w:t xml:space="preserve">短期强化AI应用和数字经济主题；中期取决于中小企业渗透率、商业模式和可复制收入。</w:t>
      </w:r>
    </w:p>
    <w:bookmarkEnd w:id="12"/>
    <w:bookmarkStart w:id="13" w:name="X3cb6e4b9dc7a876b092d6d730a636d37f757e4b"/>
    <w:p>
      <w:pPr>
        <w:pStyle w:val="Heading3"/>
      </w:pPr>
      <w:r>
        <w:t xml:space="preserve">4. </w:t>
      </w:r>
      <w:r>
        <w:rPr>
          <w:rFonts w:hint="eastAsia"/>
        </w:rPr>
        <w:t xml:space="preserve">水库改造、生态督察与食品安全执法形成“投资+监管”双线信号</w:t>
      </w:r>
      <w:r>
        <w:t xml:space="preserve"> ★★★★</w:t>
      </w:r>
    </w:p>
    <w:p>
      <w:pPr>
        <w:pStyle w:val="FirstParagraph"/>
      </w:pPr>
      <w:r>
        <w:rPr>
          <w:rFonts w:hint="eastAsia"/>
          <w:b/>
          <w:bCs/>
        </w:rPr>
        <w:t xml:space="preserve">原文事实：</w:t>
      </w:r>
      <w:r>
        <w:t xml:space="preserve"> </w:t>
      </w:r>
      <w:r>
        <w:rPr>
          <w:rFonts w:hint="eastAsia"/>
        </w:rPr>
        <w:t xml:space="preserve">我国启动老旧水库改造提升专项行动，预计年底前全面完成排查评估，并提升监测预警、调度管理、应急处置和长效管护能力。第三轮第七批中央生态环境保护督察进驻住房城乡建设部、农业农村部，并对湖北、湖南、广西、重庆、四川、贵州、云南开展溶洞天坑山谷污染专项督察。中央政法委要求对肉制品、校园食品等重点领域和产销重点环节全链条打击食品安全犯罪。</w:t>
      </w:r>
    </w:p>
    <w:p>
      <w:pPr>
        <w:pStyle w:val="BodyText"/>
      </w:pPr>
      <w:r>
        <w:rPr>
          <w:rFonts w:hint="eastAsia"/>
          <w:b/>
          <w:bCs/>
        </w:rPr>
        <w:t xml:space="preserve">通俗解码：</w:t>
      </w:r>
      <w:r>
        <w:t xml:space="preserve"> </w:t>
      </w:r>
      <w:r>
        <w:rPr>
          <w:rFonts w:hint="eastAsia"/>
        </w:rPr>
        <w:t xml:space="preserve">水库安全链有明确排查时间表，后续可能形成除险加固、监测设备和运维需求；生态与食品安全则偏监管约束，利好合规检测与治理服务，同时提高高污染、低合规经营主体的整改成本。</w:t>
      </w:r>
    </w:p>
    <w:p>
      <w:pPr>
        <w:pStyle w:val="BodyText"/>
      </w:pPr>
      <w:r>
        <w:rPr>
          <w:rFonts w:hint="eastAsia"/>
          <w:b/>
          <w:bCs/>
        </w:rPr>
        <w:t xml:space="preserve">A股映射：</w:t>
      </w:r>
      <w:r>
        <w:t xml:space="preserve"> </w:t>
      </w:r>
      <w:r>
        <w:rPr>
          <w:rFonts w:hint="eastAsia"/>
        </w:rPr>
        <w:t xml:space="preserve">水利施工、水库除险加固、闸泵阀门、水文监测、传感器、应急通信、智慧水务、环保治理、环境监测、食品检测、冷链追溯和合规供应链方向受益。对环保或食品安全治理薄弱的企业形成潜在利空。</w:t>
      </w:r>
    </w:p>
    <w:p>
      <w:pPr>
        <w:pStyle w:val="BodyText"/>
      </w:pPr>
      <w:r>
        <w:rPr>
          <w:rFonts w:hint="eastAsia"/>
          <w:b/>
          <w:bCs/>
        </w:rPr>
        <w:t xml:space="preserve">影响时效：</w:t>
      </w:r>
      <w:r>
        <w:t xml:space="preserve"> </w:t>
      </w:r>
      <w:r>
        <w:rPr>
          <w:rFonts w:hint="eastAsia"/>
        </w:rPr>
        <w:t xml:space="preserve">排查评估是短期政策催化，实际业绩需等待项目清单、预算、招标和回款；督察与执法影响可能更快体现为整改成本和风险偏好变化。</w:t>
      </w:r>
    </w:p>
    <w:bookmarkEnd w:id="13"/>
    <w:bookmarkStart w:id="14" w:name="X72541d07208e94ba6de9706ce686b71c1a9f5c2"/>
    <w:p>
      <w:pPr>
        <w:pStyle w:val="Heading3"/>
      </w:pPr>
      <w:r>
        <w:t xml:space="preserve">5. </w:t>
      </w:r>
      <w:r>
        <w:rPr>
          <w:rFonts w:hint="eastAsia"/>
        </w:rPr>
        <w:t xml:space="preserve">品质电商由流量竞争转向品牌、场景、融合与出海生态</w:t>
      </w:r>
      <w:r>
        <w:t xml:space="preserve"> ★★★★</w:t>
      </w:r>
    </w:p>
    <w:p>
      <w:pPr>
        <w:pStyle w:val="FirstParagraph"/>
      </w:pPr>
      <w:r>
        <w:rPr>
          <w:rFonts w:hint="eastAsia"/>
          <w:b/>
          <w:bCs/>
        </w:rPr>
        <w:t xml:space="preserve">原文事实：</w:t>
      </w:r>
      <w:r>
        <w:t xml:space="preserve"> </w:t>
      </w:r>
      <w:r>
        <w:rPr>
          <w:rFonts w:hint="eastAsia"/>
        </w:rPr>
        <w:t xml:space="preserve">商务部等七部门部署15项举措，覆盖品质电商主体培育、电商消费品牌创新、线上线下融合品质消费场景和电商出海生态建设。</w:t>
      </w:r>
    </w:p>
    <w:p>
      <w:pPr>
        <w:pStyle w:val="BodyText"/>
      </w:pPr>
      <w:r>
        <w:rPr>
          <w:rFonts w:hint="eastAsia"/>
          <w:b/>
          <w:bCs/>
        </w:rPr>
        <w:t xml:space="preserve">通俗解码：</w:t>
      </w:r>
      <w:r>
        <w:t xml:space="preserve"> </w:t>
      </w:r>
      <w:r>
        <w:rPr>
          <w:rFonts w:hint="eastAsia"/>
        </w:rPr>
        <w:t xml:space="preserve">政策强调“品质”而非单纯低价和流量，方向包括品牌化、线上线下融合与出海。利好具备供应链、品牌、质量控制和跨境履约能力的主体，但原文没有公布补贴规模或具体采购名单。</w:t>
      </w:r>
    </w:p>
    <w:p>
      <w:pPr>
        <w:pStyle w:val="BodyText"/>
      </w:pPr>
      <w:r>
        <w:rPr>
          <w:rFonts w:hint="eastAsia"/>
          <w:b/>
          <w:bCs/>
        </w:rPr>
        <w:t xml:space="preserve">A股映射：</w:t>
      </w:r>
      <w:r>
        <w:t xml:space="preserve"> </w:t>
      </w:r>
      <w:r>
        <w:rPr>
          <w:rFonts w:hint="eastAsia"/>
        </w:rPr>
        <w:t xml:space="preserve">品牌消费、电商平台服务、跨境电商、数字营销、仓储物流、支付与合规服务可获方向性支持。需警惕把政策培育泛化为所有电商企业的无差别利好。</w:t>
      </w:r>
    </w:p>
    <w:bookmarkEnd w:id="14"/>
    <w:bookmarkEnd w:id="15"/>
    <w:bookmarkStart w:id="40" w:name="三逐条a股影响分析按节目顺序"/>
    <w:p>
      <w:pPr>
        <w:pStyle w:val="Heading2"/>
      </w:pPr>
      <w:r>
        <w:rPr>
          <w:rFonts w:hint="eastAsia"/>
        </w:rPr>
        <w:t xml:space="preserve">三、逐条A股影响分析（按节目顺序）</w:t>
      </w:r>
    </w:p>
    <w:bookmarkStart w:id="16" w:name="Xc7b6e507033293b60209224de31c731bbb85d41"/>
    <w:p>
      <w:pPr>
        <w:pStyle w:val="Heading3"/>
      </w:pPr>
      <w:r>
        <w:t xml:space="preserve">1. </w:t>
      </w:r>
      <w:r>
        <w:rPr>
          <w:rFonts w:hint="eastAsia"/>
        </w:rPr>
        <w:t xml:space="preserve">习近平同巴布亚新几内亚总督就中巴新建交50周年互致贺电</w:t>
      </w:r>
      <w:r>
        <w:t xml:space="preserve"> </w:t>
      </w:r>
      <w:r>
        <w:rPr>
          <w:rFonts w:hint="eastAsia"/>
        </w:rPr>
        <w:t xml:space="preserve">李强同巴新总理互致贺电</w:t>
      </w:r>
    </w:p>
    <w:p>
      <w:pPr>
        <w:pStyle w:val="Compact"/>
        <w:numPr>
          <w:ilvl w:val="0"/>
          <w:numId w:val="1002"/>
        </w:numPr>
      </w:pPr>
      <w:r>
        <w:rPr>
          <w:rFonts w:hint="eastAsia"/>
          <w:b/>
          <w:bCs/>
        </w:rPr>
        <w:t xml:space="preserve">信号强度：★★★☆</w:t>
      </w:r>
    </w:p>
    <w:p>
      <w:pPr>
        <w:pStyle w:val="Compact"/>
        <w:numPr>
          <w:ilvl w:val="0"/>
          <w:numId w:val="1002"/>
        </w:numPr>
      </w:pPr>
      <w:r>
        <w:rPr>
          <w:rFonts w:hint="eastAsia"/>
          <w:b/>
          <w:bCs/>
        </w:rPr>
        <w:t xml:space="preserve">A股影响：总体中性，对“一带一路”与太平洋岛国合作方向温和正面。</w:t>
      </w:r>
    </w:p>
    <w:p>
      <w:pPr>
        <w:pStyle w:val="Compact"/>
        <w:numPr>
          <w:ilvl w:val="0"/>
          <w:numId w:val="1002"/>
        </w:numPr>
      </w:pPr>
      <w:r>
        <w:rPr>
          <w:rFonts w:hint="eastAsia"/>
          <w:b/>
          <w:bCs/>
        </w:rPr>
        <w:t xml:space="preserve">原文事实：</w:t>
      </w:r>
      <w:r>
        <w:t xml:space="preserve"> </w:t>
      </w:r>
      <w:r>
        <w:rPr>
          <w:rFonts w:hint="eastAsia"/>
        </w:rPr>
        <w:t xml:space="preserve">双方以建交50周年为契机，强调深化政治互信、各领域交流合作，并加快推进高质量共建“一带一路”；巴新方面重申一个中国原则并认可中国对其经济社会发展的贡献。</w:t>
      </w:r>
    </w:p>
    <w:p>
      <w:pPr>
        <w:pStyle w:val="Compact"/>
        <w:numPr>
          <w:ilvl w:val="0"/>
          <w:numId w:val="1002"/>
        </w:numPr>
      </w:pPr>
      <w:r>
        <w:rPr>
          <w:rFonts w:hint="eastAsia"/>
          <w:b/>
          <w:bCs/>
        </w:rPr>
        <w:t xml:space="preserve">受益方向：</w:t>
      </w:r>
      <w:r>
        <w:t xml:space="preserve"> </w:t>
      </w:r>
      <w:r>
        <w:rPr>
          <w:rFonts w:hint="eastAsia"/>
        </w:rPr>
        <w:t xml:space="preserve">对巴新及太平洋岛国有真实项目基础的工程承包、通信、电力、交通基础设施、资源开发与跨境物流可作中长期观察。</w:t>
      </w:r>
    </w:p>
    <w:p>
      <w:pPr>
        <w:pStyle w:val="Compact"/>
        <w:numPr>
          <w:ilvl w:val="0"/>
          <w:numId w:val="1002"/>
        </w:numPr>
      </w:pPr>
      <w:r>
        <w:rPr>
          <w:rFonts w:hint="eastAsia"/>
          <w:b/>
          <w:bCs/>
        </w:rPr>
        <w:t xml:space="preserve">边界与证伪：</w:t>
      </w:r>
      <w:r>
        <w:t xml:space="preserve"> </w:t>
      </w:r>
      <w:r>
        <w:rPr>
          <w:rFonts w:hint="eastAsia"/>
        </w:rPr>
        <w:t xml:space="preserve">原文未披露新增项目、合同金额、融资安排或上市公司名称，不能据此推定具体订单。</w:t>
      </w:r>
    </w:p>
    <w:bookmarkEnd w:id="16"/>
    <w:bookmarkStart w:id="17" w:name="X1021ed577a7e60f754ebba11a96b3d72112667d"/>
    <w:p>
      <w:pPr>
        <w:pStyle w:val="Heading3"/>
      </w:pPr>
      <w:r>
        <w:rPr>
          <w:rFonts w:hint="eastAsia"/>
        </w:rPr>
        <w:t xml:space="preserve">2.【新思想引领新征程】以人民为中心</w:t>
      </w:r>
      <w:r>
        <w:t xml:space="preserve"> </w:t>
      </w:r>
      <w:r>
        <w:rPr>
          <w:rFonts w:hint="eastAsia"/>
        </w:rPr>
        <w:t xml:space="preserve">加快建设健康中国</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A股影响：医疗健康产业链中长期利好，同时存在医保控费与集采约束。</w:t>
      </w:r>
    </w:p>
    <w:p>
      <w:pPr>
        <w:pStyle w:val="Compact"/>
        <w:numPr>
          <w:ilvl w:val="0"/>
          <w:numId w:val="1003"/>
        </w:numPr>
      </w:pPr>
      <w:r>
        <w:rPr>
          <w:rFonts w:hint="eastAsia"/>
          <w:b/>
          <w:bCs/>
        </w:rPr>
        <w:t xml:space="preserve">受益方向：</w:t>
      </w:r>
      <w:r>
        <w:t xml:space="preserve"> </w:t>
      </w:r>
      <w:r>
        <w:rPr>
          <w:rFonts w:hint="eastAsia"/>
        </w:rPr>
        <w:t xml:space="preserve">县域医疗设备、高端医学影像、手术机器人、人工心脏、创新药、医疗AI、互联网医疗、慢病管理、癌症早筛、中医药与基层信息化。</w:t>
      </w:r>
    </w:p>
    <w:p>
      <w:pPr>
        <w:pStyle w:val="Compact"/>
        <w:numPr>
          <w:ilvl w:val="0"/>
          <w:numId w:val="1003"/>
        </w:numPr>
      </w:pPr>
      <w:r>
        <w:rPr>
          <w:rFonts w:hint="eastAsia"/>
          <w:b/>
          <w:bCs/>
        </w:rPr>
        <w:t xml:space="preserve">核心逻辑：</w:t>
      </w:r>
      <w:r>
        <w:t xml:space="preserve"> </w:t>
      </w:r>
      <w:r>
        <w:rPr>
          <w:rFonts w:hint="eastAsia"/>
        </w:rPr>
        <w:t xml:space="preserve">报道既有2035年战略目标，又有县域医共体、医保覆盖、创新药审批和高端器械临床应用等现实进展，体现基层扩容、支付改革与科技创新并行。</w:t>
      </w:r>
    </w:p>
    <w:p>
      <w:pPr>
        <w:pStyle w:val="Compact"/>
        <w:numPr>
          <w:ilvl w:val="0"/>
          <w:numId w:val="1003"/>
        </w:numPr>
      </w:pPr>
      <w:r>
        <w:rPr>
          <w:rFonts w:hint="eastAsia"/>
          <w:b/>
          <w:bCs/>
        </w:rPr>
        <w:t xml:space="preserve">风险与证伪：</w:t>
      </w:r>
      <w:r>
        <w:t xml:space="preserve"> </w:t>
      </w:r>
      <w:r>
        <w:rPr>
          <w:rFonts w:hint="eastAsia"/>
        </w:rPr>
        <w:t xml:space="preserve">医保目录谈判和集采有利于放量与减负，但可能压低价格；若采购、商业化或回款不及预期，政策热度未必转化为利润。</w:t>
      </w:r>
    </w:p>
    <w:bookmarkEnd w:id="17"/>
    <w:bookmarkStart w:id="18" w:name="X3e39afa9b08d7f65821fd42ab62c4fd3638b982"/>
    <w:p>
      <w:pPr>
        <w:pStyle w:val="Heading3"/>
      </w:pPr>
      <w:r>
        <w:t xml:space="preserve">3. </w:t>
      </w:r>
      <w:r>
        <w:rPr>
          <w:rFonts w:hint="eastAsia"/>
        </w:rPr>
        <w:t xml:space="preserve">李强会见越南国会主席</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A股影响：中越产业合作方向温和利好。</w:t>
      </w:r>
    </w:p>
    <w:p>
      <w:pPr>
        <w:pStyle w:val="Compact"/>
        <w:numPr>
          <w:ilvl w:val="0"/>
          <w:numId w:val="1004"/>
        </w:numPr>
      </w:pPr>
      <w:r>
        <w:rPr>
          <w:rFonts w:hint="eastAsia"/>
          <w:b/>
          <w:bCs/>
        </w:rPr>
        <w:t xml:space="preserve">原文事实：</w:t>
      </w:r>
      <w:r>
        <w:t xml:space="preserve"> </w:t>
      </w:r>
      <w:r>
        <w:rPr>
          <w:rFonts w:hint="eastAsia"/>
        </w:rPr>
        <w:t xml:space="preserve">双方提出加强发展战略对接，深化贸易投资、互联互通、人工智能、清洁能源和人文合作，并由立法机构为务实合作提供法治保障。</w:t>
      </w:r>
    </w:p>
    <w:p>
      <w:pPr>
        <w:pStyle w:val="Compact"/>
        <w:numPr>
          <w:ilvl w:val="0"/>
          <w:numId w:val="1004"/>
        </w:numPr>
      </w:pPr>
      <w:r>
        <w:rPr>
          <w:rFonts w:hint="eastAsia"/>
          <w:b/>
          <w:bCs/>
        </w:rPr>
        <w:t xml:space="preserve">受益方向：</w:t>
      </w:r>
      <w:r>
        <w:t xml:space="preserve"> </w:t>
      </w:r>
      <w:r>
        <w:rPr>
          <w:rFonts w:hint="eastAsia"/>
        </w:rPr>
        <w:t xml:space="preserve">中越跨境物流、基础设施互联互通、人工智能解决方案、清洁能源设备、边贸和供应链服务。</w:t>
      </w:r>
    </w:p>
    <w:p>
      <w:pPr>
        <w:pStyle w:val="Compact"/>
        <w:numPr>
          <w:ilvl w:val="0"/>
          <w:numId w:val="1004"/>
        </w:numPr>
      </w:pPr>
      <w:r>
        <w:rPr>
          <w:rFonts w:hint="eastAsia"/>
          <w:b/>
          <w:bCs/>
        </w:rPr>
        <w:t xml:space="preserve">边界：</w:t>
      </w:r>
      <w:r>
        <w:t xml:space="preserve"> </w:t>
      </w:r>
      <w:r>
        <w:rPr>
          <w:rFonts w:hint="eastAsia"/>
        </w:rPr>
        <w:t xml:space="preserve">会见没有披露新增协议、项目金额或执行时间表，短期更多是合作预期而非业绩确认。</w:t>
      </w:r>
    </w:p>
    <w:bookmarkEnd w:id="18"/>
    <w:bookmarkStart w:id="19" w:name="X04b62572ca1a2f0871761ae95fb17a67cf06cb4"/>
    <w:p>
      <w:pPr>
        <w:pStyle w:val="Heading3"/>
      </w:pPr>
      <w:r>
        <w:t xml:space="preserve">4. </w:t>
      </w:r>
      <w:r>
        <w:rPr>
          <w:rFonts w:hint="eastAsia"/>
        </w:rPr>
        <w:t xml:space="preserve">李强同新西兰总理通电话</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A股影响：总体中性，对中新贸易与新能源汽车合作温和正面。</w:t>
      </w:r>
    </w:p>
    <w:p>
      <w:pPr>
        <w:pStyle w:val="Compact"/>
        <w:numPr>
          <w:ilvl w:val="0"/>
          <w:numId w:val="1005"/>
        </w:numPr>
      </w:pPr>
      <w:r>
        <w:rPr>
          <w:rFonts w:hint="eastAsia"/>
          <w:b/>
          <w:bCs/>
        </w:rPr>
        <w:t xml:space="preserve">原文事实：</w:t>
      </w:r>
      <w:r>
        <w:t xml:space="preserve"> </w:t>
      </w:r>
      <w:r>
        <w:rPr>
          <w:rFonts w:hint="eastAsia"/>
        </w:rPr>
        <w:t xml:space="preserve">双方强调支持多边主义和自由贸易，中方提出拓展贸易、新能源汽车和人文合作，并加强亚太经合组织合作；新方重申一个中国政策。</w:t>
      </w:r>
    </w:p>
    <w:p>
      <w:pPr>
        <w:pStyle w:val="Compact"/>
        <w:numPr>
          <w:ilvl w:val="0"/>
          <w:numId w:val="1005"/>
        </w:numPr>
      </w:pPr>
      <w:r>
        <w:rPr>
          <w:rFonts w:hint="eastAsia"/>
          <w:b/>
          <w:bCs/>
        </w:rPr>
        <w:t xml:space="preserve">受益方向：</w:t>
      </w:r>
      <w:r>
        <w:t xml:space="preserve"> </w:t>
      </w:r>
      <w:r>
        <w:rPr>
          <w:rFonts w:hint="eastAsia"/>
        </w:rPr>
        <w:t xml:space="preserve">对新西兰贸易、跨境物流、新能源汽车出口及人文交流服务可作观察。</w:t>
      </w:r>
    </w:p>
    <w:p>
      <w:pPr>
        <w:pStyle w:val="Compact"/>
        <w:numPr>
          <w:ilvl w:val="0"/>
          <w:numId w:val="1005"/>
        </w:numPr>
      </w:pPr>
      <w:r>
        <w:rPr>
          <w:rFonts w:hint="eastAsia"/>
          <w:b/>
          <w:bCs/>
        </w:rPr>
        <w:t xml:space="preserve">边界：</w:t>
      </w:r>
      <w:r>
        <w:t xml:space="preserve"> </w:t>
      </w:r>
      <w:r>
        <w:rPr>
          <w:rFonts w:hint="eastAsia"/>
        </w:rPr>
        <w:t xml:space="preserve">原文未包含关税调整、采购数量或新签合同，不能外推为明确出口增量。</w:t>
      </w:r>
    </w:p>
    <w:bookmarkEnd w:id="19"/>
    <w:bookmarkStart w:id="20" w:name="X0b33644e00f29ff09d414b140d7a8ecd0786254"/>
    <w:p>
      <w:pPr>
        <w:pStyle w:val="Heading3"/>
      </w:pPr>
      <w:r>
        <w:t xml:space="preserve">5. </w:t>
      </w:r>
      <w:r>
        <w:rPr>
          <w:rFonts w:hint="eastAsia"/>
        </w:rPr>
        <w:t xml:space="preserve">赵乐际同越南国会主席会谈并共同主持中越立法机构联合委员会第二次会议</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A股影响：中越互联互通与新兴产业合作中长期偏利好。</w:t>
      </w:r>
    </w:p>
    <w:p>
      <w:pPr>
        <w:pStyle w:val="Compact"/>
        <w:numPr>
          <w:ilvl w:val="0"/>
          <w:numId w:val="1006"/>
        </w:numPr>
      </w:pPr>
      <w:r>
        <w:rPr>
          <w:rFonts w:hint="eastAsia"/>
          <w:b/>
          <w:bCs/>
        </w:rPr>
        <w:t xml:space="preserve">原文事实：</w:t>
      </w:r>
      <w:r>
        <w:t xml:space="preserve"> </w:t>
      </w:r>
      <w:r>
        <w:rPr>
          <w:rFonts w:hint="eastAsia"/>
        </w:rPr>
        <w:t xml:space="preserve">双方明确推进基础设施互联互通，拓展人工智能、清洁能源、经贸投资和科技合作；立法机构将督促落实互利合作法律文件，并推动更公平、透明、可预期的营商环境。</w:t>
      </w:r>
    </w:p>
    <w:p>
      <w:pPr>
        <w:pStyle w:val="Compact"/>
        <w:numPr>
          <w:ilvl w:val="0"/>
          <w:numId w:val="1006"/>
        </w:numPr>
      </w:pPr>
      <w:r>
        <w:rPr>
          <w:rFonts w:hint="eastAsia"/>
          <w:b/>
          <w:bCs/>
        </w:rPr>
        <w:t xml:space="preserve">受益方向：</w:t>
      </w:r>
      <w:r>
        <w:t xml:space="preserve"> </w:t>
      </w:r>
      <w:r>
        <w:rPr>
          <w:rFonts w:hint="eastAsia"/>
        </w:rPr>
        <w:t xml:space="preserve">跨境铁路与物流、工程承包、AI应用、清洁能源设备、对越贸易与产业链服务。</w:t>
      </w:r>
    </w:p>
    <w:p>
      <w:pPr>
        <w:pStyle w:val="Compact"/>
        <w:numPr>
          <w:ilvl w:val="0"/>
          <w:numId w:val="1006"/>
        </w:numPr>
      </w:pPr>
      <w:r>
        <w:rPr>
          <w:rFonts w:hint="eastAsia"/>
          <w:b/>
          <w:bCs/>
        </w:rPr>
        <w:t xml:space="preserve">风险与证伪：</w:t>
      </w:r>
      <w:r>
        <w:t xml:space="preserve"> </w:t>
      </w:r>
      <w:r>
        <w:rPr>
          <w:rFonts w:hint="eastAsia"/>
        </w:rPr>
        <w:t xml:space="preserve">政治与法律保障有助于降低合作不确定性，但实际影响仍需后续法律文件、项目核准和订单验证。</w:t>
      </w:r>
    </w:p>
    <w:bookmarkEnd w:id="20"/>
    <w:bookmarkStart w:id="21" w:name="X1e6506c6af1d959792867790c565caa245dc2a7"/>
    <w:p>
      <w:pPr>
        <w:pStyle w:val="Heading3"/>
      </w:pPr>
      <w:r>
        <w:t xml:space="preserve">6. </w:t>
      </w:r>
      <w:r>
        <w:rPr>
          <w:rFonts w:hint="eastAsia"/>
        </w:rPr>
        <w:t xml:space="preserve">王沪宁出席中国侨联成立70周年纪念大会</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A股影响：直接影响有限，对侨资合作与人文交流为长期弱正面。</w:t>
      </w:r>
    </w:p>
    <w:p>
      <w:pPr>
        <w:pStyle w:val="Compact"/>
        <w:numPr>
          <w:ilvl w:val="0"/>
          <w:numId w:val="1007"/>
        </w:numPr>
      </w:pPr>
      <w:r>
        <w:rPr>
          <w:rFonts w:hint="eastAsia"/>
          <w:b/>
          <w:bCs/>
        </w:rPr>
        <w:t xml:space="preserve">原文事实：</w:t>
      </w:r>
      <w:r>
        <w:t xml:space="preserve"> </w:t>
      </w:r>
      <w:r>
        <w:rPr>
          <w:rFonts w:hint="eastAsia"/>
        </w:rPr>
        <w:t xml:space="preserve">报道强调广大侨胞在经济社会发展、祖国统一、中华文化传播和中外交流合作中的作用，并要求推动侨联事业高质量发展。</w:t>
      </w:r>
    </w:p>
    <w:p>
      <w:pPr>
        <w:pStyle w:val="Compact"/>
        <w:numPr>
          <w:ilvl w:val="0"/>
          <w:numId w:val="1007"/>
        </w:numPr>
      </w:pPr>
      <w:r>
        <w:rPr>
          <w:rFonts w:hint="eastAsia"/>
          <w:b/>
          <w:bCs/>
        </w:rPr>
        <w:t xml:space="preserve">受益方向：</w:t>
      </w:r>
      <w:r>
        <w:t xml:space="preserve"> </w:t>
      </w:r>
      <w:r>
        <w:rPr>
          <w:rFonts w:hint="eastAsia"/>
        </w:rPr>
        <w:t xml:space="preserve">跨境经贸服务、华侨文化交流和相关会展服务仅具宽泛观察意义。</w:t>
      </w:r>
    </w:p>
    <w:p>
      <w:pPr>
        <w:pStyle w:val="Compact"/>
        <w:numPr>
          <w:ilvl w:val="0"/>
          <w:numId w:val="1007"/>
        </w:numPr>
      </w:pPr>
      <w:r>
        <w:rPr>
          <w:rFonts w:hint="eastAsia"/>
          <w:b/>
          <w:bCs/>
        </w:rPr>
        <w:t xml:space="preserve">边界：</w:t>
      </w:r>
      <w:r>
        <w:t xml:space="preserve"> </w:t>
      </w:r>
      <w:r>
        <w:rPr>
          <w:rFonts w:hint="eastAsia"/>
        </w:rPr>
        <w:t xml:space="preserve">原文没有产业政策、投资规模或项目安排，A股基本面映射较弱。</w:t>
      </w:r>
    </w:p>
    <w:bookmarkEnd w:id="21"/>
    <w:bookmarkStart w:id="22" w:name="Xcbec3258e9a56e86251caa05f9ed600de357ae1"/>
    <w:p>
      <w:pPr>
        <w:pStyle w:val="Heading3"/>
      </w:pPr>
      <w:r>
        <w:rPr>
          <w:rFonts w:hint="eastAsia"/>
        </w:rPr>
        <w:t xml:space="preserve">7.【铸牢共同体</w:t>
      </w:r>
      <w:r>
        <w:t xml:space="preserve"> </w:t>
      </w:r>
      <w:r>
        <w:rPr>
          <w:rFonts w:hint="eastAsia"/>
        </w:rPr>
        <w:t xml:space="preserve">中华一家亲】内蒙古：同心共建北疆美好家园</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A股影响：内蒙古新能源、绿色算力、陆路口岸与共富项目方向结构性利好。</w:t>
      </w:r>
    </w:p>
    <w:p>
      <w:pPr>
        <w:pStyle w:val="Compact"/>
        <w:numPr>
          <w:ilvl w:val="0"/>
          <w:numId w:val="1008"/>
        </w:numPr>
      </w:pPr>
      <w:r>
        <w:rPr>
          <w:rFonts w:hint="eastAsia"/>
          <w:b/>
          <w:bCs/>
        </w:rPr>
        <w:t xml:space="preserve">原文事实：</w:t>
      </w:r>
      <w:r>
        <w:t xml:space="preserve"> </w:t>
      </w:r>
      <w:r>
        <w:rPr>
          <w:rFonts w:hint="eastAsia"/>
        </w:rPr>
        <w:t xml:space="preserve">内蒙古新能源新增装机、总装机和发电量均全国领先，绿色算力总规模和智算规模居全国前列，陆路口岸货运量连续多年全国第一；“十四五”期间累计下达少数民族发展任务资金35.39亿元，实施共富项目3640个。</w:t>
      </w:r>
    </w:p>
    <w:p>
      <w:pPr>
        <w:pStyle w:val="Compact"/>
        <w:numPr>
          <w:ilvl w:val="0"/>
          <w:numId w:val="1008"/>
        </w:numPr>
      </w:pPr>
      <w:r>
        <w:rPr>
          <w:rFonts w:hint="eastAsia"/>
          <w:b/>
          <w:bCs/>
        </w:rPr>
        <w:t xml:space="preserve">受益方向：</w:t>
      </w:r>
      <w:r>
        <w:t xml:space="preserve"> </w:t>
      </w:r>
      <w:r>
        <w:rPr>
          <w:rFonts w:hint="eastAsia"/>
        </w:rPr>
        <w:t xml:space="preserve">风光电、储能与电网消纳、绿色数据中心、算力基础设施、陆路口岸物流，以及有真实项目支撑的地方民生服务。</w:t>
      </w:r>
    </w:p>
    <w:p>
      <w:pPr>
        <w:pStyle w:val="Compact"/>
        <w:numPr>
          <w:ilvl w:val="0"/>
          <w:numId w:val="1008"/>
        </w:numPr>
      </w:pPr>
      <w:r>
        <w:rPr>
          <w:rFonts w:hint="eastAsia"/>
          <w:b/>
          <w:bCs/>
        </w:rPr>
        <w:t xml:space="preserve">风险与证伪：</w:t>
      </w:r>
      <w:r>
        <w:t xml:space="preserve"> </w:t>
      </w:r>
      <w:r>
        <w:rPr>
          <w:rFonts w:hint="eastAsia"/>
        </w:rPr>
        <w:t xml:space="preserve">领先数据反映区域基础，不等于新增投资或单一企业订单；新能源还需看消纳、电价、利用小时和资本回报。</w:t>
      </w:r>
    </w:p>
    <w:bookmarkEnd w:id="22"/>
    <w:bookmarkStart w:id="23" w:name="X46f35d4ac3f78ba67f8a6bfb8d84b2f22d08ea1"/>
    <w:p>
      <w:pPr>
        <w:pStyle w:val="Heading3"/>
      </w:pPr>
      <w:r>
        <w:t xml:space="preserve">8. </w:t>
      </w:r>
      <w:r>
        <w:rPr>
          <w:rFonts w:hint="eastAsia"/>
        </w:rPr>
        <w:t xml:space="preserve">前三季度新能源汽车产销量实现较高增长</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A股影响：新能源汽车与智能网联产业链偏利好。</w:t>
      </w:r>
    </w:p>
    <w:p>
      <w:pPr>
        <w:pStyle w:val="Compact"/>
        <w:numPr>
          <w:ilvl w:val="0"/>
          <w:numId w:val="1009"/>
        </w:numPr>
      </w:pPr>
      <w:r>
        <w:rPr>
          <w:rFonts w:hint="eastAsia"/>
          <w:b/>
          <w:bCs/>
        </w:rPr>
        <w:t xml:space="preserve">受益方向：</w:t>
      </w:r>
      <w:r>
        <w:t xml:space="preserve"> </w:t>
      </w:r>
      <w:r>
        <w:rPr>
          <w:rFonts w:hint="eastAsia"/>
        </w:rPr>
        <w:t xml:space="preserve">智能驾驶芯片与传感器、车载计算、域控制器、车路云平台、路侧设备、汽车软件、网络安全、测试验证、充换电及优质零部件。</w:t>
      </w:r>
    </w:p>
    <w:p>
      <w:pPr>
        <w:pStyle w:val="Compact"/>
        <w:numPr>
          <w:ilvl w:val="0"/>
          <w:numId w:val="1009"/>
        </w:numPr>
      </w:pPr>
      <w:r>
        <w:rPr>
          <w:rFonts w:hint="eastAsia"/>
          <w:b/>
          <w:bCs/>
        </w:rPr>
        <w:t xml:space="preserve">受益逻辑：</w:t>
      </w:r>
      <w:r>
        <w:t xml:space="preserve"> </w:t>
      </w:r>
      <w:r>
        <w:rPr>
          <w:rFonts w:hint="eastAsia"/>
        </w:rPr>
        <w:t xml:space="preserve">产销保持两位数增长、国内新车渗透率达到53.6%，同时“十五五”规划正式发布，基本面与政策方向共振。</w:t>
      </w:r>
    </w:p>
    <w:p>
      <w:pPr>
        <w:pStyle w:val="Compact"/>
        <w:numPr>
          <w:ilvl w:val="0"/>
          <w:numId w:val="1009"/>
        </w:numPr>
      </w:pPr>
      <w:r>
        <w:rPr>
          <w:rFonts w:hint="eastAsia"/>
          <w:b/>
          <w:bCs/>
        </w:rPr>
        <w:t xml:space="preserve">风险与证伪：</w:t>
      </w:r>
      <w:r>
        <w:t xml:space="preserve"> </w:t>
      </w:r>
      <w:r>
        <w:rPr>
          <w:rFonts w:hint="eastAsia"/>
        </w:rPr>
        <w:t xml:space="preserve">高渗透率后行业增速可能趋缓，价格战、库存、海外贸易壁垒和研发资本开支可能压缩利润；需跟踪销量质量而非只看总量。</w:t>
      </w:r>
    </w:p>
    <w:bookmarkEnd w:id="23"/>
    <w:bookmarkStart w:id="24" w:name="Xb931075febb96f6f56b3c3c6b4fa2ea8eff4648"/>
    <w:p>
      <w:pPr>
        <w:pStyle w:val="Heading3"/>
      </w:pPr>
      <w:r>
        <w:t xml:space="preserve">9. </w:t>
      </w:r>
      <w:r>
        <w:rPr>
          <w:rFonts w:hint="eastAsia"/>
        </w:rPr>
        <w:t xml:space="preserve">我国服务业数智化改造加速落地</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A股影响：AI应用、云服务与行业数字化中期利好。</w:t>
      </w:r>
    </w:p>
    <w:p>
      <w:pPr>
        <w:pStyle w:val="Compact"/>
        <w:numPr>
          <w:ilvl w:val="0"/>
          <w:numId w:val="1010"/>
        </w:numPr>
      </w:pPr>
      <w:r>
        <w:rPr>
          <w:rFonts w:hint="eastAsia"/>
          <w:b/>
          <w:bCs/>
        </w:rPr>
        <w:t xml:space="preserve">受益方向：</w:t>
      </w:r>
      <w:r>
        <w:t xml:space="preserve"> </w:t>
      </w:r>
      <w:r>
        <w:rPr>
          <w:rFonts w:hint="eastAsia"/>
        </w:rPr>
        <w:t xml:space="preserve">SaaS、云计算、算力、智慧物流、电子支付与发票、供应链软件、医疗信息化和面向中小企业的轻量化数字工具。</w:t>
      </w:r>
    </w:p>
    <w:p>
      <w:pPr>
        <w:pStyle w:val="Compact"/>
        <w:numPr>
          <w:ilvl w:val="0"/>
          <w:numId w:val="1010"/>
        </w:numPr>
      </w:pPr>
      <w:r>
        <w:rPr>
          <w:rFonts w:hint="eastAsia"/>
          <w:b/>
          <w:bCs/>
        </w:rPr>
        <w:t xml:space="preserve">受益逻辑：</w:t>
      </w:r>
      <w:r>
        <w:t xml:space="preserve"> </w:t>
      </w:r>
      <w:r>
        <w:rPr>
          <w:rFonts w:hint="eastAsia"/>
        </w:rPr>
        <w:t xml:space="preserve">六成以上规模以上服务业企业应用云计算等技术，20.2%落地AI应用，软件信息服务业生产指数增长10.4%，并明确推广低成本易落地工具。</w:t>
      </w:r>
    </w:p>
    <w:p>
      <w:pPr>
        <w:pStyle w:val="Compact"/>
        <w:numPr>
          <w:ilvl w:val="0"/>
          <w:numId w:val="1010"/>
        </w:numPr>
      </w:pPr>
      <w:r>
        <w:rPr>
          <w:rFonts w:hint="eastAsia"/>
          <w:b/>
          <w:bCs/>
        </w:rPr>
        <w:t xml:space="preserve">风险与证伪：</w:t>
      </w:r>
      <w:r>
        <w:t xml:space="preserve"> </w:t>
      </w:r>
      <w:r>
        <w:rPr>
          <w:rFonts w:hint="eastAsia"/>
        </w:rPr>
        <w:t xml:space="preserve">小微客户预算有限、获客成本高，技术采用率不等于付费收入；需关注续费、毛利、现金流和算力成本。</w:t>
      </w:r>
    </w:p>
    <w:bookmarkEnd w:id="24"/>
    <w:bookmarkStart w:id="25" w:name="Xb9b9d0f34a51186a6eade730ca002169355efc4"/>
    <w:p>
      <w:pPr>
        <w:pStyle w:val="Heading3"/>
      </w:pPr>
      <w:r>
        <w:t xml:space="preserve">10. </w:t>
      </w:r>
      <w:r>
        <w:rPr>
          <w:rFonts w:hint="eastAsia"/>
        </w:rPr>
        <w:t xml:space="preserve">2026中国网球公开赛落幕</w:t>
      </w:r>
      <w:r>
        <w:t xml:space="preserve"> </w:t>
      </w:r>
      <w:r>
        <w:rPr>
          <w:rFonts w:hint="eastAsia"/>
        </w:rPr>
        <w:t xml:space="preserve">多项数据创赛会纪录</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A股影响：体育赛事、场馆运营与文体消费短期偏利好。</w:t>
      </w:r>
    </w:p>
    <w:p>
      <w:pPr>
        <w:pStyle w:val="Compact"/>
        <w:numPr>
          <w:ilvl w:val="0"/>
          <w:numId w:val="1011"/>
        </w:numPr>
      </w:pPr>
      <w:r>
        <w:rPr>
          <w:rFonts w:hint="eastAsia"/>
          <w:b/>
          <w:bCs/>
        </w:rPr>
        <w:t xml:space="preserve">原文事实：</w:t>
      </w:r>
      <w:r>
        <w:t xml:space="preserve"> </w:t>
      </w:r>
      <w:r>
        <w:rPr>
          <w:rFonts w:hint="eastAsia"/>
        </w:rPr>
        <w:t xml:space="preserve">郑钦文成为中网创办20年来首位夺得单打冠军的中国本土选手；我国选手还取得女双亚军，本届赛事比赛场次、观众人数和整体票房等多项数据创历史新高。</w:t>
      </w:r>
    </w:p>
    <w:p>
      <w:pPr>
        <w:pStyle w:val="Compact"/>
        <w:numPr>
          <w:ilvl w:val="0"/>
          <w:numId w:val="1011"/>
        </w:numPr>
      </w:pPr>
      <w:r>
        <w:rPr>
          <w:rFonts w:hint="eastAsia"/>
          <w:b/>
          <w:bCs/>
        </w:rPr>
        <w:t xml:space="preserve">受益方向：</w:t>
      </w:r>
      <w:r>
        <w:t xml:space="preserve"> </w:t>
      </w:r>
      <w:r>
        <w:rPr>
          <w:rFonts w:hint="eastAsia"/>
        </w:rPr>
        <w:t xml:space="preserve">体育赛事运营、票务、场馆服务、体育营销、运动装备和北京文旅消费。</w:t>
      </w:r>
    </w:p>
    <w:p>
      <w:pPr>
        <w:pStyle w:val="Compact"/>
        <w:numPr>
          <w:ilvl w:val="0"/>
          <w:numId w:val="1011"/>
        </w:numPr>
      </w:pPr>
      <w:r>
        <w:rPr>
          <w:rFonts w:hint="eastAsia"/>
          <w:b/>
          <w:bCs/>
        </w:rPr>
        <w:t xml:space="preserve">风险与证伪：</w:t>
      </w:r>
      <w:r>
        <w:t xml:space="preserve"> </w:t>
      </w:r>
      <w:r>
        <w:rPr>
          <w:rFonts w:hint="eastAsia"/>
        </w:rPr>
        <w:t xml:space="preserve">单一赛事纪录不代表行业全年高增长，需看赛事收入、赞助、版权和可持续运营能力。</w:t>
      </w:r>
    </w:p>
    <w:bookmarkEnd w:id="25"/>
    <w:bookmarkStart w:id="34" w:name="X2eeb93a8ad790e3046dbb9ed511cab47864bea0"/>
    <w:p>
      <w:pPr>
        <w:pStyle w:val="Heading3"/>
      </w:pPr>
      <w:r>
        <w:t xml:space="preserve">11. </w:t>
      </w:r>
      <w:r>
        <w:rPr>
          <w:rFonts w:hint="eastAsia"/>
        </w:rPr>
        <w:t xml:space="preserve">国内联播快讯（8条全部覆盖）</w:t>
      </w:r>
    </w:p>
    <w:bookmarkStart w:id="26" w:name="Xbe1fd9a1fe81d21b68c97116e8a1000616f628e"/>
    <w:p>
      <w:pPr>
        <w:pStyle w:val="Heading4"/>
      </w:pPr>
      <w:r>
        <w:t xml:space="preserve">11.1 </w:t>
      </w:r>
      <w:r>
        <w:rPr>
          <w:rFonts w:hint="eastAsia"/>
        </w:rPr>
        <w:t xml:space="preserve">我国全面系统推进老旧水库改造提升</w:t>
      </w:r>
    </w:p>
    <w:p>
      <w:pPr>
        <w:pStyle w:val="Compact"/>
        <w:numPr>
          <w:ilvl w:val="0"/>
          <w:numId w:val="1012"/>
        </w:numPr>
      </w:pPr>
      <w:r>
        <w:rPr>
          <w:rFonts w:hint="eastAsia"/>
          <w:b/>
          <w:bCs/>
        </w:rPr>
        <w:t xml:space="preserve">信号强度：★★★★</w:t>
      </w:r>
      <w:r>
        <w:rPr>
          <w:rFonts w:hint="eastAsia"/>
        </w:rPr>
        <w:t xml:space="preserve">；</w:t>
      </w:r>
      <w:r>
        <w:rPr>
          <w:rFonts w:hint="eastAsia"/>
          <w:b/>
          <w:bCs/>
        </w:rPr>
        <w:t xml:space="preserve">影响：水利安全与监测运维链偏利好。</w:t>
      </w:r>
    </w:p>
    <w:p>
      <w:pPr>
        <w:pStyle w:val="Compact"/>
        <w:numPr>
          <w:ilvl w:val="0"/>
          <w:numId w:val="1012"/>
        </w:numPr>
      </w:pPr>
      <w:r>
        <w:rPr>
          <w:rFonts w:hint="eastAsia"/>
        </w:rPr>
        <w:t xml:space="preserve">专项行动预计年底前全面完成排查评估，并强调监测预警、调度管理、应急处置和长效管护。关注除险加固、水工建设、闸泵阀门、水文监测、传感器、应急通信和智慧水务；排查不等于立即开工，需等待项目清单、预算和招标。</w:t>
      </w:r>
    </w:p>
    <w:bookmarkEnd w:id="26"/>
    <w:bookmarkStart w:id="27" w:name="X2d99eb98156e3f732aed07303558b7026c045b3"/>
    <w:p>
      <w:pPr>
        <w:pStyle w:val="Heading4"/>
      </w:pPr>
      <w:r>
        <w:t xml:space="preserve">11.2 </w:t>
      </w:r>
      <w:r>
        <w:rPr>
          <w:rFonts w:hint="eastAsia"/>
        </w:rPr>
        <w:t xml:space="preserve">第三轮第七批中央生态环境保护督察全面启动</w:t>
      </w:r>
    </w:p>
    <w:p>
      <w:pPr>
        <w:pStyle w:val="Compact"/>
        <w:numPr>
          <w:ilvl w:val="0"/>
          <w:numId w:val="1013"/>
        </w:numPr>
      </w:pPr>
      <w:r>
        <w:rPr>
          <w:rFonts w:hint="eastAsia"/>
          <w:b/>
          <w:bCs/>
        </w:rPr>
        <w:t xml:space="preserve">信号强度：★★★★</w:t>
      </w:r>
      <w:r>
        <w:rPr>
          <w:rFonts w:hint="eastAsia"/>
        </w:rPr>
        <w:t xml:space="preserve">；</w:t>
      </w:r>
      <w:r>
        <w:rPr>
          <w:rFonts w:hint="eastAsia"/>
          <w:b/>
          <w:bCs/>
        </w:rPr>
        <w:t xml:space="preserve">影响：环保治理和监测服务受益，高污染与不合规主体承压。</w:t>
      </w:r>
    </w:p>
    <w:p>
      <w:pPr>
        <w:pStyle w:val="Compact"/>
        <w:numPr>
          <w:ilvl w:val="0"/>
          <w:numId w:val="1013"/>
        </w:numPr>
      </w:pPr>
      <w:r>
        <w:rPr>
          <w:rFonts w:hint="eastAsia"/>
        </w:rPr>
        <w:t xml:space="preserve">督察覆盖住房城乡建设部、农业农村部，并对7个省区市开展溶洞天坑山谷污染专项督察。关注污染治理、固废与污水处理、环境监测和生态修复；被督察行业和地区可能面临整改、停限产或资本开支压力。</w:t>
      </w:r>
    </w:p>
    <w:bookmarkEnd w:id="27"/>
    <w:bookmarkStart w:id="28" w:name="X1415893c55e0ad42da48a848efcde1855d24aa0"/>
    <w:p>
      <w:pPr>
        <w:pStyle w:val="Heading4"/>
      </w:pPr>
      <w:r>
        <w:t xml:space="preserve">11.3 </w:t>
      </w:r>
      <w:r>
        <w:rPr>
          <w:rFonts w:hint="eastAsia"/>
        </w:rPr>
        <w:t xml:space="preserve">《关于依法从严查处危害食品安全违法犯罪的意见》印发</w:t>
      </w:r>
    </w:p>
    <w:p>
      <w:pPr>
        <w:pStyle w:val="Compact"/>
        <w:numPr>
          <w:ilvl w:val="0"/>
          <w:numId w:val="1014"/>
        </w:numPr>
      </w:pPr>
      <w:r>
        <w:rPr>
          <w:rFonts w:hint="eastAsia"/>
          <w:b/>
          <w:bCs/>
        </w:rPr>
        <w:t xml:space="preserve">信号强度：★★★★</w:t>
      </w:r>
      <w:r>
        <w:rPr>
          <w:rFonts w:hint="eastAsia"/>
        </w:rPr>
        <w:t xml:space="preserve">；</w:t>
      </w:r>
      <w:r>
        <w:rPr>
          <w:rFonts w:hint="eastAsia"/>
          <w:b/>
          <w:bCs/>
        </w:rPr>
        <w:t xml:space="preserve">影响：食品检测、追溯和合规龙头结构性受益。</w:t>
      </w:r>
    </w:p>
    <w:p>
      <w:pPr>
        <w:pStyle w:val="Compact"/>
        <w:numPr>
          <w:ilvl w:val="0"/>
          <w:numId w:val="1014"/>
        </w:numPr>
      </w:pPr>
      <w:r>
        <w:rPr>
          <w:rFonts w:hint="eastAsia"/>
        </w:rPr>
        <w:t xml:space="preserve">政策要求对肉制品、校园食品等重点领域全链条打击犯罪，并强化重大案件督办。食品检测、冷链追溯、供应链质量管理和规范化龙头的相对优势可能提升；存在食品安全隐患的企业面临执法与声誉风险。</w:t>
      </w:r>
    </w:p>
    <w:bookmarkEnd w:id="28"/>
    <w:bookmarkStart w:id="29" w:name="X9fe783388c434b3c533d02e50ab39031ae657f2"/>
    <w:p>
      <w:pPr>
        <w:pStyle w:val="Heading4"/>
      </w:pPr>
      <w:r>
        <w:t xml:space="preserve">11.4 </w:t>
      </w:r>
      <w:r>
        <w:rPr>
          <w:rFonts w:hint="eastAsia"/>
        </w:rPr>
        <w:t xml:space="preserve">七部门出台举措大力培育品质电商</w:t>
      </w:r>
    </w:p>
    <w:p>
      <w:pPr>
        <w:pStyle w:val="Compact"/>
        <w:numPr>
          <w:ilvl w:val="0"/>
          <w:numId w:val="1015"/>
        </w:numPr>
      </w:pPr>
      <w:r>
        <w:rPr>
          <w:rFonts w:hint="eastAsia"/>
          <w:b/>
          <w:bCs/>
        </w:rPr>
        <w:t xml:space="preserve">信号强度：★★★★</w:t>
      </w:r>
      <w:r>
        <w:rPr>
          <w:rFonts w:hint="eastAsia"/>
        </w:rPr>
        <w:t xml:space="preserve">；</w:t>
      </w:r>
      <w:r>
        <w:rPr>
          <w:rFonts w:hint="eastAsia"/>
          <w:b/>
          <w:bCs/>
        </w:rPr>
        <w:t xml:space="preserve">影响：品牌电商、跨境电商与履约服务偏利好。</w:t>
      </w:r>
    </w:p>
    <w:p>
      <w:pPr>
        <w:pStyle w:val="Compact"/>
        <w:numPr>
          <w:ilvl w:val="0"/>
          <w:numId w:val="1015"/>
        </w:numPr>
      </w:pPr>
      <w:r>
        <w:rPr>
          <w:rFonts w:hint="eastAsia"/>
        </w:rPr>
        <w:t xml:space="preserve">15项举措覆盖主体培育、消费品牌、线上线下融合场景和电商出海生态。关注具备品牌、供应链、质量控制、跨境仓配和合规能力的企业；原文未给出补贴规模，不能机械外推利润。</w:t>
      </w:r>
    </w:p>
    <w:bookmarkEnd w:id="29"/>
    <w:bookmarkStart w:id="30" w:name="X8f7337278b74af13ec91dabc39b578ccfa6dbc3"/>
    <w:p>
      <w:pPr>
        <w:pStyle w:val="Heading4"/>
      </w:pPr>
      <w:r>
        <w:t xml:space="preserve">11.5 </w:t>
      </w:r>
      <w:r>
        <w:rPr>
          <w:rFonts w:hint="eastAsia"/>
        </w:rPr>
        <w:t xml:space="preserve">最高检发布一批长征文物保护公益诉讼典型案例</w:t>
      </w:r>
    </w:p>
    <w:p>
      <w:pPr>
        <w:pStyle w:val="Compact"/>
        <w:numPr>
          <w:ilvl w:val="0"/>
          <w:numId w:val="1016"/>
        </w:numPr>
      </w:pPr>
      <w:r>
        <w:rPr>
          <w:rFonts w:hint="eastAsia"/>
          <w:b/>
          <w:bCs/>
        </w:rPr>
        <w:t xml:space="preserve">信号强度：★★☆</w:t>
      </w:r>
      <w:r>
        <w:rPr>
          <w:rFonts w:hint="eastAsia"/>
        </w:rPr>
        <w:t xml:space="preserve">；</w:t>
      </w:r>
      <w:r>
        <w:rPr>
          <w:rFonts w:hint="eastAsia"/>
          <w:b/>
          <w:bCs/>
        </w:rPr>
        <w:t xml:space="preserve">影响：整体中性，文保修缮与红色文旅弱主题。</w:t>
      </w:r>
    </w:p>
    <w:p>
      <w:pPr>
        <w:pStyle w:val="Compact"/>
        <w:numPr>
          <w:ilvl w:val="0"/>
          <w:numId w:val="1016"/>
        </w:numPr>
      </w:pPr>
      <w:r>
        <w:rPr>
          <w:rFonts w:hint="eastAsia"/>
        </w:rPr>
        <w:t xml:space="preserve">专项监督活动已立案434件，督促保护长征文物499处、长征革命纪念设施477处。文物修缮、数字展示和红色文旅运营可获长期关注，但原文未公布新增投资或采购安排。</w:t>
      </w:r>
    </w:p>
    <w:bookmarkEnd w:id="30"/>
    <w:bookmarkStart w:id="31" w:name="Xc2768892506a4daa72c04b8df0b2705d99623c2"/>
    <w:p>
      <w:pPr>
        <w:pStyle w:val="Heading4"/>
      </w:pPr>
      <w:r>
        <w:t xml:space="preserve">11.6 </w:t>
      </w:r>
      <w:r>
        <w:rPr>
          <w:rFonts w:hint="eastAsia"/>
        </w:rPr>
        <w:t xml:space="preserve">2026北京接诉即办改革论坛今天开幕</w:t>
      </w:r>
    </w:p>
    <w:p>
      <w:pPr>
        <w:pStyle w:val="Compact"/>
        <w:numPr>
          <w:ilvl w:val="0"/>
          <w:numId w:val="1017"/>
        </w:numPr>
      </w:pPr>
      <w:r>
        <w:rPr>
          <w:rFonts w:hint="eastAsia"/>
          <w:b/>
          <w:bCs/>
        </w:rPr>
        <w:t xml:space="preserve">信号强度：★★★</w:t>
      </w:r>
      <w:r>
        <w:rPr>
          <w:rFonts w:hint="eastAsia"/>
        </w:rPr>
        <w:t xml:space="preserve">；</w:t>
      </w:r>
      <w:r>
        <w:rPr>
          <w:rFonts w:hint="eastAsia"/>
          <w:b/>
          <w:bCs/>
        </w:rPr>
        <w:t xml:space="preserve">影响：城市治理数字化方向温和正面。</w:t>
      </w:r>
    </w:p>
    <w:p>
      <w:pPr>
        <w:pStyle w:val="Compact"/>
        <w:numPr>
          <w:ilvl w:val="0"/>
          <w:numId w:val="1017"/>
        </w:numPr>
      </w:pPr>
      <w:r>
        <w:rPr>
          <w:rFonts w:hint="eastAsia"/>
        </w:rPr>
        <w:t xml:space="preserve">论坛发布城市治理研究成果，并展示市民热线和城市更新实践。关注政务热线、城市运行平台、数据治理和城市更新服务；论坛本身不是采购公告，业绩仍需合同验证。</w:t>
      </w:r>
    </w:p>
    <w:bookmarkEnd w:id="31"/>
    <w:bookmarkStart w:id="32" w:name="X6fdf587c4c65986bd1b7de81910b2ca24f5548d"/>
    <w:p>
      <w:pPr>
        <w:pStyle w:val="Heading4"/>
      </w:pPr>
      <w:r>
        <w:t xml:space="preserve">11.7 </w:t>
      </w:r>
      <w:r>
        <w:rPr>
          <w:rFonts w:hint="eastAsia"/>
        </w:rPr>
        <w:t xml:space="preserve">第九届进博会首批展品通关进境</w:t>
      </w:r>
    </w:p>
    <w:p>
      <w:pPr>
        <w:pStyle w:val="Compact"/>
        <w:numPr>
          <w:ilvl w:val="0"/>
          <w:numId w:val="1018"/>
        </w:numPr>
      </w:pPr>
      <w:r>
        <w:rPr>
          <w:rFonts w:hint="eastAsia"/>
          <w:b/>
          <w:bCs/>
        </w:rPr>
        <w:t xml:space="preserve">信号强度：★★★</w:t>
      </w:r>
      <w:r>
        <w:rPr>
          <w:rFonts w:hint="eastAsia"/>
        </w:rPr>
        <w:t xml:space="preserve">；</w:t>
      </w:r>
      <w:r>
        <w:rPr>
          <w:rFonts w:hint="eastAsia"/>
          <w:b/>
          <w:bCs/>
        </w:rPr>
        <w:t xml:space="preserve">影响：会展、进口供应链和上海服务消费温和利好。</w:t>
      </w:r>
    </w:p>
    <w:p>
      <w:pPr>
        <w:pStyle w:val="Compact"/>
        <w:numPr>
          <w:ilvl w:val="0"/>
          <w:numId w:val="1018"/>
        </w:numPr>
      </w:pPr>
      <w:r>
        <w:rPr>
          <w:rFonts w:hint="eastAsia"/>
        </w:rPr>
        <w:t xml:space="preserve">第九届进博会将于11月5日至10日在上海举行，首批奥地利展品已通关。关注会展运营、报关物流、酒店交通和进口消费服务；实际催化需看参展规模、成交与订单。</w:t>
      </w:r>
    </w:p>
    <w:bookmarkEnd w:id="32"/>
    <w:bookmarkStart w:id="33" w:name="X23591f087e4fc6b257503fc3b0f5398fb371518"/>
    <w:p>
      <w:pPr>
        <w:pStyle w:val="Heading4"/>
      </w:pPr>
      <w:r>
        <w:t xml:space="preserve">11.8 </w:t>
      </w:r>
      <w:r>
        <w:rPr>
          <w:rFonts w:hint="eastAsia"/>
        </w:rPr>
        <w:t xml:space="preserve">世界葡萄与葡萄酒大会在宁夏银川开幕</w:t>
      </w:r>
    </w:p>
    <w:p>
      <w:pPr>
        <w:pStyle w:val="Compact"/>
        <w:numPr>
          <w:ilvl w:val="0"/>
          <w:numId w:val="1019"/>
        </w:numPr>
      </w:pPr>
      <w:r>
        <w:rPr>
          <w:rFonts w:hint="eastAsia"/>
          <w:b/>
          <w:bCs/>
        </w:rPr>
        <w:t xml:space="preserve">信号强度：★★★</w:t>
      </w:r>
      <w:r>
        <w:rPr>
          <w:rFonts w:hint="eastAsia"/>
        </w:rPr>
        <w:t xml:space="preserve">；</w:t>
      </w:r>
      <w:r>
        <w:rPr>
          <w:rFonts w:hint="eastAsia"/>
          <w:b/>
          <w:bCs/>
        </w:rPr>
        <w:t xml:space="preserve">影响：葡萄酒产业与宁夏文旅短期偏利好。</w:t>
      </w:r>
    </w:p>
    <w:p>
      <w:pPr>
        <w:pStyle w:val="Compact"/>
        <w:numPr>
          <w:ilvl w:val="0"/>
          <w:numId w:val="1019"/>
        </w:numPr>
      </w:pPr>
      <w:r>
        <w:rPr>
          <w:rFonts w:hint="eastAsia"/>
        </w:rPr>
        <w:t xml:space="preserve">第47届大会吸引51个国家800余名代表及专家学者，并首次落地亚洲。关注葡萄种植、葡萄酒品牌、包装、会展和宁夏文旅；会议曝光不等于销量和利润持续增长。</w:t>
      </w:r>
    </w:p>
    <w:bookmarkEnd w:id="33"/>
    <w:bookmarkEnd w:id="34"/>
    <w:bookmarkStart w:id="35" w:name="X9615d78c3e7b13ce422eadf894c83d858eef0ff"/>
    <w:p>
      <w:pPr>
        <w:pStyle w:val="Heading3"/>
      </w:pPr>
      <w:r>
        <w:t xml:space="preserve">12. </w:t>
      </w:r>
      <w:r>
        <w:rPr>
          <w:rFonts w:hint="eastAsia"/>
        </w:rPr>
        <w:t xml:space="preserve">沙特利雅得机场再遭袭</w:t>
      </w:r>
      <w:r>
        <w:t xml:space="preserve"> </w:t>
      </w:r>
      <w:r>
        <w:rPr>
          <w:rFonts w:hint="eastAsia"/>
        </w:rPr>
        <w:t xml:space="preserve">也门胡塞武装称对沙特设施发动多轮打击</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A股影响：全球风险偏好偏空，油气、油运与避险方向风险溢价上升，航空和能源成本敏感行业承压。</w:t>
      </w:r>
    </w:p>
    <w:p>
      <w:pPr>
        <w:pStyle w:val="Compact"/>
        <w:numPr>
          <w:ilvl w:val="0"/>
          <w:numId w:val="1020"/>
        </w:numPr>
      </w:pPr>
      <w:r>
        <w:rPr>
          <w:rFonts w:hint="eastAsia"/>
          <w:b/>
          <w:bCs/>
        </w:rPr>
        <w:t xml:space="preserve">原文事实：</w:t>
      </w:r>
      <w:r>
        <w:t xml:space="preserve"> </w:t>
      </w:r>
      <w:r>
        <w:rPr>
          <w:rFonts w:hint="eastAsia"/>
        </w:rPr>
        <w:t xml:space="preserve">利雅得哈立德国王国际机场航站楼再次遇袭，造成1人死亡、11人受伤；达曼法赫德国王国际机场再次遭袭。胡塞武装称过去24小时使用导弹和无人机对沙特机场及沙特阿美两处设施实施4次军事行动；沙特方面称拦截一枚弹道导弹。伊朗表示愿协助促成沙特与胡塞武装对话。</w:t>
      </w:r>
    </w:p>
    <w:p>
      <w:pPr>
        <w:pStyle w:val="Compact"/>
        <w:numPr>
          <w:ilvl w:val="0"/>
          <w:numId w:val="1020"/>
        </w:numPr>
      </w:pPr>
      <w:r>
        <w:rPr>
          <w:rFonts w:hint="eastAsia"/>
          <w:b/>
          <w:bCs/>
        </w:rPr>
        <w:t xml:space="preserve">市场映射：</w:t>
      </w:r>
      <w:r>
        <w:t xml:space="preserve"> </w:t>
      </w:r>
      <w:r>
        <w:rPr>
          <w:rFonts w:hint="eastAsia"/>
        </w:rPr>
        <w:t xml:space="preserve">若机场、能源设施和航线安全风险持续，原油、油运、黄金、军工防务及保险费率可能上升；航空、化工下游、交通物流和其他高耗能行业可能承受成本压力。</w:t>
      </w:r>
    </w:p>
    <w:p>
      <w:pPr>
        <w:pStyle w:val="Compact"/>
        <w:numPr>
          <w:ilvl w:val="0"/>
          <w:numId w:val="1020"/>
        </w:numPr>
      </w:pPr>
      <w:r>
        <w:rPr>
          <w:rFonts w:hint="eastAsia"/>
          <w:b/>
          <w:bCs/>
        </w:rPr>
        <w:t xml:space="preserve">风险与证伪：</w:t>
      </w:r>
      <w:r>
        <w:t xml:space="preserve"> </w:t>
      </w:r>
      <w:r>
        <w:rPr>
          <w:rFonts w:hint="eastAsia"/>
        </w:rPr>
        <w:t xml:space="preserve">伊朗斡旋构成缓和变量；原文没有确认沙特原油供应中断，不能把设施遇袭直接等同于实际减产。</w:t>
      </w:r>
    </w:p>
    <w:bookmarkEnd w:id="35"/>
    <w:bookmarkStart w:id="39" w:name="X9b3d06ab9d215c5ba91bbfcde1a6506b28450de"/>
    <w:p>
      <w:pPr>
        <w:pStyle w:val="Heading3"/>
      </w:pPr>
      <w:r>
        <w:t xml:space="preserve">13. </w:t>
      </w:r>
      <w:r>
        <w:rPr>
          <w:rFonts w:hint="eastAsia"/>
        </w:rPr>
        <w:t xml:space="preserve">国际联播快讯（3条全部覆盖）</w:t>
      </w:r>
    </w:p>
    <w:bookmarkStart w:id="36" w:name="Xf86b101e114cae7f09d5e8742b4994dc4ac0e5c"/>
    <w:p>
      <w:pPr>
        <w:pStyle w:val="Heading4"/>
      </w:pPr>
      <w:r>
        <w:t xml:space="preserve">13.1 </w:t>
      </w:r>
      <w:r>
        <w:rPr>
          <w:rFonts w:hint="eastAsia"/>
        </w:rPr>
        <w:t xml:space="preserve">伊朗称美国已接受伊方所提部分条件；霍尔木兹海峡第三艘油轮触雷</w:t>
      </w:r>
    </w:p>
    <w:p>
      <w:pPr>
        <w:pStyle w:val="Compact"/>
        <w:numPr>
          <w:ilvl w:val="0"/>
          <w:numId w:val="1021"/>
        </w:numPr>
      </w:pPr>
      <w:r>
        <w:rPr>
          <w:rFonts w:hint="eastAsia"/>
          <w:b/>
          <w:bCs/>
        </w:rPr>
        <w:t xml:space="preserve">信号强度：★★★★☆</w:t>
      </w:r>
      <w:r>
        <w:rPr>
          <w:rFonts w:hint="eastAsia"/>
        </w:rPr>
        <w:t xml:space="preserve">；</w:t>
      </w:r>
      <w:r>
        <w:rPr>
          <w:rFonts w:hint="eastAsia"/>
          <w:b/>
          <w:bCs/>
        </w:rPr>
        <w:t xml:space="preserve">影响：谈判预期与能源通道风险并存，油价、油运和避险资产波动加大。</w:t>
      </w:r>
    </w:p>
    <w:p>
      <w:pPr>
        <w:pStyle w:val="Compact"/>
        <w:numPr>
          <w:ilvl w:val="0"/>
          <w:numId w:val="1021"/>
        </w:numPr>
      </w:pPr>
      <w:r>
        <w:rPr>
          <w:rFonts w:hint="eastAsia"/>
        </w:rPr>
        <w:t xml:space="preserve">伊朗称美国已同意七项条件中的部分条件，但其他立场仍不明朗；七项条件包括结束针对伊朗的战事、解冻资产和结束海上封锁等。与此同时，伊朗方面称这是10日以来第三艘在霍尔木兹海峡“未经授权”航线上触雷起火的油轮。谈判若推进有助于缓和风险，但连续触雷提高航运安全和保险成本；原文未称海峡关闭，不应推演全面断供。</w:t>
      </w:r>
    </w:p>
    <w:bookmarkEnd w:id="36"/>
    <w:bookmarkStart w:id="37" w:name="X2d8fa77fa21734d2fd02adf4aa7e260a9fa90cd"/>
    <w:p>
      <w:pPr>
        <w:pStyle w:val="Heading4"/>
      </w:pPr>
      <w:r>
        <w:t xml:space="preserve">13.2 </w:t>
      </w:r>
      <w:r>
        <w:rPr>
          <w:rFonts w:hint="eastAsia"/>
        </w:rPr>
        <w:t xml:space="preserve">一移民船在吉布提沿海倾覆</w:t>
      </w:r>
      <w:r>
        <w:t xml:space="preserve"> </w:t>
      </w:r>
      <w:r>
        <w:rPr>
          <w:rFonts w:hint="eastAsia"/>
        </w:rPr>
        <w:t xml:space="preserve">139人死亡</w:t>
      </w:r>
    </w:p>
    <w:p>
      <w:pPr>
        <w:pStyle w:val="Compact"/>
        <w:numPr>
          <w:ilvl w:val="0"/>
          <w:numId w:val="1022"/>
        </w:numPr>
      </w:pPr>
      <w:r>
        <w:rPr>
          <w:rFonts w:hint="eastAsia"/>
          <w:b/>
          <w:bCs/>
        </w:rPr>
        <w:t xml:space="preserve">信号强度：★★</w:t>
      </w:r>
      <w:r>
        <w:rPr>
          <w:rFonts w:hint="eastAsia"/>
        </w:rPr>
        <w:t xml:space="preserve">；</w:t>
      </w:r>
      <w:r>
        <w:rPr>
          <w:rFonts w:hint="eastAsia"/>
          <w:b/>
          <w:bCs/>
        </w:rPr>
        <w:t xml:space="preserve">影响：A股直接影响有限。</w:t>
      </w:r>
    </w:p>
    <w:p>
      <w:pPr>
        <w:pStyle w:val="Compact"/>
        <w:numPr>
          <w:ilvl w:val="0"/>
          <w:numId w:val="1022"/>
        </w:numPr>
      </w:pPr>
      <w:r>
        <w:rPr>
          <w:rFonts w:hint="eastAsia"/>
        </w:rPr>
        <w:t xml:space="preserve">事故涉及一艘载有300多人的移民船，已造成139人死亡、数十人失踪，超过80人获救，初步原因是超载。其主要影响是人道与地区治理议题，原文未涉及中国企业、贸易或政策变化。</w:t>
      </w:r>
    </w:p>
    <w:bookmarkEnd w:id="37"/>
    <w:bookmarkStart w:id="38" w:name="X7dee22183f245ab2aca29da1cf8277c3b4a453f"/>
    <w:p>
      <w:pPr>
        <w:pStyle w:val="Heading4"/>
      </w:pPr>
      <w:r>
        <w:t xml:space="preserve">13.3 </w:t>
      </w:r>
      <w:r>
        <w:rPr>
          <w:rFonts w:hint="eastAsia"/>
        </w:rPr>
        <w:t xml:space="preserve">飓风“施蒙”在墨西哥西部多地引发灾情</w:t>
      </w:r>
    </w:p>
    <w:p>
      <w:pPr>
        <w:pStyle w:val="Compact"/>
        <w:numPr>
          <w:ilvl w:val="0"/>
          <w:numId w:val="1023"/>
        </w:numPr>
      </w:pPr>
      <w:r>
        <w:rPr>
          <w:rFonts w:hint="eastAsia"/>
          <w:b/>
          <w:bCs/>
        </w:rPr>
        <w:t xml:space="preserve">信号强度：★★★</w:t>
      </w:r>
      <w:r>
        <w:rPr>
          <w:rFonts w:hint="eastAsia"/>
        </w:rPr>
        <w:t xml:space="preserve">；</w:t>
      </w:r>
      <w:r>
        <w:rPr>
          <w:rFonts w:hint="eastAsia"/>
          <w:b/>
          <w:bCs/>
        </w:rPr>
        <w:t xml:space="preserve">影响：局部灾害和供应链扰动预期上升。</w:t>
      </w:r>
    </w:p>
    <w:p>
      <w:pPr>
        <w:pStyle w:val="Compact"/>
        <w:numPr>
          <w:ilvl w:val="0"/>
          <w:numId w:val="1023"/>
        </w:numPr>
      </w:pPr>
      <w:r>
        <w:rPr>
          <w:rFonts w:hint="eastAsia"/>
        </w:rPr>
        <w:t xml:space="preserve">墨西哥西部出现强降雨和洪灾，部分地区发布最高级别警报，飓风已由四级减弱为三级并继续向西北移动。若港口、交通、农业或工业生产受影响，可能引发局部供应链和农产品价格波动；原文没有提供停产或出口受阻数据，A股直接影响有限。</w:t>
      </w:r>
    </w:p>
    <w:bookmarkEnd w:id="38"/>
    <w:bookmarkEnd w:id="39"/>
    <w:bookmarkEnd w:id="40"/>
    <w:bookmarkStart w:id="41" w:name="四板块影响汇总"/>
    <w:p>
      <w:pPr>
        <w:pStyle w:val="Heading2"/>
      </w:pPr>
      <w:r>
        <w:rPr>
          <w:rFonts w:hint="eastAsia"/>
        </w:rPr>
        <w:t xml:space="preserve">四、板块影响汇总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板块方向</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pPr>
            <w:r>
              <w:rPr>
                <w:rFonts w:hint="eastAsia"/>
              </w:rPr>
              <w:t xml:space="preserve">信号强度</w:t>
            </w:r>
          </w:p>
        </w:tc>
        <w:tc>
          <w:tcPr/>
          <w:p>
            <w:pPr>
              <w:pStyle w:val="Compact"/>
            </w:pPr>
            <w:r>
              <w:rPr>
                <w:rFonts w:hint="eastAsia"/>
              </w:rPr>
              <w:t xml:space="preserve">关键验证点</w:t>
            </w:r>
          </w:p>
        </w:tc>
      </w:tr>
      <w:tr>
        <w:tc>
          <w:tcPr/>
          <w:p>
            <w:pPr>
              <w:pStyle w:val="Compact"/>
            </w:pPr>
            <w:r>
              <w:rPr>
                <w:rFonts w:hint="eastAsia"/>
              </w:rPr>
              <w:t xml:space="preserve">医疗器械/医疗AI/县域医疗</w:t>
            </w:r>
          </w:p>
        </w:tc>
        <w:tc>
          <w:tcPr/>
          <w:p>
            <w:pPr>
              <w:pStyle w:val="Compact"/>
            </w:pPr>
            <w:r>
              <w:rPr>
                <w:rFonts w:hint="eastAsia"/>
              </w:rPr>
              <w:t xml:space="preserve">中长期利好</w:t>
            </w:r>
          </w:p>
        </w:tc>
        <w:tc>
          <w:tcPr/>
          <w:p>
            <w:pPr>
              <w:pStyle w:val="Compact"/>
            </w:pPr>
            <w:r>
              <w:rPr>
                <w:rFonts w:hint="eastAsia"/>
              </w:rPr>
              <w:t xml:space="preserve">健康中国、基层资源下沉、高端器械临床应用</w:t>
            </w:r>
          </w:p>
        </w:tc>
        <w:tc>
          <w:tcPr/>
          <w:p>
            <w:pPr>
              <w:pStyle w:val="Compact"/>
            </w:pPr>
            <w:r>
              <w:t xml:space="preserve">★★★★★</w:t>
            </w:r>
          </w:p>
        </w:tc>
        <w:tc>
          <w:tcPr/>
          <w:p>
            <w:pPr>
              <w:pStyle w:val="Compact"/>
            </w:pPr>
            <w:r>
              <w:rPr>
                <w:rFonts w:hint="eastAsia"/>
              </w:rPr>
              <w:t xml:space="preserve">招标采购、设备利用率、回款与现金流</w:t>
            </w:r>
          </w:p>
        </w:tc>
      </w:tr>
      <w:tr>
        <w:tc>
          <w:tcPr/>
          <w:p>
            <w:pPr>
              <w:pStyle w:val="Compact"/>
            </w:pPr>
            <w:r>
              <w:rPr>
                <w:rFonts w:hint="eastAsia"/>
              </w:rPr>
              <w:t xml:space="preserve">创新药/早筛/慢病管理</w:t>
            </w:r>
          </w:p>
        </w:tc>
        <w:tc>
          <w:tcPr/>
          <w:p>
            <w:pPr>
              <w:pStyle w:val="Compact"/>
            </w:pPr>
            <w:r>
              <w:rPr>
                <w:rFonts w:hint="eastAsia"/>
              </w:rPr>
              <w:t xml:space="preserve">长期利好但受支付约束</w:t>
            </w:r>
          </w:p>
        </w:tc>
        <w:tc>
          <w:tcPr/>
          <w:p>
            <w:pPr>
              <w:pStyle w:val="Compact"/>
            </w:pPr>
            <w:r>
              <w:rPr>
                <w:rFonts w:hint="eastAsia"/>
              </w:rPr>
              <w:t xml:space="preserve">2025年创新药获批76个、医保目录与健康干预前移</w:t>
            </w:r>
          </w:p>
        </w:tc>
        <w:tc>
          <w:tcPr/>
          <w:p>
            <w:pPr>
              <w:pStyle w:val="Compact"/>
            </w:pPr>
            <w:r>
              <w:t xml:space="preserve">★★★★☆</w:t>
            </w:r>
          </w:p>
        </w:tc>
        <w:tc>
          <w:tcPr/>
          <w:p>
            <w:pPr>
              <w:pStyle w:val="Compact"/>
            </w:pPr>
            <w:r>
              <w:rPr>
                <w:rFonts w:hint="eastAsia"/>
              </w:rPr>
              <w:t xml:space="preserve">临床价值、医保放量、降价幅度、商业化</w:t>
            </w:r>
          </w:p>
        </w:tc>
      </w:tr>
      <w:tr>
        <w:tc>
          <w:tcPr/>
          <w:p>
            <w:pPr>
              <w:pStyle w:val="Compact"/>
            </w:pPr>
            <w:r>
              <w:rPr>
                <w:rFonts w:hint="eastAsia"/>
              </w:rPr>
              <w:t xml:space="preserve">智能网联汽车/车路云</w:t>
            </w:r>
          </w:p>
        </w:tc>
        <w:tc>
          <w:tcPr/>
          <w:p>
            <w:pPr>
              <w:pStyle w:val="Compact"/>
            </w:pPr>
            <w:r>
              <w:rPr>
                <w:rFonts w:hint="eastAsia"/>
              </w:rPr>
              <w:t xml:space="preserve">中期利好</w:t>
            </w:r>
          </w:p>
        </w:tc>
        <w:tc>
          <w:tcPr/>
          <w:p>
            <w:pPr>
              <w:pStyle w:val="Compact"/>
            </w:pPr>
            <w:r>
              <w:rPr>
                <w:rFonts w:hint="eastAsia"/>
              </w:rPr>
              <w:t xml:space="preserve">新能源汽车产销增长、“十五五”规划发布</w:t>
            </w:r>
          </w:p>
        </w:tc>
        <w:tc>
          <w:tcPr/>
          <w:p>
            <w:pPr>
              <w:pStyle w:val="Compact"/>
            </w:pPr>
            <w:r>
              <w:t xml:space="preserve">★★★★☆</w:t>
            </w:r>
          </w:p>
        </w:tc>
        <w:tc>
          <w:tcPr/>
          <w:p>
            <w:pPr>
              <w:pStyle w:val="Compact"/>
            </w:pPr>
            <w:r>
              <w:rPr>
                <w:rFonts w:hint="eastAsia"/>
              </w:rPr>
              <w:t xml:space="preserve">规划细则、搭载率、示范项目、订单</w:t>
            </w:r>
          </w:p>
        </w:tc>
      </w:tr>
      <w:tr>
        <w:tc>
          <w:tcPr/>
          <w:p>
            <w:pPr>
              <w:pStyle w:val="Compact"/>
            </w:pPr>
            <w:r>
              <w:rPr>
                <w:rFonts w:hint="eastAsia"/>
              </w:rPr>
              <w:t xml:space="preserve">SaaS/云计算/AI应用</w:t>
            </w:r>
          </w:p>
        </w:tc>
        <w:tc>
          <w:tcPr/>
          <w:p>
            <w:pPr>
              <w:pStyle w:val="Compact"/>
            </w:pPr>
            <w:r>
              <w:rPr>
                <w:rFonts w:hint="eastAsia"/>
              </w:rPr>
              <w:t xml:space="preserve">中期利好</w:t>
            </w:r>
          </w:p>
        </w:tc>
        <w:tc>
          <w:tcPr/>
          <w:p>
            <w:pPr>
              <w:pStyle w:val="Compact"/>
            </w:pPr>
            <w:r>
              <w:rPr>
                <w:rFonts w:hint="eastAsia"/>
              </w:rPr>
              <w:t xml:space="preserve">服务业数智化、20.2%规上服务业企业落地AI</w:t>
            </w:r>
          </w:p>
        </w:tc>
        <w:tc>
          <w:tcPr/>
          <w:p>
            <w:pPr>
              <w:pStyle w:val="Compact"/>
            </w:pPr>
            <w:r>
              <w:t xml:space="preserve">★★★★☆</w:t>
            </w:r>
          </w:p>
        </w:tc>
        <w:tc>
          <w:tcPr/>
          <w:p>
            <w:pPr>
              <w:pStyle w:val="Compact"/>
            </w:pPr>
            <w:r>
              <w:rPr>
                <w:rFonts w:hint="eastAsia"/>
              </w:rPr>
              <w:t xml:space="preserve">付费率、续费率、毛利与算力成本</w:t>
            </w:r>
          </w:p>
        </w:tc>
      </w:tr>
      <w:tr>
        <w:tc>
          <w:tcPr/>
          <w:p>
            <w:pPr>
              <w:pStyle w:val="Compact"/>
            </w:pPr>
            <w:r>
              <w:rPr>
                <w:rFonts w:hint="eastAsia"/>
              </w:rPr>
              <w:t xml:space="preserve">水库改造/智慧水务</w:t>
            </w:r>
          </w:p>
        </w:tc>
        <w:tc>
          <w:tcPr/>
          <w:p>
            <w:pPr>
              <w:pStyle w:val="Compact"/>
            </w:pPr>
            <w:r>
              <w:rPr>
                <w:rFonts w:hint="eastAsia"/>
              </w:rPr>
              <w:t xml:space="preserve">偏利好</w:t>
            </w:r>
          </w:p>
        </w:tc>
        <w:tc>
          <w:tcPr/>
          <w:p>
            <w:pPr>
              <w:pStyle w:val="Compact"/>
            </w:pPr>
            <w:r>
              <w:rPr>
                <w:rFonts w:hint="eastAsia"/>
              </w:rPr>
              <w:t xml:space="preserve">老旧水库年底前完成排查评估</w:t>
            </w:r>
          </w:p>
        </w:tc>
        <w:tc>
          <w:tcPr/>
          <w:p>
            <w:pPr>
              <w:pStyle w:val="Compact"/>
            </w:pPr>
            <w:r>
              <w:t xml:space="preserve">★★★★</w:t>
            </w:r>
          </w:p>
        </w:tc>
        <w:tc>
          <w:tcPr/>
          <w:p>
            <w:pPr>
              <w:pStyle w:val="Compact"/>
            </w:pPr>
            <w:r>
              <w:rPr>
                <w:rFonts w:hint="eastAsia"/>
              </w:rPr>
              <w:t xml:space="preserve">项目清单、预算、招标与回款</w:t>
            </w:r>
          </w:p>
        </w:tc>
      </w:tr>
      <w:tr>
        <w:tc>
          <w:tcPr/>
          <w:p>
            <w:pPr>
              <w:pStyle w:val="Compact"/>
            </w:pPr>
            <w:r>
              <w:rPr>
                <w:rFonts w:hint="eastAsia"/>
              </w:rPr>
              <w:t xml:space="preserve">环保治理/环境监测</w:t>
            </w:r>
          </w:p>
        </w:tc>
        <w:tc>
          <w:tcPr/>
          <w:p>
            <w:pPr>
              <w:pStyle w:val="Compact"/>
            </w:pPr>
            <w:r>
              <w:rPr>
                <w:rFonts w:hint="eastAsia"/>
              </w:rPr>
              <w:t xml:space="preserve">结构性利好</w:t>
            </w:r>
          </w:p>
        </w:tc>
        <w:tc>
          <w:tcPr/>
          <w:p>
            <w:pPr>
              <w:pStyle w:val="Compact"/>
            </w:pPr>
            <w:r>
              <w:rPr>
                <w:rFonts w:hint="eastAsia"/>
              </w:rPr>
              <w:t xml:space="preserve">中央生态环保督察与专项督察</w:t>
            </w:r>
          </w:p>
        </w:tc>
        <w:tc>
          <w:tcPr/>
          <w:p>
            <w:pPr>
              <w:pStyle w:val="Compact"/>
            </w:pPr>
            <w:r>
              <w:t xml:space="preserve">★★★★</w:t>
            </w:r>
          </w:p>
        </w:tc>
        <w:tc>
          <w:tcPr/>
          <w:p>
            <w:pPr>
              <w:pStyle w:val="Compact"/>
            </w:pPr>
            <w:r>
              <w:rPr>
                <w:rFonts w:hint="eastAsia"/>
              </w:rPr>
              <w:t xml:space="preserve">整改项目、订单、应收账款</w:t>
            </w:r>
          </w:p>
        </w:tc>
      </w:tr>
      <w:tr>
        <w:tc>
          <w:tcPr/>
          <w:p>
            <w:pPr>
              <w:pStyle w:val="Compact"/>
            </w:pPr>
            <w:r>
              <w:rPr>
                <w:rFonts w:hint="eastAsia"/>
              </w:rPr>
              <w:t xml:space="preserve">食品检测/质量追溯</w:t>
            </w:r>
          </w:p>
        </w:tc>
        <w:tc>
          <w:tcPr/>
          <w:p>
            <w:pPr>
              <w:pStyle w:val="Compact"/>
            </w:pPr>
            <w:r>
              <w:rPr>
                <w:rFonts w:hint="eastAsia"/>
              </w:rPr>
              <w:t xml:space="preserve">结构性利好</w:t>
            </w:r>
          </w:p>
        </w:tc>
        <w:tc>
          <w:tcPr/>
          <w:p>
            <w:pPr>
              <w:pStyle w:val="Compact"/>
            </w:pPr>
            <w:r>
              <w:rPr>
                <w:rFonts w:hint="eastAsia"/>
              </w:rPr>
              <w:t xml:space="preserve">从严全链条打击食品安全犯罪</w:t>
            </w:r>
          </w:p>
        </w:tc>
        <w:tc>
          <w:tcPr/>
          <w:p>
            <w:pPr>
              <w:pStyle w:val="Compact"/>
            </w:pPr>
            <w:r>
              <w:t xml:space="preserve">★★★★</w:t>
            </w:r>
          </w:p>
        </w:tc>
        <w:tc>
          <w:tcPr/>
          <w:p>
            <w:pPr>
              <w:pStyle w:val="Compact"/>
            </w:pPr>
            <w:r>
              <w:rPr>
                <w:rFonts w:hint="eastAsia"/>
              </w:rPr>
              <w:t xml:space="preserve">检测需求、监管执行、合同规模</w:t>
            </w:r>
          </w:p>
        </w:tc>
      </w:tr>
      <w:tr>
        <w:tc>
          <w:tcPr/>
          <w:p>
            <w:pPr>
              <w:pStyle w:val="Compact"/>
            </w:pPr>
            <w:r>
              <w:rPr>
                <w:rFonts w:hint="eastAsia"/>
              </w:rPr>
              <w:t xml:space="preserve">品质电商/跨境电商</w:t>
            </w:r>
          </w:p>
        </w:tc>
        <w:tc>
          <w:tcPr/>
          <w:p>
            <w:pPr>
              <w:pStyle w:val="Compact"/>
            </w:pPr>
            <w:r>
              <w:rPr>
                <w:rFonts w:hint="eastAsia"/>
              </w:rPr>
              <w:t xml:space="preserve">温和利好</w:t>
            </w:r>
          </w:p>
        </w:tc>
        <w:tc>
          <w:tcPr/>
          <w:p>
            <w:pPr>
              <w:pStyle w:val="Compact"/>
            </w:pPr>
            <w:r>
              <w:rPr>
                <w:rFonts w:hint="eastAsia"/>
              </w:rPr>
              <w:t xml:space="preserve">七部门15项培育举措</w:t>
            </w:r>
          </w:p>
        </w:tc>
        <w:tc>
          <w:tcPr/>
          <w:p>
            <w:pPr>
              <w:pStyle w:val="Compact"/>
            </w:pPr>
            <w:r>
              <w:t xml:space="preserve">★★★★</w:t>
            </w:r>
          </w:p>
        </w:tc>
        <w:tc>
          <w:tcPr/>
          <w:p>
            <w:pPr>
              <w:pStyle w:val="Compact"/>
            </w:pPr>
            <w:r>
              <w:rPr>
                <w:rFonts w:hint="eastAsia"/>
              </w:rPr>
              <w:t xml:space="preserve">实施细则、品牌增长、履约成本</w:t>
            </w:r>
          </w:p>
        </w:tc>
      </w:tr>
      <w:tr>
        <w:tc>
          <w:tcPr/>
          <w:p>
            <w:pPr>
              <w:pStyle w:val="Compact"/>
            </w:pPr>
            <w:r>
              <w:rPr>
                <w:rFonts w:hint="eastAsia"/>
              </w:rPr>
              <w:t xml:space="preserve">内蒙古新能源/绿色算力</w:t>
            </w:r>
          </w:p>
        </w:tc>
        <w:tc>
          <w:tcPr/>
          <w:p>
            <w:pPr>
              <w:pStyle w:val="Compact"/>
            </w:pPr>
            <w:r>
              <w:rPr>
                <w:rFonts w:hint="eastAsia"/>
              </w:rPr>
              <w:t xml:space="preserve">中长期观察</w:t>
            </w:r>
          </w:p>
        </w:tc>
        <w:tc>
          <w:tcPr/>
          <w:p>
            <w:pPr>
              <w:pStyle w:val="Compact"/>
            </w:pPr>
            <w:r>
              <w:rPr>
                <w:rFonts w:hint="eastAsia"/>
              </w:rPr>
              <w:t xml:space="preserve">装机、发电量、绿色算力规模领先</w:t>
            </w:r>
          </w:p>
        </w:tc>
        <w:tc>
          <w:tcPr/>
          <w:p>
            <w:pPr>
              <w:pStyle w:val="Compact"/>
            </w:pPr>
            <w:r>
              <w:t xml:space="preserve">★★★☆</w:t>
            </w:r>
          </w:p>
        </w:tc>
        <w:tc>
          <w:tcPr/>
          <w:p>
            <w:pPr>
              <w:pStyle w:val="Compact"/>
            </w:pPr>
            <w:r>
              <w:rPr>
                <w:rFonts w:hint="eastAsia"/>
              </w:rPr>
              <w:t xml:space="preserve">消纳、电价、利用小时、算力上架率</w:t>
            </w:r>
          </w:p>
        </w:tc>
      </w:tr>
      <w:tr>
        <w:tc>
          <w:tcPr/>
          <w:p>
            <w:pPr>
              <w:pStyle w:val="Compact"/>
            </w:pPr>
            <w:r>
              <w:rPr>
                <w:rFonts w:hint="eastAsia"/>
              </w:rPr>
              <w:t xml:space="preserve">体育赛事/文旅消费</w:t>
            </w:r>
          </w:p>
        </w:tc>
        <w:tc>
          <w:tcPr/>
          <w:p>
            <w:pPr>
              <w:pStyle w:val="Compact"/>
            </w:pPr>
            <w:r>
              <w:rPr>
                <w:rFonts w:hint="eastAsia"/>
              </w:rPr>
              <w:t xml:space="preserve">短期偏利好</w:t>
            </w:r>
          </w:p>
        </w:tc>
        <w:tc>
          <w:tcPr/>
          <w:p>
            <w:pPr>
              <w:pStyle w:val="Compact"/>
            </w:pPr>
            <w:r>
              <w:rPr>
                <w:rFonts w:hint="eastAsia"/>
              </w:rPr>
              <w:t xml:space="preserve">中网票房观众纪录、葡萄酒大会、进博会</w:t>
            </w:r>
          </w:p>
        </w:tc>
        <w:tc>
          <w:tcPr/>
          <w:p>
            <w:pPr>
              <w:pStyle w:val="Compact"/>
            </w:pPr>
            <w:r>
              <w:t xml:space="preserve">★★★</w:t>
            </w:r>
          </w:p>
        </w:tc>
        <w:tc>
          <w:tcPr/>
          <w:p>
            <w:pPr>
              <w:pStyle w:val="Compact"/>
            </w:pPr>
            <w:r>
              <w:rPr>
                <w:rFonts w:hint="eastAsia"/>
              </w:rPr>
              <w:t xml:space="preserve">客流、客单价、赞助和持续运营</w:t>
            </w:r>
          </w:p>
        </w:tc>
      </w:tr>
      <w:tr>
        <w:tc>
          <w:tcPr/>
          <w:p>
            <w:pPr>
              <w:pStyle w:val="Compact"/>
            </w:pPr>
            <w:r>
              <w:rPr>
                <w:rFonts w:hint="eastAsia"/>
              </w:rPr>
              <w:t xml:space="preserve">油气/油运/黄金</w:t>
            </w:r>
          </w:p>
        </w:tc>
        <w:tc>
          <w:tcPr/>
          <w:p>
            <w:pPr>
              <w:pStyle w:val="Compact"/>
            </w:pPr>
            <w:r>
              <w:rPr>
                <w:rFonts w:hint="eastAsia"/>
              </w:rPr>
              <w:t xml:space="preserve">风险溢价偏多</w:t>
            </w:r>
          </w:p>
        </w:tc>
        <w:tc>
          <w:tcPr/>
          <w:p>
            <w:pPr>
              <w:pStyle w:val="Compact"/>
            </w:pPr>
            <w:r>
              <w:rPr>
                <w:rFonts w:hint="eastAsia"/>
              </w:rPr>
              <w:t xml:space="preserve">沙特设施遇袭、霍尔木兹油轮触雷</w:t>
            </w:r>
          </w:p>
        </w:tc>
        <w:tc>
          <w:tcPr/>
          <w:p>
            <w:pPr>
              <w:pStyle w:val="Compact"/>
            </w:pPr>
            <w:r>
              <w:t xml:space="preserve">★★★★☆</w:t>
            </w:r>
          </w:p>
        </w:tc>
        <w:tc>
          <w:tcPr/>
          <w:p>
            <w:pPr>
              <w:pStyle w:val="Compact"/>
            </w:pPr>
            <w:r>
              <w:rPr>
                <w:rFonts w:hint="eastAsia"/>
              </w:rPr>
              <w:t xml:space="preserve">实际供应、航线通行、保险费、斡旋进展</w:t>
            </w:r>
          </w:p>
        </w:tc>
      </w:tr>
      <w:tr>
        <w:tc>
          <w:tcPr/>
          <w:p>
            <w:pPr>
              <w:pStyle w:val="Compact"/>
            </w:pPr>
            <w:r>
              <w:rPr>
                <w:rFonts w:hint="eastAsia"/>
              </w:rPr>
              <w:t xml:space="preserve">航空/化工下游/高耗能行业</w:t>
            </w:r>
          </w:p>
        </w:tc>
        <w:tc>
          <w:tcPr/>
          <w:p>
            <w:pPr>
              <w:pStyle w:val="Compact"/>
            </w:pPr>
            <w:r>
              <w:rPr>
                <w:rFonts w:hint="eastAsia"/>
              </w:rPr>
              <w:t xml:space="preserve">成本与情绪承压</w:t>
            </w:r>
          </w:p>
        </w:tc>
        <w:tc>
          <w:tcPr/>
          <w:p>
            <w:pPr>
              <w:pStyle w:val="Compact"/>
            </w:pPr>
            <w:r>
              <w:rPr>
                <w:rFonts w:hint="eastAsia"/>
              </w:rPr>
              <w:t xml:space="preserve">中东机场及能源设施风险</w:t>
            </w:r>
          </w:p>
        </w:tc>
        <w:tc>
          <w:tcPr/>
          <w:p>
            <w:pPr>
              <w:pStyle w:val="Compact"/>
            </w:pPr>
            <w:r>
              <w:t xml:space="preserve">★★★★☆</w:t>
            </w:r>
          </w:p>
        </w:tc>
        <w:tc>
          <w:tcPr/>
          <w:p>
            <w:pPr>
              <w:pStyle w:val="Compact"/>
            </w:pPr>
            <w:r>
              <w:rPr>
                <w:rFonts w:hint="eastAsia"/>
              </w:rPr>
              <w:t xml:space="preserve">油价、绕飞、供应中断持续时间</w:t>
            </w:r>
          </w:p>
        </w:tc>
      </w:tr>
    </w:tbl>
    <w:bookmarkEnd w:id="41"/>
    <w:bookmarkStart w:id="45" w:name="五交易视角与操作建议"/>
    <w:p>
      <w:pPr>
        <w:pStyle w:val="Heading2"/>
      </w:pPr>
      <w:r>
        <w:rPr>
          <w:rFonts w:hint="eastAsia"/>
        </w:rPr>
        <w:t xml:space="preserve">五、交易视角与操作建议</w:t>
      </w:r>
    </w:p>
    <w:bookmarkStart w:id="42" w:name="短线方向"/>
    <w:p>
      <w:pPr>
        <w:pStyle w:val="Heading3"/>
      </w:pPr>
      <w:r>
        <w:rPr>
          <w:rFonts w:hint="eastAsia"/>
        </w:rPr>
        <w:t xml:space="preserve">短线方向</w:t>
      </w:r>
    </w:p>
    <w:p>
      <w:pPr>
        <w:pStyle w:val="Compact"/>
        <w:numPr>
          <w:ilvl w:val="0"/>
          <w:numId w:val="1024"/>
        </w:numPr>
      </w:pPr>
      <w:r>
        <w:rPr>
          <w:rFonts w:hint="eastAsia"/>
          <w:b/>
          <w:bCs/>
        </w:rPr>
        <w:t xml:space="preserve">优先观察健康中国与智能网联汽车的右侧强度。</w:t>
      </w:r>
      <w:r>
        <w:t xml:space="preserve"> </w:t>
      </w:r>
      <w:r>
        <w:rPr>
          <w:rFonts w:hint="eastAsia"/>
        </w:rPr>
        <w:t xml:space="preserve">两条主线分别有高位政策报道和正式规划支撑，但若相关板块因联播刺激大幅高开，不宜把长期政策直接当作当期利润追涨。</w:t>
      </w:r>
    </w:p>
    <w:p>
      <w:pPr>
        <w:pStyle w:val="Compact"/>
        <w:numPr>
          <w:ilvl w:val="0"/>
          <w:numId w:val="1024"/>
        </w:numPr>
      </w:pPr>
      <w:r>
        <w:rPr>
          <w:rFonts w:hint="eastAsia"/>
          <w:b/>
          <w:bCs/>
        </w:rPr>
        <w:t xml:space="preserve">服务业数智化关注真正可复制的AI应用。</w:t>
      </w:r>
      <w:r>
        <w:t xml:space="preserve"> </w:t>
      </w:r>
      <w:r>
        <w:rPr>
          <w:rFonts w:hint="eastAsia"/>
        </w:rPr>
        <w:t xml:space="preserve">优先验证付费客户、续费率、毛利和行业落地，而不是泛化到所有云计算或算力概念。</w:t>
      </w:r>
    </w:p>
    <w:p>
      <w:pPr>
        <w:pStyle w:val="Compact"/>
        <w:numPr>
          <w:ilvl w:val="0"/>
          <w:numId w:val="1024"/>
        </w:numPr>
      </w:pPr>
      <w:r>
        <w:rPr>
          <w:rFonts w:hint="eastAsia"/>
          <w:b/>
          <w:bCs/>
        </w:rPr>
        <w:t xml:space="preserve">水库改造与监管链看后续清单。</w:t>
      </w:r>
      <w:r>
        <w:t xml:space="preserve"> </w:t>
      </w:r>
      <w:r>
        <w:rPr>
          <w:rFonts w:hint="eastAsia"/>
        </w:rPr>
        <w:t xml:space="preserve">排查评估、生态督察和食品安全执法的确定性较高，但设备和工程企业的盈利仍需要招标、合同和回款验证。</w:t>
      </w:r>
    </w:p>
    <w:p>
      <w:pPr>
        <w:pStyle w:val="Compact"/>
        <w:numPr>
          <w:ilvl w:val="0"/>
          <w:numId w:val="1024"/>
        </w:numPr>
      </w:pPr>
      <w:r>
        <w:rPr>
          <w:rFonts w:hint="eastAsia"/>
          <w:b/>
          <w:bCs/>
        </w:rPr>
        <w:t xml:space="preserve">能源方向以事件跟踪为主。</w:t>
      </w:r>
      <w:r>
        <w:t xml:space="preserve"> </w:t>
      </w:r>
      <w:r>
        <w:rPr>
          <w:rFonts w:hint="eastAsia"/>
        </w:rPr>
        <w:t xml:space="preserve">沙特设施遇袭和霍尔木兹油轮触雷推升风险溢价，但伊朗斡旋与美伊条件磋商又提供缓和变量，避免单边追高油气或黄金。</w:t>
      </w:r>
    </w:p>
    <w:bookmarkEnd w:id="42"/>
    <w:bookmarkStart w:id="43" w:name="中线布局"/>
    <w:p>
      <w:pPr>
        <w:pStyle w:val="Heading3"/>
      </w:pPr>
      <w:r>
        <w:rPr>
          <w:rFonts w:hint="eastAsia"/>
        </w:rPr>
        <w:t xml:space="preserve">中线布局</w:t>
      </w:r>
    </w:p>
    <w:p>
      <w:pPr>
        <w:pStyle w:val="Compact"/>
        <w:numPr>
          <w:ilvl w:val="0"/>
          <w:numId w:val="1025"/>
        </w:numPr>
      </w:pPr>
      <w:r>
        <w:rPr>
          <w:rFonts w:hint="eastAsia"/>
          <w:b/>
          <w:bCs/>
        </w:rPr>
        <w:t xml:space="preserve">健康中国：</w:t>
      </w:r>
      <w:r>
        <w:t xml:space="preserve"> </w:t>
      </w:r>
      <w:r>
        <w:rPr>
          <w:rFonts w:hint="eastAsia"/>
        </w:rPr>
        <w:t xml:space="preserve">关注兼具产品临床价值、采购能力和现金流质量的高端器械、创新药与医疗信息化企业，尤其警惕应收账款和医保降价压力。</w:t>
      </w:r>
    </w:p>
    <w:p>
      <w:pPr>
        <w:pStyle w:val="Compact"/>
        <w:numPr>
          <w:ilvl w:val="0"/>
          <w:numId w:val="1025"/>
        </w:numPr>
      </w:pPr>
      <w:r>
        <w:rPr>
          <w:rFonts w:hint="eastAsia"/>
          <w:b/>
          <w:bCs/>
        </w:rPr>
        <w:t xml:space="preserve">智能网联汽车：</w:t>
      </w:r>
      <w:r>
        <w:t xml:space="preserve"> </w:t>
      </w:r>
      <w:r>
        <w:rPr>
          <w:rFonts w:hint="eastAsia"/>
        </w:rPr>
        <w:t xml:space="preserve">等待“十五五”规划细则和车路云项目进入招标与车型搭载阶段，重点核验单车价值量、客户集中度和研发投入效率。</w:t>
      </w:r>
    </w:p>
    <w:p>
      <w:pPr>
        <w:pStyle w:val="Compact"/>
        <w:numPr>
          <w:ilvl w:val="0"/>
          <w:numId w:val="1025"/>
        </w:numPr>
      </w:pPr>
      <w:r>
        <w:rPr>
          <w:rFonts w:hint="eastAsia"/>
          <w:b/>
          <w:bCs/>
        </w:rPr>
        <w:t xml:space="preserve">数字化工具下沉：</w:t>
      </w:r>
      <w:r>
        <w:t xml:space="preserve"> </w:t>
      </w:r>
      <w:r>
        <w:rPr>
          <w:rFonts w:hint="eastAsia"/>
        </w:rPr>
        <w:t xml:space="preserve">中小企业市场空间大但付费能力有限，优先选择标准化程度高、交付轻、续费稳定的服务商。</w:t>
      </w:r>
    </w:p>
    <w:p>
      <w:pPr>
        <w:pStyle w:val="Compact"/>
        <w:numPr>
          <w:ilvl w:val="0"/>
          <w:numId w:val="1025"/>
        </w:numPr>
      </w:pPr>
      <w:r>
        <w:rPr>
          <w:rFonts w:hint="eastAsia"/>
          <w:b/>
          <w:bCs/>
        </w:rPr>
        <w:t xml:space="preserve">水利与环保：</w:t>
      </w:r>
      <w:r>
        <w:t xml:space="preserve"> </w:t>
      </w:r>
      <w:r>
        <w:rPr>
          <w:rFonts w:hint="eastAsia"/>
        </w:rPr>
        <w:t xml:space="preserve">工程属性带来订单机会，也带来资金占用风险，应同时看合同负债、经营现金流、应收账款和地方财政能力。</w:t>
      </w:r>
    </w:p>
    <w:p>
      <w:pPr>
        <w:pStyle w:val="Compact"/>
        <w:numPr>
          <w:ilvl w:val="0"/>
          <w:numId w:val="1025"/>
        </w:numPr>
      </w:pPr>
      <w:r>
        <w:rPr>
          <w:rFonts w:hint="eastAsia"/>
          <w:b/>
          <w:bCs/>
        </w:rPr>
        <w:t xml:space="preserve">品质消费与跨境电商：</w:t>
      </w:r>
      <w:r>
        <w:t xml:space="preserve"> </w:t>
      </w:r>
      <w:r>
        <w:rPr>
          <w:rFonts w:hint="eastAsia"/>
        </w:rPr>
        <w:t xml:space="preserve">关注品牌、供应链、质量控制和海外合规能力，不以政策标题替代真实GMV质量和利润率。</w:t>
      </w:r>
    </w:p>
    <w:bookmarkEnd w:id="43"/>
    <w:bookmarkStart w:id="44" w:name="风险提示"/>
    <w:p>
      <w:pPr>
        <w:pStyle w:val="Heading3"/>
      </w:pPr>
      <w:r>
        <w:rPr>
          <w:rFonts w:hint="eastAsia"/>
        </w:rPr>
        <w:t xml:space="preserve">风险提示</w:t>
      </w:r>
    </w:p>
    <w:p>
      <w:pPr>
        <w:pStyle w:val="Compact"/>
        <w:numPr>
          <w:ilvl w:val="0"/>
          <w:numId w:val="1026"/>
        </w:numPr>
      </w:pPr>
      <w:r>
        <w:rPr>
          <w:rFonts w:hint="eastAsia"/>
          <w:b/>
          <w:bCs/>
        </w:rPr>
        <w:t xml:space="preserve">政策兑现风险：</w:t>
      </w:r>
      <w:r>
        <w:t xml:space="preserve"> </w:t>
      </w:r>
      <w:r>
        <w:rPr>
          <w:rFonts w:hint="eastAsia"/>
        </w:rPr>
        <w:t xml:space="preserve">健康中国、智能网联规划和品质电商举措不等于上市公司已经取得订单。</w:t>
      </w:r>
    </w:p>
    <w:p>
      <w:pPr>
        <w:pStyle w:val="Compact"/>
        <w:numPr>
          <w:ilvl w:val="0"/>
          <w:numId w:val="1026"/>
        </w:numPr>
      </w:pPr>
      <w:r>
        <w:rPr>
          <w:rFonts w:hint="eastAsia"/>
          <w:b/>
          <w:bCs/>
        </w:rPr>
        <w:t xml:space="preserve">支付与回款风险：</w:t>
      </w:r>
      <w:r>
        <w:t xml:space="preserve"> </w:t>
      </w:r>
      <w:r>
        <w:rPr>
          <w:rFonts w:hint="eastAsia"/>
        </w:rPr>
        <w:t xml:space="preserve">医疗、水利、环保和政务数字化项目可能面临控费、低价中标、应收账款和回款周期压力。</w:t>
      </w:r>
    </w:p>
    <w:p>
      <w:pPr>
        <w:pStyle w:val="Compact"/>
        <w:numPr>
          <w:ilvl w:val="0"/>
          <w:numId w:val="1026"/>
        </w:numPr>
      </w:pPr>
      <w:r>
        <w:rPr>
          <w:rFonts w:hint="eastAsia"/>
          <w:b/>
          <w:bCs/>
        </w:rPr>
        <w:t xml:space="preserve">行业竞争风险：</w:t>
      </w:r>
      <w:r>
        <w:t xml:space="preserve"> </w:t>
      </w:r>
      <w:r>
        <w:rPr>
          <w:rFonts w:hint="eastAsia"/>
        </w:rPr>
        <w:t xml:space="preserve">新能源汽车高渗透率伴随价格战与盈利分化，服务业数字工具也可能因低价竞争削弱利润。</w:t>
      </w:r>
    </w:p>
    <w:p>
      <w:pPr>
        <w:pStyle w:val="Compact"/>
        <w:numPr>
          <w:ilvl w:val="0"/>
          <w:numId w:val="1026"/>
        </w:numPr>
      </w:pPr>
      <w:r>
        <w:rPr>
          <w:rFonts w:hint="eastAsia"/>
          <w:b/>
          <w:bCs/>
        </w:rPr>
        <w:t xml:space="preserve">题材拥挤风险：</w:t>
      </w:r>
      <w:r>
        <w:t xml:space="preserve"> </w:t>
      </w:r>
      <w:r>
        <w:rPr>
          <w:rFonts w:hint="eastAsia"/>
        </w:rPr>
        <w:t xml:space="preserve">联播重点方向若次日一致性高开，缺乏成交量、订单和趋势确认时容易冲高回落。</w:t>
      </w:r>
    </w:p>
    <w:p>
      <w:pPr>
        <w:pStyle w:val="Compact"/>
        <w:numPr>
          <w:ilvl w:val="0"/>
          <w:numId w:val="1026"/>
        </w:numPr>
      </w:pPr>
      <w:r>
        <w:rPr>
          <w:rFonts w:hint="eastAsia"/>
          <w:b/>
          <w:bCs/>
        </w:rPr>
        <w:t xml:space="preserve">国际能源风险：</w:t>
      </w:r>
      <w:r>
        <w:t xml:space="preserve"> </w:t>
      </w:r>
      <w:r>
        <w:rPr>
          <w:rFonts w:hint="eastAsia"/>
        </w:rPr>
        <w:t xml:space="preserve">沙特机场及能源设施遭袭、霍尔木兹油轮触雷可能推高油价和航运成本，但外交斡旋也可能快速压低风险溢价。</w:t>
      </w:r>
    </w:p>
    <w:p>
      <w:pPr>
        <w:pStyle w:val="Compact"/>
        <w:numPr>
          <w:ilvl w:val="0"/>
          <w:numId w:val="1026"/>
        </w:numPr>
      </w:pPr>
      <w:r>
        <w:rPr>
          <w:rFonts w:hint="eastAsia"/>
          <w:b/>
          <w:bCs/>
        </w:rPr>
        <w:t xml:space="preserve">映射偏差：</w:t>
      </w:r>
      <w:r>
        <w:t xml:space="preserve"> </w:t>
      </w:r>
      <w:r>
        <w:rPr>
          <w:rFonts w:hint="eastAsia"/>
        </w:rPr>
        <w:t xml:space="preserve">新闻中的行业方向不代表任何具体上市公司获得合同，必须结合公告、财务、估值和量价趋势核验。</w:t>
      </w:r>
    </w:p>
    <w:bookmarkEnd w:id="44"/>
    <w:bookmarkEnd w:id="45"/>
    <w:bookmarkStart w:id="46" w:name="六结论"/>
    <w:p>
      <w:pPr>
        <w:pStyle w:val="Heading2"/>
      </w:pPr>
      <w:r>
        <w:rPr>
          <w:rFonts w:hint="eastAsia"/>
        </w:rPr>
        <w:t xml:space="preserve">六、结论</w:t>
      </w:r>
    </w:p>
    <w:p>
      <w:pPr>
        <w:pStyle w:val="FirstParagraph"/>
      </w:pPr>
      <w:r>
        <w:rPr>
          <w:rFonts w:hint="eastAsia"/>
        </w:rPr>
        <w:t xml:space="preserve">今日联播的国内主轴是“健康中国纵深推进、智能网联汽车规划落地、服务业数智化加速普及、公共安全与质量监管加强”。对A股而言，医疗科技、智能网联汽车、AI行业应用、水库安全和品质电商最值得跟踪，其中健康中国兼具长期战略与现实产业数据，新能源汽车和服务业数智化则兼具景气与政策催化。海外线索明显偏风险：沙特机场和能源设施遇袭、霍尔木兹海峡连续油轮触雷，可能推高油气、油运和避险资产波动。操作上应坚持右侧确认，优先选择订单、现金流与量价趋势能够相互验证的方向，不以联播主题替代公司基本面。</w:t>
      </w:r>
    </w:p>
    <w:p>
      <w:r>
        <w:pict>
          <v:rect style="width:0;height:1.5pt" o:hralign="center" o:hrstd="t" o:hr="t"/>
        </w:pict>
      </w:r>
    </w:p>
    <w:p>
      <w:pPr>
        <w:pStyle w:val="FirstParagraph"/>
      </w:pPr>
      <w:r>
        <w:rPr>
          <w:rFonts w:hint="eastAsia"/>
          <w:i/>
          <w:iCs/>
        </w:rPr>
        <w:t xml:space="preserve">资料来源：2026年10月12日央视《新闻联播》存档原文。分析和写稿模型：GPT-5.6</w:t>
      </w:r>
      <w:r>
        <w:rPr>
          <w:i/>
          <w:iCs/>
        </w:rPr>
        <w:t xml:space="preserve"> Sol </w:t>
      </w:r>
      <w:r>
        <w:rPr>
          <w:rFonts w:hint="eastAsia"/>
          <w:i/>
          <w:iCs/>
        </w:rPr>
        <w:t xml:space="preserve">(openai-codex)。本文仅作政策与产业研究，不构成投资建议。</w:t>
      </w:r>
    </w:p>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2026-10-12T12:35:25Z</dcterms:created>
  <dcterms:modified xsi:type="dcterms:W3CDTF">2026-10-12T12:35:25Z</dcterms:modified>
</cp:coreProperties>
</file>

<file path=docProps/custom.xml><?xml version="1.0" encoding="utf-8"?>
<Properties xmlns="http://schemas.openxmlformats.org/officeDocument/2006/custom-properties" xmlns:vt="http://schemas.openxmlformats.org/officeDocument/2006/docPropsVTypes"/>
</file>