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6" w:name="年10月11日新闻联播a股影响深度解读"/>
    <w:p>
      <w:pPr>
        <w:pStyle w:val="Heading1"/>
      </w:pPr>
      <w:r>
        <w:rPr>
          <w:rFonts w:hint="eastAsia"/>
        </w:rPr>
        <w:t xml:space="preserve">2026年10月11日《新闻联播》A股影响深度解读</w:t>
      </w:r>
    </w:p>
    <w:p>
      <w:pPr>
        <w:pStyle w:val="BlockText"/>
      </w:pPr>
      <w:r>
        <w:rPr>
          <w:rFonts w:hint="eastAsia"/>
        </w:rPr>
        <w:t xml:space="preserve">唯一原文依据：</w:t>
      </w:r>
      <w:r>
        <w:rPr>
          <w:rStyle w:val="VerbatimChar"/>
        </w:rPr>
        <w:t xml:space="preserve">memory/xinwenlianbo/2026-10-11.md</w:t>
      </w:r>
      <w:r>
        <w:rPr>
          <w:rFonts w:hint="eastAsia"/>
        </w:rPr>
        <w:t xml:space="preserve">。本文按当日节目顺序覆盖全部13个分项，并拆解“国内联播快讯”6条、“国际联播快讯”4条。事实与判断分开表述；板块映射仅为政策与产业链观察，不构成个股推荐或收益承诺。</w:t>
      </w:r>
    </w:p>
    <w:bookmarkStart w:id="9" w:name="一今日联播总评"/>
    <w:p>
      <w:pPr>
        <w:pStyle w:val="Heading2"/>
      </w:pPr>
      <w:r>
        <w:rPr>
          <w:rFonts w:hint="eastAsia"/>
        </w:rPr>
        <w:t xml:space="preserve">一、今日联播总评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整体基调：国内积极、海外风险升温，结构性偏多。</w:t>
      </w:r>
      <w:r>
        <w:t xml:space="preserve"> </w:t>
      </w:r>
      <w:r>
        <w:rPr>
          <w:rFonts w:hint="eastAsia"/>
        </w:rPr>
        <w:t xml:space="preserve">国内主线由生态治理、水利工程、氢能基础设施、物流景气和深港口岸升级构成；国际部分集中提示中东机场、商船和油气设施安全风险。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政策信号强度：中强。</w:t>
      </w:r>
      <w:r>
        <w:t xml:space="preserve"> </w:t>
      </w:r>
      <w:r>
        <w:rPr>
          <w:rFonts w:hint="eastAsia"/>
        </w:rPr>
        <w:t xml:space="preserve">头条以“十五五”生态目标统领水环境、荒漠化治理、造林和智能监测；水利与氢能报道则给出明确实物工作量、试点和管网数据。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对A股总体影响：结构性利好。</w:t>
      </w:r>
      <w:r>
        <w:t xml:space="preserve"> </w:t>
      </w:r>
      <w:r>
        <w:rPr>
          <w:rFonts w:hint="eastAsia"/>
        </w:rPr>
        <w:t xml:space="preserve">环保治理、水利建设、氢能、跨境通关数字化、物流和文旅消费方向获得正面催化；全隐藏式门把手禁用等汽车安全征求意见，对相关设计方案形成约束并利好安全测试验证环节。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市场主线排序：</w:t>
      </w:r>
      <w:r>
        <w:t xml:space="preserve"> </w:t>
      </w:r>
      <w:r>
        <w:rPr>
          <w:rFonts w:hint="eastAsia"/>
        </w:rPr>
        <w:t xml:space="preserve">氢能基础设施</w:t>
      </w:r>
      <w:r>
        <w:t xml:space="preserve"> &gt; </w:t>
      </w:r>
      <w:r>
        <w:rPr>
          <w:rFonts w:hint="eastAsia"/>
        </w:rPr>
        <w:t xml:space="preserve">水利与生态治理</w:t>
      </w:r>
      <w:r>
        <w:t xml:space="preserve"> &gt; </w:t>
      </w:r>
      <w:r>
        <w:rPr>
          <w:rFonts w:hint="eastAsia"/>
        </w:rPr>
        <w:t xml:space="preserve">跨境口岸数字化/粤港澳物流</w:t>
      </w:r>
      <w:r>
        <w:t xml:space="preserve"> &gt; </w:t>
      </w:r>
      <w:r>
        <w:rPr>
          <w:rFonts w:hint="eastAsia"/>
        </w:rPr>
        <w:t xml:space="preserve">物流景气链</w:t>
      </w:r>
      <w:r>
        <w:t xml:space="preserve"> &gt; </w:t>
      </w:r>
      <w:r>
        <w:rPr>
          <w:rFonts w:hint="eastAsia"/>
        </w:rPr>
        <w:t xml:space="preserve">汽车安全检测与零部件改造</w:t>
      </w:r>
      <w:r>
        <w:t xml:space="preserve"> &gt; </w:t>
      </w:r>
      <w:r>
        <w:rPr>
          <w:rFonts w:hint="eastAsia"/>
        </w:rPr>
        <w:t xml:space="preserve">文旅消费。</w:t>
      </w:r>
    </w:p>
    <w:p>
      <w:pPr>
        <w:pStyle w:val="Compact"/>
        <w:numPr>
          <w:ilvl w:val="0"/>
          <w:numId w:val="1001"/>
        </w:numPr>
      </w:pPr>
      <w:r>
        <w:rPr>
          <w:rFonts w:hint="eastAsia"/>
          <w:b/>
          <w:bCs/>
        </w:rPr>
        <w:t xml:space="preserve">一句话总结：</w:t>
      </w:r>
      <w:r>
        <w:t xml:space="preserve"> </w:t>
      </w:r>
      <w:r>
        <w:rPr>
          <w:rFonts w:hint="eastAsia"/>
        </w:rPr>
        <w:t xml:space="preserve">今日最具交易价值的增量是氢能试点与输氢管道建设、水利重大工程加速及生态治理长期目标，但中东冲突可能通过油价、航运和风险偏好放大波动，追涨需等待量价和订单确认。</w:t>
      </w:r>
    </w:p>
    <w:bookmarkEnd w:id="9"/>
    <w:bookmarkStart w:id="15" w:name="二核心政策与产业信号"/>
    <w:p>
      <w:pPr>
        <w:pStyle w:val="Heading2"/>
      </w:pPr>
      <w:r>
        <w:rPr>
          <w:rFonts w:hint="eastAsia"/>
        </w:rPr>
        <w:t xml:space="preserve">二、核心政策与产业信号</w:t>
      </w:r>
    </w:p>
    <w:bookmarkStart w:id="10" w:name="十五五生态治理由目标约束走向工程化数字化"/>
    <w:p>
      <w:pPr>
        <w:pStyle w:val="Heading3"/>
      </w:pPr>
      <w:r>
        <w:t xml:space="preserve">1. </w:t>
      </w:r>
      <w:r>
        <w:rPr>
          <w:rFonts w:hint="eastAsia"/>
        </w:rPr>
        <w:t xml:space="preserve">“十五五”生态治理由目标约束走向工程化、数字化</w:t>
      </w:r>
      <w:r>
        <w:t xml:space="preserve"> ★★★★★</w:t>
      </w:r>
    </w:p>
    <w:p>
      <w:pPr>
        <w:pStyle w:val="FirstParagraph"/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头条明确“十五五”期间将治理太湖、丹江口库区、白洋淀、乌梁素海等30个重点湖库，推动约150个河湖水生态环境状况达到优良；空气质量优良天数比例、森林覆盖率、优良水体比例目标分别为85%、25.8%、85%。报道还提到洱海流域5700多公里污水管网、全时段智能监测网络、“三北”工程已完成2.65亿亩治理任务，以及无人机和北斗用于造林精准测量与全周期监测。</w:t>
      </w:r>
    </w:p>
    <w:p>
      <w:pPr>
        <w:pStyle w:val="BodyText"/>
      </w:pPr>
      <w:r>
        <w:rPr>
          <w:rFonts w:hint="eastAsia"/>
          <w:b/>
          <w:bCs/>
        </w:rPr>
        <w:t xml:space="preserve">通俗解码：</w:t>
      </w:r>
      <w:r>
        <w:t xml:space="preserve"> </w:t>
      </w:r>
      <w:r>
        <w:rPr>
          <w:rFonts w:hint="eastAsia"/>
        </w:rPr>
        <w:t xml:space="preserve">生态保护不是一次性主题，而是“十五五”持续形成水污染治理、生态修复、监测感知、资源化利用和国土绿化项目的长期工程链。数字化监测进入具体场景，但报道没有披露新增投资总额。</w:t>
      </w:r>
    </w:p>
    <w:p>
      <w:pPr>
        <w:pStyle w:val="BodyText"/>
      </w:pPr>
      <w:r>
        <w:rPr>
          <w:rFonts w:hint="eastAsia"/>
          <w:b/>
          <w:bCs/>
        </w:rPr>
        <w:t xml:space="preserve">A股映射：</w:t>
      </w:r>
      <w:r>
        <w:t xml:space="preserve"> </w:t>
      </w:r>
      <w:r>
        <w:rPr>
          <w:rFonts w:hint="eastAsia"/>
        </w:rPr>
        <w:t xml:space="preserve">中长期偏利好水环境治理、污水管网、生态修复、固沙造林、节水与有机废弃物资源化、环境监测、无人机测绘和北斗应用。项目制行业需重点核查财政资金、应收账款、回款周期与运营现金流。</w:t>
      </w:r>
    </w:p>
    <w:p>
      <w:pPr>
        <w:pStyle w:val="BodyText"/>
      </w:pPr>
      <w:r>
        <w:rPr>
          <w:rFonts w:hint="eastAsia"/>
          <w:b/>
          <w:bCs/>
        </w:rPr>
        <w:t xml:space="preserve">影响时效：</w:t>
      </w:r>
      <w:r>
        <w:t xml:space="preserve"> </w:t>
      </w:r>
      <w:r>
        <w:rPr>
          <w:rFonts w:hint="eastAsia"/>
        </w:rPr>
        <w:t xml:space="preserve">头条可形成短期主题催化；订单和利润兑现主要看未来数季项目招标、开工及回款。</w:t>
      </w:r>
    </w:p>
    <w:bookmarkEnd w:id="10"/>
    <w:bookmarkStart w:id="11" w:name="国家水网建设加速重大工程形成确定性实物工作量"/>
    <w:p>
      <w:pPr>
        <w:pStyle w:val="Heading3"/>
      </w:pPr>
      <w:r>
        <w:t xml:space="preserve">2. </w:t>
      </w:r>
      <w:r>
        <w:rPr>
          <w:rFonts w:hint="eastAsia"/>
        </w:rPr>
        <w:t xml:space="preserve">国家水网建设加速，重大工程形成确定性实物工作量</w:t>
      </w:r>
      <w:r>
        <w:t xml:space="preserve"> ★★★★☆</w:t>
      </w:r>
    </w:p>
    <w:p>
      <w:pPr>
        <w:pStyle w:val="FirstParagraph"/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前三季度新开工重大水利工程数量超过去年全年；三峡水运新通道是“十五五”首个开工建设的重大标志性工程，葛洲坝航运扩能进入主体施工阶段；福建上白石水利枢纽、太湖流域苕溪防洪治理工程推进；我国已完成2012处农村供水工程建设，预计年底农村自来水普及率达到97%。</w:t>
      </w:r>
    </w:p>
    <w:p>
      <w:pPr>
        <w:pStyle w:val="BodyText"/>
      </w:pPr>
      <w:r>
        <w:rPr>
          <w:rFonts w:hint="eastAsia"/>
          <w:b/>
          <w:bCs/>
        </w:rPr>
        <w:t xml:space="preserve">通俗解码：</w:t>
      </w:r>
      <w:r>
        <w:t xml:space="preserve"> </w:t>
      </w:r>
      <w:r>
        <w:rPr>
          <w:rFonts w:hint="eastAsia"/>
        </w:rPr>
        <w:t xml:space="preserve">与规划口号相比，“新开工数量超过去年全年”和多个项目进入施工阶段，意味着设计、施工、建材、工程机械及水利信息化链条存在现实工作量。</w:t>
      </w:r>
    </w:p>
    <w:p>
      <w:pPr>
        <w:pStyle w:val="BodyText"/>
      </w:pPr>
      <w:r>
        <w:rPr>
          <w:rFonts w:hint="eastAsia"/>
          <w:b/>
          <w:bCs/>
        </w:rPr>
        <w:t xml:space="preserve">A股映射：</w:t>
      </w:r>
      <w:r>
        <w:t xml:space="preserve"> </w:t>
      </w:r>
      <w:r>
        <w:rPr>
          <w:rFonts w:hint="eastAsia"/>
        </w:rPr>
        <w:t xml:space="preserve">水利施工、工程设计、水泵阀门、管材、水泥与防水材料、工程机械、智慧水务和防洪监测方向偏利好。不能由全国工程进度直接推定单一上市公司订单。</w:t>
      </w:r>
    </w:p>
    <w:p>
      <w:pPr>
        <w:pStyle w:val="BodyText"/>
      </w:pPr>
      <w:r>
        <w:rPr>
          <w:rFonts w:hint="eastAsia"/>
          <w:b/>
          <w:bCs/>
        </w:rPr>
        <w:t xml:space="preserve">影响时效：</w:t>
      </w:r>
      <w:r>
        <w:t xml:space="preserve"> </w:t>
      </w:r>
      <w:r>
        <w:rPr>
          <w:rFonts w:hint="eastAsia"/>
        </w:rPr>
        <w:t xml:space="preserve">短期有事件催化，中期看招标、施工进度、收入确认和现金回款。</w:t>
      </w:r>
    </w:p>
    <w:bookmarkEnd w:id="11"/>
    <w:bookmarkStart w:id="12" w:name="氢能首次纳入非化石能源供给体系试点与管网同步推进"/>
    <w:p>
      <w:pPr>
        <w:pStyle w:val="Heading3"/>
      </w:pPr>
      <w:r>
        <w:t xml:space="preserve">3. </w:t>
      </w:r>
      <w:r>
        <w:rPr>
          <w:rFonts w:hint="eastAsia"/>
        </w:rPr>
        <w:t xml:space="preserve">氢能首次纳入非化石能源供给体系，试点与管网同步推进</w:t>
      </w:r>
      <w:r>
        <w:t xml:space="preserve"> ★★★★☆</w:t>
      </w:r>
    </w:p>
    <w:p>
      <w:pPr>
        <w:pStyle w:val="FirstParagraph"/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国家在京津冀、粤港澳大湾区等5个城市群开展氢能综合应用试点；全国氢气年产量超过3900万吨，产能规模占全球一半以上；“十五五”规划纲要把氢能首次纳入非化石能源供给体系；内蒙古乌兰察布至北京燕山石化的国内首条跨省区输氢管道在建，全国已建成及规划在建输氢管道总里程突破1.3万公里。</w:t>
      </w:r>
    </w:p>
    <w:p>
      <w:pPr>
        <w:pStyle w:val="BodyText"/>
      </w:pPr>
      <w:r>
        <w:rPr>
          <w:rFonts w:hint="eastAsia"/>
          <w:b/>
          <w:bCs/>
        </w:rPr>
        <w:t xml:space="preserve">通俗解码：</w:t>
      </w:r>
      <w:r>
        <w:t xml:space="preserve"> </w:t>
      </w:r>
      <w:r>
        <w:rPr>
          <w:rFonts w:hint="eastAsia"/>
        </w:rPr>
        <w:t xml:space="preserve">信号从燃料电池汽车示范扩展到制、储、运、用全链条，并把绿氢与能源供给体系连接起来。最大约束仍是绿氢成本、储运安全、管道投资回报和终端需求。</w:t>
      </w:r>
    </w:p>
    <w:p>
      <w:pPr>
        <w:pStyle w:val="BodyText"/>
      </w:pPr>
      <w:r>
        <w:rPr>
          <w:rFonts w:hint="eastAsia"/>
          <w:b/>
          <w:bCs/>
        </w:rPr>
        <w:t xml:space="preserve">A股映射：</w:t>
      </w:r>
      <w:r>
        <w:t xml:space="preserve"> </w:t>
      </w:r>
      <w:r>
        <w:rPr>
          <w:rFonts w:hint="eastAsia"/>
        </w:rPr>
        <w:t xml:space="preserve">电解槽及电源、氢气压缩与储运、管材阀门、燃料电池重卡、加氢装备、风光制氢和工业用氢方向中期受益。需防范规划里程被误当作已开工或已形成收入。</w:t>
      </w:r>
    </w:p>
    <w:p>
      <w:pPr>
        <w:pStyle w:val="BodyText"/>
      </w:pPr>
      <w:r>
        <w:rPr>
          <w:rFonts w:hint="eastAsia"/>
          <w:b/>
          <w:bCs/>
        </w:rPr>
        <w:t xml:space="preserve">影响时效：</w:t>
      </w:r>
      <w:r>
        <w:t xml:space="preserve"> </w:t>
      </w:r>
      <w:r>
        <w:rPr>
          <w:rFonts w:hint="eastAsia"/>
        </w:rPr>
        <w:t xml:space="preserve">短期可能提升氢能主题热度；中期必须以项目核准、设备招标、开工和利用率验证。</w:t>
      </w:r>
    </w:p>
    <w:bookmarkEnd w:id="12"/>
    <w:bookmarkStart w:id="13" w:name="物流景气连续扩张供需与资本开支预期改善"/>
    <w:p>
      <w:pPr>
        <w:pStyle w:val="Heading3"/>
      </w:pPr>
      <w:r>
        <w:t xml:space="preserve">4. </w:t>
      </w:r>
      <w:r>
        <w:rPr>
          <w:rFonts w:hint="eastAsia"/>
        </w:rPr>
        <w:t xml:space="preserve">物流景气连续扩张，供需与资本开支预期改善</w:t>
      </w:r>
      <w:r>
        <w:t xml:space="preserve"> ★★★★</w:t>
      </w:r>
    </w:p>
    <w:p>
      <w:pPr>
        <w:pStyle w:val="FirstParagraph"/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9月中国物流业景气指数为51.5%，环比回升0.6个百分点，连续5个月处于扩张区间；新订单指数回升0.4个百分点并连续7个月回升；12个分项指数中10个环比改善，设备利用率和资金周转率提升，基础设施投资活跃，业务活动预期指数回升1.8个百分点。</w:t>
      </w:r>
    </w:p>
    <w:p>
      <w:pPr>
        <w:pStyle w:val="BodyText"/>
      </w:pPr>
      <w:r>
        <w:rPr>
          <w:rFonts w:hint="eastAsia"/>
          <w:b/>
          <w:bCs/>
        </w:rPr>
        <w:t xml:space="preserve">通俗解码：</w:t>
      </w:r>
      <w:r>
        <w:t xml:space="preserve"> </w:t>
      </w:r>
      <w:r>
        <w:rPr>
          <w:rFonts w:hint="eastAsia"/>
        </w:rPr>
        <w:t xml:space="preserve">物流需求与运营效率都在改善，四季度预期偏正面；但原文同时提示存在成本压力，因此收入改善不必然等于利润率同步扩张。</w:t>
      </w:r>
    </w:p>
    <w:p>
      <w:pPr>
        <w:pStyle w:val="BodyText"/>
      </w:pPr>
      <w:r>
        <w:rPr>
          <w:rFonts w:hint="eastAsia"/>
          <w:b/>
          <w:bCs/>
        </w:rPr>
        <w:t xml:space="preserve">A股映射：</w:t>
      </w:r>
      <w:r>
        <w:t xml:space="preserve"> </w:t>
      </w:r>
      <w:r>
        <w:rPr>
          <w:rFonts w:hint="eastAsia"/>
        </w:rPr>
        <w:t xml:space="preserve">综合物流、快递、仓储、物流装备、供应链数字化和交通基础设施方向偏利好。后续需结合货运量、价格、油价、人力成本和现金流判断盈利质量。</w:t>
      </w:r>
    </w:p>
    <w:bookmarkEnd w:id="13"/>
    <w:bookmarkStart w:id="14" w:name="新皇岗口岸提升深港通关效率数字化口岸与跨境流动受益"/>
    <w:p>
      <w:pPr>
        <w:pStyle w:val="Heading3"/>
      </w:pPr>
      <w:r>
        <w:t xml:space="preserve">5. </w:t>
      </w:r>
      <w:r>
        <w:rPr>
          <w:rFonts w:hint="eastAsia"/>
        </w:rPr>
        <w:t xml:space="preserve">新皇岗口岸提升深港通关效率，数字化口岸与跨境流动受益</w:t>
      </w:r>
      <w:r>
        <w:t xml:space="preserve"> ★★★★</w:t>
      </w:r>
    </w:p>
    <w:p>
      <w:pPr>
        <w:pStyle w:val="FirstParagraph"/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新皇岗口岸10月12日开通，提供24小时通关服务；采用“一地两检”和“合作查验、一次放行”，旅客通关时间由30分钟缩短至5分钟，日通关流量约20万人次；配置大数字孪生、VR全景平台、68条人工查验通道、134条快捷查验通道和28条车辆合作查验通道。</w:t>
      </w:r>
    </w:p>
    <w:p>
      <w:pPr>
        <w:pStyle w:val="BodyText"/>
      </w:pPr>
      <w:r>
        <w:rPr>
          <w:rFonts w:hint="eastAsia"/>
          <w:b/>
          <w:bCs/>
        </w:rPr>
        <w:t xml:space="preserve">通俗解码：</w:t>
      </w:r>
      <w:r>
        <w:t xml:space="preserve"> </w:t>
      </w:r>
      <w:r>
        <w:rPr>
          <w:rFonts w:hint="eastAsia"/>
        </w:rPr>
        <w:t xml:space="preserve">口岸升级同时改善深港人员与车辆流动效率，并展示数字孪生、智能查验在大型公共基础设施中的落地场景。</w:t>
      </w:r>
    </w:p>
    <w:p>
      <w:pPr>
        <w:pStyle w:val="BodyText"/>
      </w:pPr>
      <w:r>
        <w:rPr>
          <w:rFonts w:hint="eastAsia"/>
          <w:b/>
          <w:bCs/>
        </w:rPr>
        <w:t xml:space="preserve">A股映射：</w:t>
      </w:r>
      <w:r>
        <w:t xml:space="preserve"> </w:t>
      </w:r>
      <w:r>
        <w:rPr>
          <w:rFonts w:hint="eastAsia"/>
        </w:rPr>
        <w:t xml:space="preserve">粤港澳跨境客运与物流、口岸信息化、智能查验、数字孪生、免税零售及深圳本地服务消费可获情绪催化；真正业绩影响仍取决于客流、车流和合同归属。</w:t>
      </w:r>
    </w:p>
    <w:bookmarkEnd w:id="14"/>
    <w:bookmarkEnd w:id="15"/>
    <w:bookmarkStart w:id="39" w:name="三逐条a股影响分析按节目顺序"/>
    <w:p>
      <w:pPr>
        <w:pStyle w:val="Heading2"/>
      </w:pPr>
      <w:r>
        <w:rPr>
          <w:rFonts w:hint="eastAsia"/>
        </w:rPr>
        <w:t xml:space="preserve">三、逐条A股影响分析（按节目顺序）</w:t>
      </w:r>
    </w:p>
    <w:bookmarkStart w:id="16" w:name="新思想引领新征程守护绿水青山-共绘美丽中国新画卷"/>
    <w:p>
      <w:pPr>
        <w:pStyle w:val="Heading3"/>
      </w:pPr>
      <w:r>
        <w:rPr>
          <w:rFonts w:hint="eastAsia"/>
        </w:rPr>
        <w:t xml:space="preserve">1.【新思想引领新征程】守护绿水青山</w:t>
      </w:r>
      <w:r>
        <w:t xml:space="preserve"> </w:t>
      </w:r>
      <w:r>
        <w:rPr>
          <w:rFonts w:hint="eastAsia"/>
        </w:rPr>
        <w:t xml:space="preserve">共绘美丽中国新画卷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信号强度：★★★★★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A股影响：中长期利好，短期结构性催化。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受益方向：</w:t>
      </w:r>
      <w:r>
        <w:t xml:space="preserve"> </w:t>
      </w:r>
      <w:r>
        <w:rPr>
          <w:rFonts w:hint="eastAsia"/>
        </w:rPr>
        <w:t xml:space="preserve">水环境治理、污水管网、生态修复、固沙造林、环境监测、无人机测绘、北斗应用、有机废弃物资源化。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核心逻辑：</w:t>
      </w:r>
      <w:r>
        <w:t xml:space="preserve"> </w:t>
      </w:r>
      <w:r>
        <w:rPr>
          <w:rFonts w:hint="eastAsia"/>
        </w:rPr>
        <w:t xml:space="preserve">头条位置叠加“十五五”量化目标，且从洱海、重点湖库、“三北”工程到智能造林展示了明确应用链。生态治理兼具政策连续性与工程属性。</w:t>
      </w:r>
    </w:p>
    <w:p>
      <w:pPr>
        <w:pStyle w:val="Compact"/>
        <w:numPr>
          <w:ilvl w:val="0"/>
          <w:numId w:val="1002"/>
        </w:numPr>
      </w:pPr>
      <w:r>
        <w:rPr>
          <w:rFonts w:hint="eastAsia"/>
          <w:b/>
          <w:bCs/>
        </w:rPr>
        <w:t xml:space="preserve">风险与证伪：</w:t>
      </w:r>
      <w:r>
        <w:t xml:space="preserve"> </w:t>
      </w:r>
      <w:r>
        <w:rPr>
          <w:rFonts w:hint="eastAsia"/>
        </w:rPr>
        <w:t xml:space="preserve">原文没有公布新增资金规模；若后续招标、财政拨款或回款偏慢，主题热度可能强于企业利润。</w:t>
      </w:r>
    </w:p>
    <w:bookmarkEnd w:id="16"/>
    <w:bookmarkStart w:id="17" w:name="王沪宁会见越南国会主席"/>
    <w:p>
      <w:pPr>
        <w:pStyle w:val="Heading3"/>
      </w:pPr>
      <w:r>
        <w:t xml:space="preserve">2. </w:t>
      </w:r>
      <w:r>
        <w:rPr>
          <w:rFonts w:hint="eastAsia"/>
        </w:rPr>
        <w:t xml:space="preserve">王沪宁会见越南国会主席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信号强度：★★★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A股影响：总体中性，对中越经贸合作方向温和正面。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双方强调遵循两党两国最高领导人战略指引，高质量推进各领域互利合作和中越命运共同体建设；越方重申一个中国政策。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受益方向：</w:t>
      </w:r>
      <w:r>
        <w:t xml:space="preserve"> </w:t>
      </w:r>
      <w:r>
        <w:rPr>
          <w:rFonts w:hint="eastAsia"/>
        </w:rPr>
        <w:t xml:space="preserve">面向越南的跨境物流、工程承包、边贸和供应链服务可作中长期观察。</w:t>
      </w:r>
    </w:p>
    <w:p>
      <w:pPr>
        <w:pStyle w:val="Compact"/>
        <w:numPr>
          <w:ilvl w:val="0"/>
          <w:numId w:val="1003"/>
        </w:numPr>
      </w:pPr>
      <w:r>
        <w:rPr>
          <w:rFonts w:hint="eastAsia"/>
          <w:b/>
          <w:bCs/>
        </w:rPr>
        <w:t xml:space="preserve">边界：</w:t>
      </w:r>
      <w:r>
        <w:t xml:space="preserve"> </w:t>
      </w:r>
      <w:r>
        <w:rPr>
          <w:rFonts w:hint="eastAsia"/>
        </w:rPr>
        <w:t xml:space="preserve">会见未披露新增协议、项目金额或关税安排，不构成即时业绩催化。</w:t>
      </w:r>
    </w:p>
    <w:bookmarkEnd w:id="17"/>
    <w:bookmarkStart w:id="18" w:name="中国物流业景气指数连续5个月扩张"/>
    <w:p>
      <w:pPr>
        <w:pStyle w:val="Heading3"/>
      </w:pPr>
      <w:r>
        <w:t xml:space="preserve">3. </w:t>
      </w:r>
      <w:r>
        <w:rPr>
          <w:rFonts w:hint="eastAsia"/>
        </w:rPr>
        <w:t xml:space="preserve">中国物流业景气指数连续5个月扩张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信号强度：★★★★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A股影响：物流及供应链板块偏利好。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受益方向：</w:t>
      </w:r>
      <w:r>
        <w:t xml:space="preserve"> </w:t>
      </w:r>
      <w:r>
        <w:rPr>
          <w:rFonts w:hint="eastAsia"/>
        </w:rPr>
        <w:t xml:space="preserve">综合物流、快递、仓储、物流自动化、供应链软件和交通基础设施。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受益逻辑：</w:t>
      </w:r>
      <w:r>
        <w:t xml:space="preserve"> </w:t>
      </w:r>
      <w:r>
        <w:rPr>
          <w:rFonts w:hint="eastAsia"/>
        </w:rPr>
        <w:t xml:space="preserve">业务量、新订单、设备利用率、资金周转和预期指数共同改善，表明行业景气并非单一指标反弹。</w:t>
      </w:r>
    </w:p>
    <w:p>
      <w:pPr>
        <w:pStyle w:val="Compact"/>
        <w:numPr>
          <w:ilvl w:val="0"/>
          <w:numId w:val="1004"/>
        </w:numPr>
      </w:pPr>
      <w:r>
        <w:rPr>
          <w:rFonts w:hint="eastAsia"/>
          <w:b/>
          <w:bCs/>
        </w:rPr>
        <w:t xml:space="preserve">潜在约束：</w:t>
      </w:r>
      <w:r>
        <w:t xml:space="preserve"> </w:t>
      </w:r>
      <w:r>
        <w:rPr>
          <w:rFonts w:hint="eastAsia"/>
        </w:rPr>
        <w:t xml:space="preserve">成本压力仍在，油价若因中东风险上行，运输企业利润修复可能被削弱。</w:t>
      </w:r>
    </w:p>
    <w:bookmarkEnd w:id="18"/>
    <w:bookmarkStart w:id="19" w:name="前三季度新开工重大水利工程数量超去年全年"/>
    <w:p>
      <w:pPr>
        <w:pStyle w:val="Heading3"/>
      </w:pPr>
      <w:r>
        <w:t xml:space="preserve">4. </w:t>
      </w:r>
      <w:r>
        <w:rPr>
          <w:rFonts w:hint="eastAsia"/>
        </w:rPr>
        <w:t xml:space="preserve">前三季度新开工重大水利工程数量超去年全年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信号强度：★★★★☆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A股影响：水利基建产业链中期利好。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受益方向：</w:t>
      </w:r>
      <w:r>
        <w:t xml:space="preserve"> </w:t>
      </w:r>
      <w:r>
        <w:rPr>
          <w:rFonts w:hint="eastAsia"/>
        </w:rPr>
        <w:t xml:space="preserve">水利施工、工程设计、管材阀门、水泵、水泥、防水材料、工程机械和智慧水务。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受益逻辑：</w:t>
      </w:r>
      <w:r>
        <w:t xml:space="preserve"> </w:t>
      </w:r>
      <w:r>
        <w:rPr>
          <w:rFonts w:hint="eastAsia"/>
        </w:rPr>
        <w:t xml:space="preserve">三峡水运新通道、葛洲坝航运扩能、上白石水利枢纽和苕溪防洪治理均对应明确建设进度，农村供水工程则延伸到县域民生基础设施。</w:t>
      </w:r>
    </w:p>
    <w:p>
      <w:pPr>
        <w:pStyle w:val="Compact"/>
        <w:numPr>
          <w:ilvl w:val="0"/>
          <w:numId w:val="1005"/>
        </w:numPr>
      </w:pPr>
      <w:r>
        <w:rPr>
          <w:rFonts w:hint="eastAsia"/>
          <w:b/>
          <w:bCs/>
        </w:rPr>
        <w:t xml:space="preserve">风险与证伪：</w:t>
      </w:r>
      <w:r>
        <w:t xml:space="preserve"> </w:t>
      </w:r>
      <w:r>
        <w:rPr>
          <w:rFonts w:hint="eastAsia"/>
        </w:rPr>
        <w:t xml:space="preserve">项目进度、低价中标、应收账款和地方资金约束可能造成收入与现金流错配。</w:t>
      </w:r>
    </w:p>
    <w:bookmarkEnd w:id="19"/>
    <w:bookmarkStart w:id="20" w:name="我国氢能产业进入发展快车道"/>
    <w:p>
      <w:pPr>
        <w:pStyle w:val="Heading3"/>
      </w:pPr>
      <w:r>
        <w:t xml:space="preserve">5. </w:t>
      </w:r>
      <w:r>
        <w:rPr>
          <w:rFonts w:hint="eastAsia"/>
        </w:rPr>
        <w:t xml:space="preserve">我国氢能产业进入发展快车道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信号强度：★★★★☆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A股影响：氢能全产业链偏利好。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受益方向：</w:t>
      </w:r>
      <w:r>
        <w:t xml:space="preserve"> </w:t>
      </w:r>
      <w:r>
        <w:rPr>
          <w:rFonts w:hint="eastAsia"/>
        </w:rPr>
        <w:t xml:space="preserve">绿氢电解槽、储运与压缩设备、输氢管道、阀门、燃料电池重卡、加氢站及工业用氢。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受益逻辑：</w:t>
      </w:r>
      <w:r>
        <w:t xml:space="preserve"> </w:t>
      </w:r>
      <w:r>
        <w:rPr>
          <w:rFonts w:hint="eastAsia"/>
        </w:rPr>
        <w:t xml:space="preserve">5个城市群试点、氢能纳入非化石能源供给体系、跨省输氢管道和1.3万公里已建及规划管网共同强化产业化预期。</w:t>
      </w:r>
    </w:p>
    <w:p>
      <w:pPr>
        <w:pStyle w:val="Compact"/>
        <w:numPr>
          <w:ilvl w:val="0"/>
          <w:numId w:val="1006"/>
        </w:numPr>
      </w:pPr>
      <w:r>
        <w:rPr>
          <w:rFonts w:hint="eastAsia"/>
          <w:b/>
          <w:bCs/>
        </w:rPr>
        <w:t xml:space="preserve">风险与证伪：</w:t>
      </w:r>
      <w:r>
        <w:t xml:space="preserve"> </w:t>
      </w:r>
      <w:r>
        <w:rPr>
          <w:rFonts w:hint="eastAsia"/>
        </w:rPr>
        <w:t xml:space="preserve">“规划在建”不等同于投产；需跟踪绿氢成本、设备招标、管网利用率和补贴依赖。</w:t>
      </w:r>
    </w:p>
    <w:bookmarkEnd w:id="20"/>
    <w:bookmarkStart w:id="21" w:name="文化中国行无声的见证-不朽的信仰"/>
    <w:p>
      <w:pPr>
        <w:pStyle w:val="Heading3"/>
      </w:pPr>
      <w:r>
        <w:rPr>
          <w:rFonts w:hint="eastAsia"/>
        </w:rPr>
        <w:t xml:space="preserve">6.【文化中国行】无声的见证</w:t>
      </w:r>
      <w:r>
        <w:t xml:space="preserve"> </w:t>
      </w:r>
      <w:r>
        <w:rPr>
          <w:rFonts w:hint="eastAsia"/>
        </w:rPr>
        <w:t xml:space="preserve">不朽的信仰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信号强度：★★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A股影响：整体中性，红色文旅方向弱主题影响。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报道围绕长征胜利90周年，通过湘江战役纪念馆藏品和陈树湘、易荡平事迹回顾长征精神。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受益方向：</w:t>
      </w:r>
      <w:r>
        <w:t xml:space="preserve"> </w:t>
      </w:r>
      <w:r>
        <w:rPr>
          <w:rFonts w:hint="eastAsia"/>
        </w:rPr>
        <w:t xml:space="preserve">红色文旅、纪念馆数字展示和文博服务可获得阶段性关注。</w:t>
      </w:r>
    </w:p>
    <w:p>
      <w:pPr>
        <w:pStyle w:val="Compact"/>
        <w:numPr>
          <w:ilvl w:val="0"/>
          <w:numId w:val="1007"/>
        </w:numPr>
      </w:pPr>
      <w:r>
        <w:rPr>
          <w:rFonts w:hint="eastAsia"/>
          <w:b/>
          <w:bCs/>
        </w:rPr>
        <w:t xml:space="preserve">边界：</w:t>
      </w:r>
      <w:r>
        <w:t xml:space="preserve"> </w:t>
      </w:r>
      <w:r>
        <w:rPr>
          <w:rFonts w:hint="eastAsia"/>
        </w:rPr>
        <w:t xml:space="preserve">原文没有新增文旅项目、财政投入或消费数据，不能扩大为明确产业利好。</w:t>
      </w:r>
    </w:p>
    <w:bookmarkEnd w:id="21"/>
    <w:bookmarkStart w:id="22" w:name="新皇岗口岸落成-明日开通运行"/>
    <w:p>
      <w:pPr>
        <w:pStyle w:val="Heading3"/>
      </w:pPr>
      <w:r>
        <w:t xml:space="preserve">7. </w:t>
      </w:r>
      <w:r>
        <w:rPr>
          <w:rFonts w:hint="eastAsia"/>
        </w:rPr>
        <w:t xml:space="preserve">新皇岗口岸落成</w:t>
      </w:r>
      <w:r>
        <w:t xml:space="preserve"> </w:t>
      </w:r>
      <w:r>
        <w:rPr>
          <w:rFonts w:hint="eastAsia"/>
        </w:rPr>
        <w:t xml:space="preserve">明日开通运行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  <w:b/>
          <w:bCs/>
        </w:rPr>
        <w:t xml:space="preserve">信号强度：★★★★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  <w:b/>
          <w:bCs/>
        </w:rPr>
        <w:t xml:space="preserve">A股影响：粤港澳跨境流动与口岸数字化偏利好。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  <w:b/>
          <w:bCs/>
        </w:rPr>
        <w:t xml:space="preserve">受益方向：</w:t>
      </w:r>
      <w:r>
        <w:t xml:space="preserve"> </w:t>
      </w:r>
      <w:r>
        <w:rPr>
          <w:rFonts w:hint="eastAsia"/>
        </w:rPr>
        <w:t xml:space="preserve">跨境交通与物流、口岸信息化、智能查验、数字孪生、深圳本地消费和免税服务。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  <w:b/>
          <w:bCs/>
        </w:rPr>
        <w:t xml:space="preserve">受益逻辑：</w:t>
      </w:r>
      <w:r>
        <w:t xml:space="preserve"> </w:t>
      </w:r>
      <w:r>
        <w:rPr>
          <w:rFonts w:hint="eastAsia"/>
        </w:rPr>
        <w:t xml:space="preserve">24小时通关、一次排队一次核验及通关时间由30分钟降至5分钟，有助于提升人员和车辆流转效率。</w:t>
      </w:r>
    </w:p>
    <w:p>
      <w:pPr>
        <w:pStyle w:val="Compact"/>
        <w:numPr>
          <w:ilvl w:val="0"/>
          <w:numId w:val="1008"/>
        </w:numPr>
      </w:pPr>
      <w:r>
        <w:rPr>
          <w:rFonts w:hint="eastAsia"/>
          <w:b/>
          <w:bCs/>
        </w:rPr>
        <w:t xml:space="preserve">风险与证伪：</w:t>
      </w:r>
      <w:r>
        <w:t xml:space="preserve"> </w:t>
      </w:r>
      <w:r>
        <w:rPr>
          <w:rFonts w:hint="eastAsia"/>
        </w:rPr>
        <w:t xml:space="preserve">建筑和设备已经落成，新增订单弹性未必持续；后续看真实客流、车流和商业配套转化。</w:t>
      </w:r>
    </w:p>
    <w:bookmarkEnd w:id="22"/>
    <w:bookmarkStart w:id="23" w:name="第三次新疆综合科学考察成果发布"/>
    <w:p>
      <w:pPr>
        <w:pStyle w:val="Heading3"/>
      </w:pPr>
      <w:r>
        <w:t xml:space="preserve">8. </w:t>
      </w:r>
      <w:r>
        <w:rPr>
          <w:rFonts w:hint="eastAsia"/>
        </w:rPr>
        <w:t xml:space="preserve">第三次新疆综合科学考察成果发布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  <w:b/>
          <w:bCs/>
        </w:rPr>
        <w:t xml:space="preserve">信号强度：★★★☆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  <w:b/>
          <w:bCs/>
        </w:rPr>
        <w:t xml:space="preserve">A股影响：新疆资源、特色农业和生态研究方向结构性利好。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近30年河川年均径流量较前40年增加约100亿立方米，湖泊湿地面积扩大约三分之一；查明塔里木盆地2200余万亩连片富硒土壤带，发现新物种33个、新增中国或新疆新记录种243个，探明吐哈盆地富油煤储量775亿吨。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  <w:b/>
          <w:bCs/>
        </w:rPr>
        <w:t xml:space="preserve">受益方向：</w:t>
      </w:r>
      <w:r>
        <w:t xml:space="preserve"> </w:t>
      </w:r>
      <w:r>
        <w:rPr>
          <w:rFonts w:hint="eastAsia"/>
        </w:rPr>
        <w:t xml:space="preserve">富硒农业、生态监测、水资源管理、煤炭资源勘探与煤化工可作中长期观察。</w:t>
      </w:r>
    </w:p>
    <w:p>
      <w:pPr>
        <w:pStyle w:val="Compact"/>
        <w:numPr>
          <w:ilvl w:val="0"/>
          <w:numId w:val="1009"/>
        </w:numPr>
      </w:pPr>
      <w:r>
        <w:rPr>
          <w:rFonts w:hint="eastAsia"/>
          <w:b/>
          <w:bCs/>
        </w:rPr>
        <w:t xml:space="preserve">风险与证伪：</w:t>
      </w:r>
      <w:r>
        <w:t xml:space="preserve"> </w:t>
      </w:r>
      <w:r>
        <w:rPr>
          <w:rFonts w:hint="eastAsia"/>
        </w:rPr>
        <w:t xml:space="preserve">科考“探明资源”不等于获得采矿权、形成可采储量或马上商业化；生态约束、开发成本和审批仍是关键。</w:t>
      </w:r>
    </w:p>
    <w:bookmarkEnd w:id="23"/>
    <w:bookmarkStart w:id="24" w:name="一线调研一条老街的精打细算"/>
    <w:p>
      <w:pPr>
        <w:pStyle w:val="Heading3"/>
      </w:pPr>
      <w:r>
        <w:rPr>
          <w:rFonts w:hint="eastAsia"/>
        </w:rPr>
        <w:t xml:space="preserve">9.【一线调研】一条老街的“精打细算”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  <w:b/>
          <w:bCs/>
        </w:rPr>
        <w:t xml:space="preserve">信号强度：★★★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  <w:b/>
          <w:bCs/>
        </w:rPr>
        <w:t xml:space="preserve">A股影响：服务消费、商业运营和零售数字化温和利好。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南京老门东通过首店、AI体验、国潮体验、特色伴手礼和潮玩场景减少同质化，并用营业额、交易笔数和客流数据进行精细运营；街区一年举办活动超过250天，并设置骑手专用通道。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  <w:b/>
          <w:bCs/>
        </w:rPr>
        <w:t xml:space="preserve">受益方向：</w:t>
      </w:r>
      <w:r>
        <w:t xml:space="preserve"> </w:t>
      </w:r>
      <w:r>
        <w:rPr>
          <w:rFonts w:hint="eastAsia"/>
        </w:rPr>
        <w:t xml:space="preserve">商业街区运营、文旅消费、国潮品牌、潮玩、零售SaaS和客流分析。</w:t>
      </w:r>
    </w:p>
    <w:p>
      <w:pPr>
        <w:pStyle w:val="Compact"/>
        <w:numPr>
          <w:ilvl w:val="0"/>
          <w:numId w:val="1010"/>
        </w:numPr>
      </w:pPr>
      <w:r>
        <w:rPr>
          <w:rFonts w:hint="eastAsia"/>
          <w:b/>
          <w:bCs/>
        </w:rPr>
        <w:t xml:space="preserve">风险与证伪：</w:t>
      </w:r>
      <w:r>
        <w:t xml:space="preserve"> </w:t>
      </w:r>
      <w:r>
        <w:rPr>
          <w:rFonts w:hint="eastAsia"/>
        </w:rPr>
        <w:t xml:space="preserve">单一街区案例具有示范意义但不可直接外推全国，更不能据此推定上市公司收入。</w:t>
      </w:r>
    </w:p>
    <w:bookmarkEnd w:id="24"/>
    <w:bookmarkStart w:id="25" w:name="特色赏秋带动文旅消费"/>
    <w:p>
      <w:pPr>
        <w:pStyle w:val="Heading3"/>
      </w:pPr>
      <w:r>
        <w:t xml:space="preserve">10. </w:t>
      </w:r>
      <w:r>
        <w:rPr>
          <w:rFonts w:hint="eastAsia"/>
        </w:rPr>
        <w:t xml:space="preserve">特色赏秋带动文旅消费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  <w:b/>
          <w:bCs/>
        </w:rPr>
        <w:t xml:space="preserve">信号强度：★★★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  <w:b/>
          <w:bCs/>
        </w:rPr>
        <w:t xml:space="preserve">A股影响：文旅、酒店餐饮和户外体验短期偏利好。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内蒙古、辽宁、黑龙江、安徽、浙江、江西等地以赏秋、文化演出、美食市集、水上运动和农事体验带动消费；浙江衢州东坪村国庆旅游综合收入超过200万元，较往年同期增长约80%。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  <w:b/>
          <w:bCs/>
        </w:rPr>
        <w:t xml:space="preserve">受益方向：</w:t>
      </w:r>
      <w:r>
        <w:t xml:space="preserve"> </w:t>
      </w:r>
      <w:r>
        <w:rPr>
          <w:rFonts w:hint="eastAsia"/>
        </w:rPr>
        <w:t xml:space="preserve">景区、酒店民宿、餐饮供应链、户外运动、地方文旅运营。</w:t>
      </w:r>
    </w:p>
    <w:p>
      <w:pPr>
        <w:pStyle w:val="Compact"/>
        <w:numPr>
          <w:ilvl w:val="0"/>
          <w:numId w:val="1011"/>
        </w:numPr>
      </w:pPr>
      <w:r>
        <w:rPr>
          <w:rFonts w:hint="eastAsia"/>
          <w:b/>
          <w:bCs/>
        </w:rPr>
        <w:t xml:space="preserve">风险与证伪：</w:t>
      </w:r>
      <w:r>
        <w:t xml:space="preserve"> </w:t>
      </w:r>
      <w:r>
        <w:rPr>
          <w:rFonts w:hint="eastAsia"/>
        </w:rPr>
        <w:t xml:space="preserve">秋季客流具有季节性，村级案例不能代表全行业；需跟踪客单价、利润率和淡季经营。</w:t>
      </w:r>
    </w:p>
    <w:bookmarkEnd w:id="25"/>
    <w:bookmarkStart w:id="32" w:name="国内联播快讯6条全部覆盖"/>
    <w:p>
      <w:pPr>
        <w:pStyle w:val="Heading3"/>
      </w:pPr>
      <w:r>
        <w:t xml:space="preserve">11. </w:t>
      </w:r>
      <w:r>
        <w:rPr>
          <w:rFonts w:hint="eastAsia"/>
        </w:rPr>
        <w:t xml:space="preserve">国内联播快讯（6条全部覆盖）</w:t>
      </w:r>
    </w:p>
    <w:bookmarkStart w:id="26" w:name="我国进一步加强汽车产品安全管理"/>
    <w:p>
      <w:pPr>
        <w:pStyle w:val="Heading4"/>
      </w:pPr>
      <w:r>
        <w:t xml:space="preserve">11.1 </w:t>
      </w:r>
      <w:r>
        <w:rPr>
          <w:rFonts w:hint="eastAsia"/>
        </w:rPr>
        <w:t xml:space="preserve">我国进一步加强汽车产品安全管理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  <w:b/>
          <w:bCs/>
        </w:rPr>
        <w:t xml:space="preserve">信号强度：★★★★</w:t>
      </w:r>
      <w:r>
        <w:rPr>
          <w:rFonts w:hint="eastAsia"/>
        </w:rPr>
        <w:t xml:space="preserve">；</w:t>
      </w:r>
      <w:r>
        <w:rPr>
          <w:rFonts w:hint="eastAsia"/>
          <w:b/>
          <w:bCs/>
        </w:rPr>
        <w:t xml:space="preserve">影响：安全零部件与测试验证受益，部分设计方案承压。</w:t>
      </w:r>
    </w:p>
    <w:p>
      <w:pPr>
        <w:pStyle w:val="Compact"/>
        <w:numPr>
          <w:ilvl w:val="0"/>
          <w:numId w:val="1012"/>
        </w:numPr>
      </w:pPr>
      <w:r>
        <w:rPr>
          <w:rFonts w:hint="eastAsia"/>
        </w:rPr>
        <w:t xml:space="preserve">四部门征求意见稿提出禁止配备全隐藏式门把手、不得采用折叠显示屏，环境适应性验证周期不少于1年、可靠性验证试验不低于30000公里。传统机械冗余门把手、汽车检测认证、试验设备和安全设计服务可能受益；采用相关设计的车型可能面临改型、验证周期与成本增加。征求意见稿尚需跟踪最终版本和实施范围。</w:t>
      </w:r>
    </w:p>
    <w:bookmarkEnd w:id="26"/>
    <w:bookmarkStart w:id="27" w:name="前9个月全国二手房交易网签面积同比增长超10"/>
    <w:p>
      <w:pPr>
        <w:pStyle w:val="Heading4"/>
      </w:pPr>
      <w:r>
        <w:t xml:space="preserve">11.2 </w:t>
      </w:r>
      <w:r>
        <w:rPr>
          <w:rFonts w:hint="eastAsia"/>
        </w:rPr>
        <w:t xml:space="preserve">前9个月全国二手房交易网签面积同比增长超10%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  <w:b/>
          <w:bCs/>
        </w:rPr>
        <w:t xml:space="preserve">信号强度：★★★☆</w:t>
      </w:r>
      <w:r>
        <w:rPr>
          <w:rFonts w:hint="eastAsia"/>
        </w:rPr>
        <w:t xml:space="preserve">；</w:t>
      </w:r>
      <w:r>
        <w:rPr>
          <w:rFonts w:hint="eastAsia"/>
          <w:b/>
          <w:bCs/>
        </w:rPr>
        <w:t xml:space="preserve">影响：房地产交易链情绪偏利好。</w:t>
      </w:r>
    </w:p>
    <w:p>
      <w:pPr>
        <w:pStyle w:val="Compact"/>
        <w:numPr>
          <w:ilvl w:val="0"/>
          <w:numId w:val="1013"/>
        </w:numPr>
      </w:pPr>
      <w:r>
        <w:rPr>
          <w:rFonts w:hint="eastAsia"/>
        </w:rPr>
        <w:t xml:space="preserve">全国二手房网签面积61746万平方米，同比增长10.7%，北京成交量创近5年最高。关注房产经纪、家装、物业服务和存量房金融服务，但成交面积改善不等于房价、开发投资或新房销售同步回升。</w:t>
      </w:r>
    </w:p>
    <w:bookmarkEnd w:id="27"/>
    <w:bookmarkStart w:id="28" w:name="今年8月全国企业信用水平稳步回升"/>
    <w:p>
      <w:pPr>
        <w:pStyle w:val="Heading4"/>
      </w:pPr>
      <w:r>
        <w:t xml:space="preserve">11.3 </w:t>
      </w:r>
      <w:r>
        <w:rPr>
          <w:rFonts w:hint="eastAsia"/>
        </w:rPr>
        <w:t xml:space="preserve">今年8月全国企业信用水平稳步回升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  <w:b/>
          <w:bCs/>
        </w:rPr>
        <w:t xml:space="preserve">信号强度：★★★</w:t>
      </w:r>
      <w:r>
        <w:rPr>
          <w:rFonts w:hint="eastAsia"/>
        </w:rPr>
        <w:t xml:space="preserve">；</w:t>
      </w:r>
      <w:r>
        <w:rPr>
          <w:rFonts w:hint="eastAsia"/>
          <w:b/>
          <w:bCs/>
        </w:rPr>
        <w:t xml:space="preserve">影响：宏观风险偏好温和正面。</w:t>
      </w:r>
    </w:p>
    <w:p>
      <w:pPr>
        <w:pStyle w:val="Compact"/>
        <w:numPr>
          <w:ilvl w:val="0"/>
          <w:numId w:val="1014"/>
        </w:numPr>
      </w:pPr>
      <w:r>
        <w:rPr>
          <w:rFonts w:hint="eastAsia"/>
        </w:rPr>
        <w:t xml:space="preserve">8月中国企业信用指数为161.32，较7月上升2.45点；制造业及交通运输、仓储邮政、批发零售环比增长较快，制造业达到今年以来最高排名。该指标反映经营信用改善，但不直接替代利润、订单和现金流数据。</w:t>
      </w:r>
    </w:p>
    <w:bookmarkEnd w:id="28"/>
    <w:bookmarkStart w:id="29" w:name="教育部启动教师ai素养全覆盖培训"/>
    <w:p>
      <w:pPr>
        <w:pStyle w:val="Heading4"/>
      </w:pPr>
      <w:r>
        <w:t xml:space="preserve">11.4 </w:t>
      </w:r>
      <w:r>
        <w:rPr>
          <w:rFonts w:hint="eastAsia"/>
        </w:rPr>
        <w:t xml:space="preserve">教育部启动教师AI素养全覆盖培训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  <w:b/>
          <w:bCs/>
        </w:rPr>
        <w:t xml:space="preserve">信号强度：★★★☆</w:t>
      </w:r>
      <w:r>
        <w:rPr>
          <w:rFonts w:hint="eastAsia"/>
        </w:rPr>
        <w:t xml:space="preserve">；</w:t>
      </w:r>
      <w:r>
        <w:rPr>
          <w:rFonts w:hint="eastAsia"/>
          <w:b/>
          <w:bCs/>
        </w:rPr>
        <w:t xml:space="preserve">影响：教育数字化与AI培训方向偏利好。</w:t>
      </w:r>
    </w:p>
    <w:p>
      <w:pPr>
        <w:pStyle w:val="Compact"/>
        <w:numPr>
          <w:ilvl w:val="0"/>
          <w:numId w:val="1015"/>
        </w:numPr>
      </w:pPr>
      <w:r>
        <w:rPr>
          <w:rFonts w:hint="eastAsia"/>
        </w:rPr>
        <w:t xml:space="preserve">国家级教师发展中心平台将开设AI素养专区，集成学习资源、智能工具和研修社群。关注教育信息化平台、合规教育大模型、教师培训和数字内容；原文没有采购金额或厂商信息，需防概念泛化。</w:t>
      </w:r>
    </w:p>
    <w:bookmarkEnd w:id="29"/>
    <w:bookmarkStart w:id="30" w:name="第140届广交会首期2.5万个展位基本完成搭建"/>
    <w:p>
      <w:pPr>
        <w:pStyle w:val="Heading4"/>
      </w:pPr>
      <w:r>
        <w:t xml:space="preserve">11.5 </w:t>
      </w:r>
      <w:r>
        <w:rPr>
          <w:rFonts w:hint="eastAsia"/>
        </w:rPr>
        <w:t xml:space="preserve">第140届广交会首期2.5万个展位基本完成搭建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  <w:b/>
          <w:bCs/>
        </w:rPr>
        <w:t xml:space="preserve">信号强度：★★★</w:t>
      </w:r>
      <w:r>
        <w:rPr>
          <w:rFonts w:hint="eastAsia"/>
        </w:rPr>
        <w:t xml:space="preserve">；</w:t>
      </w:r>
      <w:r>
        <w:rPr>
          <w:rFonts w:hint="eastAsia"/>
          <w:b/>
          <w:bCs/>
        </w:rPr>
        <w:t xml:space="preserve">影响：会展、先进制造和外贸服务温和利好。</w:t>
      </w:r>
    </w:p>
    <w:p>
      <w:pPr>
        <w:pStyle w:val="Compact"/>
        <w:numPr>
          <w:ilvl w:val="0"/>
          <w:numId w:val="1016"/>
        </w:numPr>
      </w:pPr>
      <w:r>
        <w:rPr>
          <w:rFonts w:hint="eastAsia"/>
        </w:rPr>
        <w:t xml:space="preserve">首期展览面积52万平方米、聚焦先进制造，10月15日开幕。关注会展运营、酒店交通、跨境物流和先进制造出海服务；实际效果需用到会采购商、签约和出口订单验证。</w:t>
      </w:r>
    </w:p>
    <w:bookmarkEnd w:id="30"/>
    <w:bookmarkStart w:id="31" w:name="世界市长对话洛阳活动举行"/>
    <w:p>
      <w:pPr>
        <w:pStyle w:val="Heading4"/>
      </w:pPr>
      <w:r>
        <w:t xml:space="preserve">11.6 </w:t>
      </w:r>
      <w:r>
        <w:rPr>
          <w:rFonts w:hint="eastAsia"/>
        </w:rPr>
        <w:t xml:space="preserve">“2026世界市长对话·洛阳”活动举行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  <w:b/>
          <w:bCs/>
        </w:rPr>
        <w:t xml:space="preserve">信号强度：★★</w:t>
      </w:r>
      <w:r>
        <w:rPr>
          <w:rFonts w:hint="eastAsia"/>
        </w:rPr>
        <w:t xml:space="preserve">；</w:t>
      </w:r>
      <w:r>
        <w:rPr>
          <w:rFonts w:hint="eastAsia"/>
          <w:b/>
          <w:bCs/>
        </w:rPr>
        <w:t xml:space="preserve">影响：整体中性，城市文旅与国际交流弱主题。</w:t>
      </w:r>
    </w:p>
    <w:p>
      <w:pPr>
        <w:pStyle w:val="Compact"/>
        <w:numPr>
          <w:ilvl w:val="0"/>
          <w:numId w:val="1017"/>
        </w:numPr>
      </w:pPr>
      <w:r>
        <w:rPr>
          <w:rFonts w:hint="eastAsia"/>
        </w:rPr>
        <w:t xml:space="preserve">来自10余个国家的城市代表围绕古都焕新与城市文明开展对话，并发布《城市文明洛阳共识》。原文没有新增项目和投资金额，A股基本面影响有限。</w:t>
      </w:r>
    </w:p>
    <w:bookmarkEnd w:id="31"/>
    <w:bookmarkEnd w:id="32"/>
    <w:bookmarkStart w:id="33" w:name="沙特利雅得机场遭袭致12人死309人伤"/>
    <w:p>
      <w:pPr>
        <w:pStyle w:val="Heading3"/>
      </w:pPr>
      <w:r>
        <w:t xml:space="preserve">12. </w:t>
      </w:r>
      <w:r>
        <w:rPr>
          <w:rFonts w:hint="eastAsia"/>
        </w:rPr>
        <w:t xml:space="preserve">沙特利雅得机场遭袭致12人死309人伤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  <w:b/>
          <w:bCs/>
        </w:rPr>
        <w:t xml:space="preserve">信号强度：★★★★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  <w:b/>
          <w:bCs/>
        </w:rPr>
        <w:t xml:space="preserve">A股影响：全球风险偏好偏空，能源、航运与航空链波动上升。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  <w:b/>
          <w:bCs/>
        </w:rPr>
        <w:t xml:space="preserve">原文事实：</w:t>
      </w:r>
      <w:r>
        <w:t xml:space="preserve"> </w:t>
      </w:r>
      <w:r>
        <w:rPr>
          <w:rFonts w:hint="eastAsia"/>
        </w:rPr>
        <w:t xml:space="preserve">利雅得哈立德国王国际机场遭袭，造成12人死亡、309人受伤并暂停运营；多国联军表示将回应，美国称可能加入军事行动但尚未决定。胡塞武装随后警告沙特多地机场和领空可能成为目标，并称萨那国际机场等遭到空袭。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  <w:b/>
          <w:bCs/>
        </w:rPr>
        <w:t xml:space="preserve">市场映射：</w:t>
      </w:r>
      <w:r>
        <w:t xml:space="preserve"> </w:t>
      </w:r>
      <w:r>
        <w:rPr>
          <w:rFonts w:hint="eastAsia"/>
        </w:rPr>
        <w:t xml:space="preserve">冲突升级可能抬升原油、黄金、油运和航空保险风险溢价，并压制航空出行与全球风险偏好。</w:t>
      </w:r>
    </w:p>
    <w:p>
      <w:pPr>
        <w:pStyle w:val="Compact"/>
        <w:numPr>
          <w:ilvl w:val="0"/>
          <w:numId w:val="1018"/>
        </w:numPr>
      </w:pPr>
      <w:r>
        <w:rPr>
          <w:rFonts w:hint="eastAsia"/>
          <w:b/>
          <w:bCs/>
        </w:rPr>
        <w:t xml:space="preserve">风险与证伪：</w:t>
      </w:r>
      <w:r>
        <w:t xml:space="preserve"> </w:t>
      </w:r>
      <w:r>
        <w:rPr>
          <w:rFonts w:hint="eastAsia"/>
        </w:rPr>
        <w:t xml:space="preserve">后续军事行动、机场恢复、航线绕飞和能源供应是否受影响尚不确定，不宜仅凭事件标题单边追逐相关板块。</w:t>
      </w:r>
    </w:p>
    <w:bookmarkEnd w:id="33"/>
    <w:bookmarkStart w:id="38" w:name="国际联播快讯4条全部覆盖"/>
    <w:p>
      <w:pPr>
        <w:pStyle w:val="Heading3"/>
      </w:pPr>
      <w:r>
        <w:t xml:space="preserve">13. </w:t>
      </w:r>
      <w:r>
        <w:rPr>
          <w:rFonts w:hint="eastAsia"/>
        </w:rPr>
        <w:t xml:space="preserve">国际联播快讯（4条全部覆盖）</w:t>
      </w:r>
    </w:p>
    <w:bookmarkStart w:id="34" w:name="俄部分解禁柴油出口-乌呼吁对俄施压"/>
    <w:p>
      <w:pPr>
        <w:pStyle w:val="Heading4"/>
      </w:pPr>
      <w:r>
        <w:t xml:space="preserve">13.1 </w:t>
      </w:r>
      <w:r>
        <w:rPr>
          <w:rFonts w:hint="eastAsia"/>
        </w:rPr>
        <w:t xml:space="preserve">俄部分解禁柴油出口</w:t>
      </w:r>
      <w:r>
        <w:t xml:space="preserve"> </w:t>
      </w:r>
      <w:r>
        <w:rPr>
          <w:rFonts w:hint="eastAsia"/>
        </w:rPr>
        <w:t xml:space="preserve">乌呼吁对俄施压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  <w:b/>
          <w:bCs/>
        </w:rPr>
        <w:t xml:space="preserve">信号强度：★★★</w:t>
      </w:r>
      <w:r>
        <w:rPr>
          <w:rFonts w:hint="eastAsia"/>
        </w:rPr>
        <w:t xml:space="preserve">；</w:t>
      </w:r>
      <w:r>
        <w:rPr>
          <w:rFonts w:hint="eastAsia"/>
          <w:b/>
          <w:bCs/>
        </w:rPr>
        <w:t xml:space="preserve">影响：柴油供应预期增加，对油价链条构成局部缓和，但地缘变量仍多。</w:t>
      </w:r>
    </w:p>
    <w:p>
      <w:pPr>
        <w:pStyle w:val="Compact"/>
        <w:numPr>
          <w:ilvl w:val="0"/>
          <w:numId w:val="1019"/>
        </w:numPr>
      </w:pPr>
      <w:r>
        <w:rPr>
          <w:rFonts w:hint="eastAsia"/>
        </w:rPr>
        <w:t xml:space="preserve">俄罗斯宣布允许现阶段向全球市场供应50万吨柴油；乌方呼吁欧洲加大援助和施压，美方则要求乌克兰停止袭击俄石油设施。若出口实际兑现，炼化品紧张可能缓解；若制裁或冲突反复，逻辑可能逆转。</w:t>
      </w:r>
    </w:p>
    <w:bookmarkEnd w:id="34"/>
    <w:bookmarkStart w:id="35" w:name="霍尔木兹海峡及附近两艘商船遭袭"/>
    <w:p>
      <w:pPr>
        <w:pStyle w:val="Heading4"/>
      </w:pPr>
      <w:r>
        <w:t xml:space="preserve">13.2 </w:t>
      </w:r>
      <w:r>
        <w:rPr>
          <w:rFonts w:hint="eastAsia"/>
        </w:rPr>
        <w:t xml:space="preserve">霍尔木兹海峡及附近两艘商船遭袭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  <w:b/>
          <w:bCs/>
        </w:rPr>
        <w:t xml:space="preserve">信号强度：★★★★</w:t>
      </w:r>
      <w:r>
        <w:rPr>
          <w:rFonts w:hint="eastAsia"/>
        </w:rPr>
        <w:t xml:space="preserve">；</w:t>
      </w:r>
      <w:r>
        <w:rPr>
          <w:rFonts w:hint="eastAsia"/>
          <w:b/>
          <w:bCs/>
        </w:rPr>
        <w:t xml:space="preserve">影响：油价、油运和避险资产风险溢价上升，全球风险偏好承压。</w:t>
      </w:r>
    </w:p>
    <w:p>
      <w:pPr>
        <w:pStyle w:val="Compact"/>
        <w:numPr>
          <w:ilvl w:val="0"/>
          <w:numId w:val="1020"/>
        </w:numPr>
      </w:pPr>
      <w:r>
        <w:rPr>
          <w:rFonts w:hint="eastAsia"/>
        </w:rPr>
        <w:t xml:space="preserve">阿曼湾一艘商船被美军击中并失去航行能力，霍尔木兹海峡一艘超大型油轮触雷起火。该区域是关键能源通道，市场会关注航线通行、保险费和原油供应；原文未确认海峡关闭，不能直接推演全面断供。</w:t>
      </w:r>
    </w:p>
    <w:bookmarkEnd w:id="35"/>
    <w:bookmarkStart w:id="36" w:name="多国举行集会声援巴勒斯坦"/>
    <w:p>
      <w:pPr>
        <w:pStyle w:val="Heading4"/>
      </w:pPr>
      <w:r>
        <w:t xml:space="preserve">13.3 </w:t>
      </w:r>
      <w:r>
        <w:rPr>
          <w:rFonts w:hint="eastAsia"/>
        </w:rPr>
        <w:t xml:space="preserve">多国举行集会声援巴勒斯坦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  <w:b/>
          <w:bCs/>
        </w:rPr>
        <w:t xml:space="preserve">信号强度：★★</w:t>
      </w:r>
      <w:r>
        <w:rPr>
          <w:rFonts w:hint="eastAsia"/>
        </w:rPr>
        <w:t xml:space="preserve">；</w:t>
      </w:r>
      <w:r>
        <w:rPr>
          <w:rFonts w:hint="eastAsia"/>
          <w:b/>
          <w:bCs/>
        </w:rPr>
        <w:t xml:space="preserve">影响：A股直接影响有限。</w:t>
      </w:r>
    </w:p>
    <w:p>
      <w:pPr>
        <w:pStyle w:val="Compact"/>
        <w:numPr>
          <w:ilvl w:val="0"/>
          <w:numId w:val="1021"/>
        </w:numPr>
      </w:pPr>
      <w:r>
        <w:rPr>
          <w:rFonts w:hint="eastAsia"/>
        </w:rPr>
        <w:t xml:space="preserve">多国集会要求停止加沙军事行动、放行人道主义援助并停止提供武器。主要影响国际政治舆情和部分市场风险偏好，原文未涉及中国企业、贸易或制裁措施。</w:t>
      </w:r>
    </w:p>
    <w:bookmarkEnd w:id="36"/>
    <w:bookmarkStart w:id="37" w:name="飓风伊萨亚斯影响墨西哥湾油气生产"/>
    <w:p>
      <w:pPr>
        <w:pStyle w:val="Heading4"/>
      </w:pPr>
      <w:r>
        <w:t xml:space="preserve">13.4 </w:t>
      </w:r>
      <w:r>
        <w:rPr>
          <w:rFonts w:hint="eastAsia"/>
        </w:rPr>
        <w:t xml:space="preserve">飓风“伊萨亚斯”影响墨西哥湾油气生产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  <w:b/>
          <w:bCs/>
        </w:rPr>
        <w:t xml:space="preserve">信号强度：★★★★</w:t>
      </w:r>
      <w:r>
        <w:rPr>
          <w:rFonts w:hint="eastAsia"/>
        </w:rPr>
        <w:t xml:space="preserve">；</w:t>
      </w:r>
      <w:r>
        <w:rPr>
          <w:rFonts w:hint="eastAsia"/>
          <w:b/>
          <w:bCs/>
        </w:rPr>
        <w:t xml:space="preserve">影响：短期利多油气价格、利空高能耗和运输成本敏感行业。</w:t>
      </w:r>
    </w:p>
    <w:p>
      <w:pPr>
        <w:pStyle w:val="Compact"/>
        <w:numPr>
          <w:ilvl w:val="0"/>
          <w:numId w:val="1022"/>
        </w:numPr>
      </w:pPr>
      <w:r>
        <w:rPr>
          <w:rFonts w:hint="eastAsia"/>
        </w:rPr>
        <w:t xml:space="preserve">墨西哥湾近七成石油产能和超过一半天然气产能停产，美国多地断电、通信中断；另一四级飓风逼近墨西哥西海岸。供应恢复速度决定价格影响持续性，临时停产不应机械外推为长期缺口。</w:t>
      </w:r>
    </w:p>
    <w:bookmarkEnd w:id="37"/>
    <w:bookmarkEnd w:id="38"/>
    <w:bookmarkEnd w:id="39"/>
    <w:bookmarkStart w:id="40" w:name="四板块影响汇总"/>
    <w:p>
      <w:pPr>
        <w:pStyle w:val="Heading2"/>
      </w:pPr>
      <w:r>
        <w:rPr>
          <w:rFonts w:hint="eastAsia"/>
        </w:rPr>
        <w:t xml:space="preserve">四、板块影响汇总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板块方向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影响判断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驱动新闻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信号强度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关键验证点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氢能制储运用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中期偏利好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5个城市群试点、跨省输氢管道、1.3万公里管网</w:t>
            </w:r>
          </w:p>
        </w:tc>
        <w:tc>
          <w:tcPr/>
          <w:p>
            <w:pPr>
              <w:pStyle w:val="Compact"/>
            </w:pPr>
            <w:r>
              <w:t xml:space="preserve">★★★★☆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核准、招标、开工、利用率与制氢成本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水利基建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中期利好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新开工重大工程数量超去年全年</w:t>
            </w:r>
          </w:p>
        </w:tc>
        <w:tc>
          <w:tcPr/>
          <w:p>
            <w:pPr>
              <w:pStyle w:val="Compact"/>
            </w:pPr>
            <w:r>
              <w:t xml:space="preserve">★★★★☆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中标、施工、收入确认与回款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生态治理/环境监测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长期利好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30个重点湖库、约150个河湖、量化生态目标</w:t>
            </w:r>
          </w:p>
        </w:tc>
        <w:tc>
          <w:tcPr/>
          <w:p>
            <w:pPr>
              <w:pStyle w:val="Compact"/>
            </w:pPr>
            <w:r>
              <w:t xml:space="preserve">★★★★★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财政投入、项目订单、应收账款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物流/仓储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温和利好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物流业景气指数51.5%，连续5个月扩张</w:t>
            </w:r>
          </w:p>
        </w:tc>
        <w:tc>
          <w:tcPr/>
          <w:p>
            <w:pPr>
              <w:pStyle w:val="Compact"/>
            </w:pPr>
            <w:r>
              <w:t xml:space="preserve">★★★★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运量、价格、油价与利润率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粤港澳跨境物流/口岸科技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偏利好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新皇岗口岸24小时运行、通关提速</w:t>
            </w:r>
          </w:p>
        </w:tc>
        <w:tc>
          <w:tcPr/>
          <w:p>
            <w:pPr>
              <w:pStyle w:val="Compact"/>
            </w:pPr>
            <w:r>
              <w:t xml:space="preserve">★★★★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客流车流、合同归属、商业转化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汽车检测/安全零部件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结构性利好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汽车安全管理征求意见稿</w:t>
            </w:r>
          </w:p>
        </w:tc>
        <w:tc>
          <w:tcPr/>
          <w:p>
            <w:pPr>
              <w:pStyle w:val="Compact"/>
            </w:pPr>
            <w:r>
              <w:t xml:space="preserve">★★★★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最终规则、车型改造、测试订单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教育数字化/AI培训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主题偏利好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教师AI素养全覆盖培训</w:t>
            </w:r>
          </w:p>
        </w:tc>
        <w:tc>
          <w:tcPr/>
          <w:p>
            <w:pPr>
              <w:pStyle w:val="Compact"/>
            </w:pPr>
            <w:r>
              <w:t xml:space="preserve">★★★☆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平台采购、付费模式与合规要求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二手房交易服务/家装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情绪偏利好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网签面积同比增长10.7%</w:t>
            </w:r>
          </w:p>
        </w:tc>
        <w:tc>
          <w:tcPr/>
          <w:p>
            <w:pPr>
              <w:pStyle w:val="Compact"/>
            </w:pPr>
            <w:r>
              <w:t xml:space="preserve">★★★☆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房价、佣金率、家装转化与现金流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文旅/酒店餐饮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短期偏利好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赏秋消费、老街场景创新</w:t>
            </w:r>
          </w:p>
        </w:tc>
        <w:tc>
          <w:tcPr/>
          <w:p>
            <w:pPr>
              <w:pStyle w:val="Compact"/>
            </w:pPr>
            <w:r>
              <w:t xml:space="preserve">★★★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客流、客单价、淡旺季利润率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新疆特色农业/资源勘探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中长期观察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富硒土壤、富油煤与科考成果</w:t>
            </w:r>
          </w:p>
        </w:tc>
        <w:tc>
          <w:tcPr/>
          <w:p>
            <w:pPr>
              <w:pStyle w:val="Compact"/>
            </w:pPr>
            <w:r>
              <w:t xml:space="preserve">★★★☆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权属、审批、开采成本与生态约束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油气/油运/黄金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风险溢价偏多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中东机场和商船遇袭、墨西哥湾停产</w:t>
            </w:r>
          </w:p>
        </w:tc>
        <w:tc>
          <w:tcPr/>
          <w:p>
            <w:pPr>
              <w:pStyle w:val="Compact"/>
            </w:pPr>
            <w:r>
              <w:t xml:space="preserve">★★★★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海峡通行、实际供应、复产速度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航空/高能耗行业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成本与情绪承压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中东冲突、油气停产</w:t>
            </w:r>
          </w:p>
        </w:tc>
        <w:tc>
          <w:tcPr/>
          <w:p>
            <w:pPr>
              <w:pStyle w:val="Compact"/>
            </w:pPr>
            <w:r>
              <w:t xml:space="preserve">★★★★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油价、绕飞、保险费和需求</w:t>
            </w:r>
          </w:p>
        </w:tc>
      </w:tr>
    </w:tbl>
    <w:bookmarkEnd w:id="40"/>
    <w:bookmarkStart w:id="44" w:name="五交易视角与操作建议"/>
    <w:p>
      <w:pPr>
        <w:pStyle w:val="Heading2"/>
      </w:pPr>
      <w:r>
        <w:rPr>
          <w:rFonts w:hint="eastAsia"/>
        </w:rPr>
        <w:t xml:space="preserve">五、交易视角与操作建议</w:t>
      </w:r>
    </w:p>
    <w:bookmarkStart w:id="41" w:name="短线方向"/>
    <w:p>
      <w:pPr>
        <w:pStyle w:val="Heading3"/>
      </w:pPr>
      <w:r>
        <w:rPr>
          <w:rFonts w:hint="eastAsia"/>
        </w:rPr>
        <w:t xml:space="preserve">短线方向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  <w:b/>
          <w:bCs/>
        </w:rPr>
        <w:t xml:space="preserve">优先观察氢能、水利与生态治理的右侧强度。</w:t>
      </w:r>
      <w:r>
        <w:t xml:space="preserve"> </w:t>
      </w:r>
      <w:r>
        <w:rPr>
          <w:rFonts w:hint="eastAsia"/>
        </w:rPr>
        <w:t xml:space="preserve">三条主线都有政策或工程依据，但若开盘因题材刺激大幅高开，不宜把长期规划当作即时利润追涨。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  <w:b/>
          <w:bCs/>
        </w:rPr>
        <w:t xml:space="preserve">口岸数字化和粤港澳链条看真实客流。</w:t>
      </w:r>
      <w:r>
        <w:t xml:space="preserve"> </w:t>
      </w:r>
      <w:r>
        <w:rPr>
          <w:rFonts w:hint="eastAsia"/>
        </w:rPr>
        <w:t xml:space="preserve">新皇岗口岸开通是明确事件，短线关注通关数据和商业转化，避免泛化到所有深圳本地概念。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  <w:b/>
          <w:bCs/>
        </w:rPr>
        <w:t xml:space="preserve">汽车安全链重在规则落地。</w:t>
      </w:r>
      <w:r>
        <w:t xml:space="preserve"> </w:t>
      </w:r>
      <w:r>
        <w:rPr>
          <w:rFonts w:hint="eastAsia"/>
        </w:rPr>
        <w:t xml:space="preserve">测试验证和机械冗余方向受益逻辑更清晰，采用全隐藏式门把手或折叠显示屏的方案则需评估改型成本。</w:t>
      </w:r>
    </w:p>
    <w:p>
      <w:pPr>
        <w:pStyle w:val="Compact"/>
        <w:numPr>
          <w:ilvl w:val="0"/>
          <w:numId w:val="1023"/>
        </w:numPr>
      </w:pPr>
      <w:r>
        <w:rPr>
          <w:rFonts w:hint="eastAsia"/>
          <w:b/>
          <w:bCs/>
        </w:rPr>
        <w:t xml:space="preserve">能源方向以事件跟踪为主。</w:t>
      </w:r>
      <w:r>
        <w:t xml:space="preserve"> </w:t>
      </w:r>
      <w:r>
        <w:rPr>
          <w:rFonts w:hint="eastAsia"/>
        </w:rPr>
        <w:t xml:space="preserve">霍尔木兹附近商船遇袭与墨西哥湾停产可能抬升油价，但俄罗斯柴油出口形成反向供给变量，避免单边下注。</w:t>
      </w:r>
    </w:p>
    <w:bookmarkEnd w:id="41"/>
    <w:bookmarkStart w:id="42" w:name="中线布局"/>
    <w:p>
      <w:pPr>
        <w:pStyle w:val="Heading3"/>
      </w:pPr>
      <w:r>
        <w:rPr>
          <w:rFonts w:hint="eastAsia"/>
        </w:rPr>
        <w:t xml:space="preserve">中线布局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  <w:b/>
          <w:bCs/>
        </w:rPr>
        <w:t xml:space="preserve">生态与水利实物工作量：</w:t>
      </w:r>
      <w:r>
        <w:t xml:space="preserve"> </w:t>
      </w:r>
      <w:r>
        <w:rPr>
          <w:rFonts w:hint="eastAsia"/>
        </w:rPr>
        <w:t xml:space="preserve">关注具备设计施工能力、设备产品和回款管理优势的企业，重点看合同负债、应收账款和经营现金流。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  <w:b/>
          <w:bCs/>
        </w:rPr>
        <w:t xml:space="preserve">氢能基础设施：</w:t>
      </w:r>
      <w:r>
        <w:t xml:space="preserve"> </w:t>
      </w:r>
      <w:r>
        <w:rPr>
          <w:rFonts w:hint="eastAsia"/>
        </w:rPr>
        <w:t xml:space="preserve">等待跨省管道及城市群试点从规划进入招标和设备交付，优先验证真实订单、产能利用率与毛利率。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  <w:b/>
          <w:bCs/>
        </w:rPr>
        <w:t xml:space="preserve">数字化公共基础设施：</w:t>
      </w:r>
      <w:r>
        <w:t xml:space="preserve"> </w:t>
      </w:r>
      <w:r>
        <w:rPr>
          <w:rFonts w:hint="eastAsia"/>
        </w:rPr>
        <w:t xml:space="preserve">环境监测、北斗测绘、口岸数字孪生和智能查验均有应用场景，需区分示范项目与可复制商业模式。</w:t>
      </w:r>
    </w:p>
    <w:p>
      <w:pPr>
        <w:pStyle w:val="Compact"/>
        <w:numPr>
          <w:ilvl w:val="0"/>
          <w:numId w:val="1024"/>
        </w:numPr>
      </w:pPr>
      <w:r>
        <w:rPr>
          <w:rFonts w:hint="eastAsia"/>
          <w:b/>
          <w:bCs/>
        </w:rPr>
        <w:t xml:space="preserve">消费和物流：</w:t>
      </w:r>
      <w:r>
        <w:t xml:space="preserve"> </w:t>
      </w:r>
      <w:r>
        <w:rPr>
          <w:rFonts w:hint="eastAsia"/>
        </w:rPr>
        <w:t xml:space="preserve">物流景气改善与文旅客流正面，但中东风险可能推升燃料成本，需关注收入增长能否覆盖成本。</w:t>
      </w:r>
    </w:p>
    <w:bookmarkEnd w:id="42"/>
    <w:bookmarkStart w:id="43" w:name="风险提示"/>
    <w:p>
      <w:pPr>
        <w:pStyle w:val="Heading3"/>
      </w:pPr>
      <w:r>
        <w:rPr>
          <w:rFonts w:hint="eastAsia"/>
        </w:rPr>
        <w:t xml:space="preserve">风险提示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  <w:b/>
          <w:bCs/>
        </w:rPr>
        <w:t xml:space="preserve">规划兑现风险：</w:t>
      </w:r>
      <w:r>
        <w:t xml:space="preserve"> </w:t>
      </w:r>
      <w:r>
        <w:rPr>
          <w:rFonts w:hint="eastAsia"/>
        </w:rPr>
        <w:t xml:space="preserve">氢能管网、生态治理目标与科考资源不等于上市公司已经取得订单或利润。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  <w:b/>
          <w:bCs/>
        </w:rPr>
        <w:t xml:space="preserve">财政与回款风险：</w:t>
      </w:r>
      <w:r>
        <w:t xml:space="preserve"> </w:t>
      </w:r>
      <w:r>
        <w:rPr>
          <w:rFonts w:hint="eastAsia"/>
        </w:rPr>
        <w:t xml:space="preserve">水利、环保和生态项目投资周期长，低价中标与应收账款可能削弱盈利质量。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  <w:b/>
          <w:bCs/>
        </w:rPr>
        <w:t xml:space="preserve">题材拥挤风险：</w:t>
      </w:r>
      <w:r>
        <w:t xml:space="preserve"> </w:t>
      </w:r>
      <w:r>
        <w:rPr>
          <w:rFonts w:hint="eastAsia"/>
        </w:rPr>
        <w:t xml:space="preserve">周一市场可能对周末联播题材集中定价，高开后缺乏量能和订单验证时容易回落。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  <w:b/>
          <w:bCs/>
        </w:rPr>
        <w:t xml:space="preserve">国际能源风险：</w:t>
      </w:r>
      <w:r>
        <w:t xml:space="preserve"> </w:t>
      </w:r>
      <w:r>
        <w:rPr>
          <w:rFonts w:hint="eastAsia"/>
        </w:rPr>
        <w:t xml:space="preserve">中东冲突、霍尔木兹航运安全、墨西哥湾停产和俄罗斯柴油出口方向相互交织，油价并非单边变量。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  <w:b/>
          <w:bCs/>
        </w:rPr>
        <w:t xml:space="preserve">规则变化风险：</w:t>
      </w:r>
      <w:r>
        <w:t xml:space="preserve"> </w:t>
      </w:r>
      <w:r>
        <w:rPr>
          <w:rFonts w:hint="eastAsia"/>
        </w:rPr>
        <w:t xml:space="preserve">汽车安全管理目前为征求意见稿，最终条款、过渡期和适用车型可能调整。</w:t>
      </w:r>
    </w:p>
    <w:p>
      <w:pPr>
        <w:pStyle w:val="Compact"/>
        <w:numPr>
          <w:ilvl w:val="0"/>
          <w:numId w:val="1025"/>
        </w:numPr>
      </w:pPr>
      <w:r>
        <w:rPr>
          <w:rFonts w:hint="eastAsia"/>
          <w:b/>
          <w:bCs/>
        </w:rPr>
        <w:t xml:space="preserve">映射偏差：</w:t>
      </w:r>
      <w:r>
        <w:t xml:space="preserve"> </w:t>
      </w:r>
      <w:r>
        <w:rPr>
          <w:rFonts w:hint="eastAsia"/>
        </w:rPr>
        <w:t xml:space="preserve">新闻中的行业方向不代表任一上市公司获得合同，必须结合公告、财务、估值和量价趋势核验。</w:t>
      </w:r>
    </w:p>
    <w:bookmarkEnd w:id="43"/>
    <w:bookmarkEnd w:id="44"/>
    <w:bookmarkStart w:id="45" w:name="六结论"/>
    <w:p>
      <w:pPr>
        <w:pStyle w:val="Heading2"/>
      </w:pPr>
      <w:r>
        <w:rPr>
          <w:rFonts w:hint="eastAsia"/>
        </w:rPr>
        <w:t xml:space="preserve">六、结论</w:t>
      </w:r>
    </w:p>
    <w:p>
      <w:pPr>
        <w:pStyle w:val="FirstParagraph"/>
      </w:pPr>
      <w:r>
        <w:rPr>
          <w:rFonts w:hint="eastAsia"/>
        </w:rPr>
        <w:t xml:space="preserve">今日联播的国内主轴是“生态治理长期化、水利建设实物化、氢能基础设施化、物流运行稳步改善”。对A股而言，氢能、水利、环保监测和粤港澳口岸数字化最值得跟踪，汽车安全新规则带来检测验证与设计改造的结构性机会。海外线索明显偏风险：中东机场和商船遇袭叠加墨西哥湾油气停产，可能推升能源与航运风险溢价。交易上应坚持右侧确认，优先选择订单、现金流和量价趋势能够相互验证的方向，不以联播主题替代公司基本面。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rFonts w:hint="eastAsia"/>
          <w:i/>
          <w:iCs/>
        </w:rPr>
        <w:t xml:space="preserve">资料来源：2026年10月11日央视《新闻联播》存档原文。分析和写稿模型：GPT-5.6</w:t>
      </w:r>
      <w:r>
        <w:rPr>
          <w:i/>
          <w:iCs/>
        </w:rPr>
        <w:t xml:space="preserve"> Sol </w:t>
      </w:r>
      <w:r>
        <w:rPr>
          <w:rFonts w:hint="eastAsia"/>
          <w:i/>
          <w:iCs/>
        </w:rPr>
        <w:t xml:space="preserve">(openai-codex)。本文仅作政策与产业研究，不构成投资建议。</w:t>
      </w:r>
    </w:p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2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SourceCode" w:type="paragraph">
    <w:name w:val="Source Code"/>
    <w:basedOn w:val="Normal"/>
    <w:link w:val="VerbatimChar"/>
    <w:pPr>
      <w:wordWrap w:val="off"/>
    </w:pPr>
  </w:style>
  <w:style w:customStyle="1" w:styleId="KeywordTok" w:type="character">
    <w:name w:val="KeywordTok"/>
    <w:basedOn w:val="VerbatimChar"/>
    <w:rPr>
      <w:b/>
      <w:color w:val="007020"/>
    </w:rPr>
  </w:style>
  <w:style w:customStyle="1" w:styleId="DataTypeTok" w:type="character">
    <w:name w:val="DataTypeTok"/>
    <w:basedOn w:val="VerbatimChar"/>
    <w:rPr>
      <w:color w:val="902000"/>
    </w:rPr>
  </w:style>
  <w:style w:customStyle="1" w:styleId="DecValTok" w:type="character">
    <w:name w:val="DecValTok"/>
    <w:basedOn w:val="VerbatimChar"/>
    <w:rPr>
      <w:color w:val="40a070"/>
    </w:rPr>
  </w:style>
  <w:style w:customStyle="1" w:styleId="BaseNTok" w:type="character">
    <w:name w:val="BaseNTok"/>
    <w:basedOn w:val="VerbatimChar"/>
    <w:rPr>
      <w:color w:val="40a070"/>
    </w:rPr>
  </w:style>
  <w:style w:customStyle="1" w:styleId="FloatTok" w:type="character">
    <w:name w:val="FloatTok"/>
    <w:basedOn w:val="VerbatimChar"/>
    <w:rPr>
      <w:color w:val="40a070"/>
    </w:rPr>
  </w:style>
  <w:style w:customStyle="1" w:styleId="ConstantTok" w:type="character">
    <w:name w:val="ConstantTok"/>
    <w:basedOn w:val="VerbatimChar"/>
    <w:rPr>
      <w:color w:val="880000"/>
    </w:rPr>
  </w:style>
  <w:style w:customStyle="1" w:styleId="CharTok" w:type="character">
    <w:name w:val="CharTok"/>
    <w:basedOn w:val="VerbatimChar"/>
    <w:rPr>
      <w:color w:val="4070a0"/>
    </w:rPr>
  </w:style>
  <w:style w:customStyle="1" w:styleId="SpecialCharTok" w:type="character">
    <w:name w:val="SpecialCharTok"/>
    <w:basedOn w:val="VerbatimChar"/>
    <w:rPr>
      <w:color w:val="4070a0"/>
    </w:rPr>
  </w:style>
  <w:style w:customStyle="1" w:styleId="StringTok" w:type="character">
    <w:name w:val="StringTok"/>
    <w:basedOn w:val="VerbatimChar"/>
    <w:rPr>
      <w:color w:val="4070a0"/>
    </w:rPr>
  </w:style>
  <w:style w:customStyle="1" w:styleId="VerbatimStringTok" w:type="character">
    <w:name w:val="VerbatimStringTok"/>
    <w:basedOn w:val="VerbatimChar"/>
    <w:rPr>
      <w:color w:val="4070a0"/>
    </w:rPr>
  </w:style>
  <w:style w:customStyle="1" w:styleId="SpecialStringTok" w:type="character">
    <w:name w:val="SpecialStringTok"/>
    <w:basedOn w:val="VerbatimChar"/>
    <w:rPr>
      <w:color w:val="bb6688"/>
    </w:rPr>
  </w:style>
  <w:style w:customStyle="1" w:styleId="ImportTok" w:type="character">
    <w:name w:val="ImportTok"/>
    <w:basedOn w:val="VerbatimChar"/>
    <w:rPr>
      <w:b/>
      <w:color w:val="008000"/>
    </w:rPr>
  </w:style>
  <w:style w:customStyle="1" w:styleId="CommentTok" w:type="character">
    <w:name w:val="CommentTok"/>
    <w:basedOn w:val="VerbatimChar"/>
    <w:rPr>
      <w:i/>
      <w:color w:val="60a0b0"/>
    </w:rPr>
  </w:style>
  <w:style w:customStyle="1" w:styleId="DocumentationTok" w:type="character">
    <w:name w:val="DocumentationTok"/>
    <w:basedOn w:val="VerbatimChar"/>
    <w:rPr>
      <w:i/>
      <w:color w:val="ba2121"/>
    </w:rPr>
  </w:style>
  <w:style w:customStyle="1" w:styleId="AnnotationTok" w:type="character">
    <w:name w:val="AnnotationTok"/>
    <w:basedOn w:val="VerbatimChar"/>
    <w:rPr>
      <w:b/>
      <w:i/>
      <w:color w:val="60a0b0"/>
    </w:rPr>
  </w:style>
  <w:style w:customStyle="1" w:styleId="CommentVarTok" w:type="character">
    <w:name w:val="CommentVarTok"/>
    <w:basedOn w:val="VerbatimChar"/>
    <w:rPr>
      <w:b/>
      <w:i/>
      <w:color w:val="60a0b0"/>
    </w:rPr>
  </w:style>
  <w:style w:customStyle="1" w:styleId="OtherTok" w:type="character">
    <w:name w:val="OtherTok"/>
    <w:basedOn w:val="VerbatimChar"/>
    <w:rPr>
      <w:color w:val="007020"/>
    </w:rPr>
  </w:style>
  <w:style w:customStyle="1" w:styleId="FunctionTok" w:type="character">
    <w:name w:val="FunctionTok"/>
    <w:basedOn w:val="VerbatimChar"/>
    <w:rPr>
      <w:color w:val="06287e"/>
    </w:rPr>
  </w:style>
  <w:style w:customStyle="1" w:styleId="VariableTok" w:type="character">
    <w:name w:val="VariableTok"/>
    <w:basedOn w:val="VerbatimChar"/>
    <w:rPr>
      <w:color w:val="19177c"/>
    </w:rPr>
  </w:style>
  <w:style w:customStyle="1" w:styleId="ControlFlowTok" w:type="character">
    <w:name w:val="ControlFlowTok"/>
    <w:basedOn w:val="VerbatimChar"/>
    <w:rPr>
      <w:b/>
      <w:color w:val="007020"/>
    </w:rPr>
  </w:style>
  <w:style w:customStyle="1" w:styleId="OperatorTok" w:type="character">
    <w:name w:val="OperatorTok"/>
    <w:basedOn w:val="VerbatimChar"/>
    <w:rPr>
      <w:color w:val="666666"/>
    </w:rPr>
  </w:style>
  <w:style w:customStyle="1" w:styleId="BuiltInTok" w:type="character">
    <w:name w:val="BuiltInTok"/>
    <w:basedOn w:val="VerbatimChar"/>
    <w:rPr>
      <w:color w:val="008000"/>
    </w:rPr>
  </w:style>
  <w:style w:customStyle="1" w:styleId="ExtensionTok" w:type="character">
    <w:name w:val="ExtensionTok"/>
    <w:basedOn w:val="VerbatimChar"/>
    <w:rPr/>
  </w:style>
  <w:style w:customStyle="1" w:styleId="PreprocessorTok" w:type="character">
    <w:name w:val="PreprocessorTok"/>
    <w:basedOn w:val="VerbatimChar"/>
    <w:rPr>
      <w:color w:val="bc7a00"/>
    </w:rPr>
  </w:style>
  <w:style w:customStyle="1" w:styleId="AttributeTok" w:type="character">
    <w:name w:val="AttributeTok"/>
    <w:basedOn w:val="VerbatimChar"/>
    <w:rPr>
      <w:color w:val="7d9029"/>
    </w:rPr>
  </w:style>
  <w:style w:customStyle="1" w:styleId="RegionMarkerTok" w:type="character">
    <w:name w:val="RegionMarkerTok"/>
    <w:basedOn w:val="VerbatimChar"/>
    <w:rPr/>
  </w:style>
  <w:style w:customStyle="1" w:styleId="InformationTok" w:type="character">
    <w:name w:val="InformationTok"/>
    <w:basedOn w:val="VerbatimChar"/>
    <w:rPr>
      <w:b/>
      <w:i/>
      <w:color w:val="60a0b0"/>
    </w:rPr>
  </w:style>
  <w:style w:customStyle="1" w:styleId="WarningTok" w:type="character">
    <w:name w:val="WarningTok"/>
    <w:basedOn w:val="VerbatimChar"/>
    <w:rPr>
      <w:b/>
      <w:i/>
      <w:color w:val="60a0b0"/>
    </w:rPr>
  </w:style>
  <w:style w:customStyle="1" w:styleId="AlertTok" w:type="character">
    <w:name w:val="AlertTok"/>
    <w:basedOn w:val="VerbatimChar"/>
    <w:rPr>
      <w:b/>
      <w:color w:val="ff0000"/>
    </w:rPr>
  </w:style>
  <w:style w:customStyle="1" w:styleId="ErrorTok" w:type="character">
    <w:name w:val="ErrorTok"/>
    <w:basedOn w:val="VerbatimChar"/>
    <w:rPr>
      <w:b/>
      <w:color w:val="ff0000"/>
    </w:rPr>
  </w:style>
  <w:style w:customStyle="1" w:styleId="NormalTok" w:type="character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2026-10-11T12:48:15Z</dcterms:created>
  <dcterms:modified xsi:type="dcterms:W3CDTF">2026-10-11T12:48:15Z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