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2026年10月10日《新闻联播》A股影响深度解读</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1" w:name="X2ac634d6522ef3382dbf8e5401ff92a0f5e8a60"/>
    <w:p>
      <w:pPr>
        <w:pStyle w:val="Heading1"/>
      </w:pPr>
      <w:r>
        <w:rPr>
          <w:rFonts w:hint="eastAsia"/>
        </w:rPr>
        <w:t xml:space="preserve">2026年10月10日《新闻联播》A股影响深度解读</w:t>
      </w:r>
    </w:p>
    <w:p>
      <w:pPr>
        <w:pStyle w:val="BlockText"/>
      </w:pPr>
      <w:r>
        <w:rPr>
          <w:rFonts w:hint="eastAsia"/>
        </w:rPr>
        <w:t xml:space="preserve">唯一原文依据：</w:t>
      </w:r>
      <w:r>
        <w:rPr>
          <w:rStyle w:val="VerbatimChar"/>
        </w:rPr>
        <w:t xml:space="preserve">memory/xinwenlianbo/2026-10-10.md</w:t>
      </w:r>
      <w:r>
        <w:rPr>
          <w:rFonts w:hint="eastAsia"/>
        </w:rPr>
        <w:t xml:space="preserve">。本文按当日节目顺序覆盖全部13个分项，并拆解“国内联播快讯”10条、“国际联播快讯”5条。事实与判断分开表述；板块映射仅为政策与产业链观察，不构成个股推荐或收益承诺。</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整体基调：积极偏多，但结构性强。</w:t>
      </w:r>
      <w:r>
        <w:t xml:space="preserve"> </w:t>
      </w:r>
      <w:r>
        <w:rPr>
          <w:rFonts w:hint="eastAsia"/>
        </w:rPr>
        <w:t xml:space="preserve">国内线索集中在基础研究、新型基础设施、就业社保、服务消费、农业生产和能源基础设施；国际部分则提示能源价格与地缘风险仍有扰动。</w:t>
      </w:r>
    </w:p>
    <w:p>
      <w:pPr>
        <w:pStyle w:val="Compact"/>
        <w:numPr>
          <w:ilvl w:val="0"/>
          <w:numId w:val="1001"/>
        </w:numPr>
      </w:pPr>
      <w:r>
        <w:rPr>
          <w:rFonts w:hint="eastAsia"/>
          <w:b/>
          <w:bCs/>
        </w:rPr>
        <w:t xml:space="preserve">政策信号强度：强。</w:t>
      </w:r>
      <w:r>
        <w:t xml:space="preserve"> </w:t>
      </w:r>
      <w:r>
        <w:rPr>
          <w:rFonts w:hint="eastAsia"/>
        </w:rPr>
        <w:t xml:space="preserve">头条把基础研究、原始创新和关键核心技术攻关置于突出位置，并明确教育、科技、人才一体推进及国家战略科技力量协同攻关。</w:t>
      </w:r>
    </w:p>
    <w:p>
      <w:pPr>
        <w:pStyle w:val="Compact"/>
        <w:numPr>
          <w:ilvl w:val="0"/>
          <w:numId w:val="1001"/>
        </w:numPr>
      </w:pPr>
      <w:r>
        <w:rPr>
          <w:rFonts w:hint="eastAsia"/>
          <w:b/>
          <w:bCs/>
        </w:rPr>
        <w:t xml:space="preserve">对A股总体影响：中期偏利好，短线宜防拥挤。</w:t>
      </w:r>
      <w:r>
        <w:t xml:space="preserve"> </w:t>
      </w:r>
      <w:r>
        <w:rPr>
          <w:rFonts w:hint="eastAsia"/>
        </w:rPr>
        <w:t xml:space="preserve">最直接的增量数据来自9月算力、数据项目中标金额同比增长50.4%，以及人工智能、人形机器人资本投资金额同比增幅超过1倍；但报道反映的是产业投入与政策方向，不等同于相关上市公司订单或利润已同步兑现。</w:t>
      </w:r>
    </w:p>
    <w:p>
      <w:pPr>
        <w:pStyle w:val="Compact"/>
        <w:numPr>
          <w:ilvl w:val="0"/>
          <w:numId w:val="1001"/>
        </w:numPr>
      </w:pPr>
      <w:r>
        <w:rPr>
          <w:rFonts w:hint="eastAsia"/>
          <w:b/>
          <w:bCs/>
        </w:rPr>
        <w:t xml:space="preserve">市场主线排序：</w:t>
      </w:r>
      <w:r>
        <w:t xml:space="preserve"> </w:t>
      </w:r>
      <w:r>
        <w:rPr>
          <w:rFonts w:hint="eastAsia"/>
        </w:rPr>
        <w:t xml:space="preserve">基础研究与高端科研仪器</w:t>
      </w:r>
      <w:r>
        <w:t xml:space="preserve"> &gt; </w:t>
      </w:r>
      <w:r>
        <w:rPr>
          <w:rFonts w:hint="eastAsia"/>
        </w:rPr>
        <w:t xml:space="preserve">算力/数据基础设施与人工智能</w:t>
      </w:r>
      <w:r>
        <w:t xml:space="preserve"> &gt; </w:t>
      </w:r>
      <w:r>
        <w:rPr>
          <w:rFonts w:hint="eastAsia"/>
        </w:rPr>
        <w:t xml:space="preserve">卫星互联网/商业航天</w:t>
      </w:r>
      <w:r>
        <w:t xml:space="preserve"> &gt; </w:t>
      </w:r>
      <w:r>
        <w:rPr>
          <w:rFonts w:hint="eastAsia"/>
        </w:rPr>
        <w:t xml:space="preserve">特高压与核电送出</w:t>
      </w:r>
      <w:r>
        <w:t xml:space="preserve"> &gt; </w:t>
      </w:r>
      <w:r>
        <w:rPr>
          <w:rFonts w:hint="eastAsia"/>
        </w:rPr>
        <w:t xml:space="preserve">服务消费与消费电子</w:t>
      </w:r>
      <w:r>
        <w:t xml:space="preserve"> &gt; </w:t>
      </w:r>
      <w:r>
        <w:rPr>
          <w:rFonts w:hint="eastAsia"/>
        </w:rPr>
        <w:t xml:space="preserve">就业社保及养老金融。</w:t>
      </w:r>
    </w:p>
    <w:p>
      <w:pPr>
        <w:pStyle w:val="Compact"/>
        <w:numPr>
          <w:ilvl w:val="0"/>
          <w:numId w:val="1001"/>
        </w:numPr>
      </w:pPr>
      <w:r>
        <w:rPr>
          <w:rFonts w:hint="eastAsia"/>
          <w:b/>
          <w:bCs/>
        </w:rPr>
        <w:t xml:space="preserve">一句话总结：</w:t>
      </w:r>
      <w:r>
        <w:t xml:space="preserve"> </w:t>
      </w:r>
      <w:r>
        <w:rPr>
          <w:rFonts w:hint="eastAsia"/>
        </w:rPr>
        <w:t xml:space="preserve">今日最强信号是“科技底座投入继续前置”，可关注有真实研发、订单和现金流验证的产业链环节，同时用国际能源与航运风险约束追涨冲动。</w:t>
      </w:r>
    </w:p>
    <w:bookmarkEnd w:id="9"/>
    <w:bookmarkStart w:id="15" w:name="二核心政策与产业信号"/>
    <w:p>
      <w:pPr>
        <w:pStyle w:val="Heading2"/>
      </w:pPr>
      <w:r>
        <w:rPr>
          <w:rFonts w:hint="eastAsia"/>
        </w:rPr>
        <w:t xml:space="preserve">二、核心政策与产业信号</w:t>
      </w:r>
    </w:p>
    <w:bookmarkStart w:id="10" w:name="X1474f6ea9627a6b71b6816af1e6541d6ce339aa"/>
    <w:p>
      <w:pPr>
        <w:pStyle w:val="Heading3"/>
      </w:pPr>
      <w:r>
        <w:t xml:space="preserve">1. </w:t>
      </w:r>
      <w:r>
        <w:rPr>
          <w:rFonts w:hint="eastAsia"/>
        </w:rPr>
        <w:t xml:space="preserve">基础研究被放在科技强国建设的源头位置</w:t>
      </w:r>
      <w:r>
        <w:t xml:space="preserve"> ★★★★★</w:t>
      </w:r>
    </w:p>
    <w:p>
      <w:pPr>
        <w:pStyle w:val="FirstParagraph"/>
      </w:pPr>
      <w:r>
        <w:rPr>
          <w:rFonts w:hint="eastAsia"/>
          <w:b/>
          <w:bCs/>
        </w:rPr>
        <w:t xml:space="preserve">原文事实：</w:t>
      </w:r>
      <w:r>
        <w:t xml:space="preserve"> </w:t>
      </w:r>
      <w:r>
        <w:rPr>
          <w:rFonts w:hint="eastAsia"/>
        </w:rPr>
        <w:t xml:space="preserve">头条强调加强基础研究是实现高水平科技自立自强的迫切要求，并列举强流重离子加速器、新核素铪-153、中国天眼中性氢样本库、35.6特斯拉全超导强磁场用户磁体、人工细胞不对称分裂、6G前瞻技术和先进压缩空气储能等进展。报道还提到科技部强化任务统筹、科技领军企业牵头凝练科学问题，以及长三角基础研究联合基金重大专项于今年9月启动。</w:t>
      </w:r>
    </w:p>
    <w:p>
      <w:pPr>
        <w:pStyle w:val="BodyText"/>
      </w:pPr>
      <w:r>
        <w:rPr>
          <w:rFonts w:hint="eastAsia"/>
          <w:b/>
          <w:bCs/>
        </w:rPr>
        <w:t xml:space="preserve">通俗解码：</w:t>
      </w:r>
      <w:r>
        <w:t xml:space="preserve"> </w:t>
      </w:r>
      <w:r>
        <w:rPr>
          <w:rFonts w:hint="eastAsia"/>
        </w:rPr>
        <w:t xml:space="preserve">政策重点不只是给某个热门应用加速，而是补科研设施、原始创新、人才和跨区域协同这类长期底座。由“项目制支持单点技术”向“国家战略科技力量协同、长周期支持、从0到1再到1到N”延伸。</w:t>
      </w:r>
    </w:p>
    <w:p>
      <w:pPr>
        <w:pStyle w:val="BodyText"/>
      </w:pPr>
      <w:r>
        <w:rPr>
          <w:rFonts w:hint="eastAsia"/>
          <w:b/>
          <w:bCs/>
        </w:rPr>
        <w:t xml:space="preserve">A股映射：</w:t>
      </w:r>
      <w:r>
        <w:t xml:space="preserve"> </w:t>
      </w:r>
      <w:r>
        <w:rPr>
          <w:rFonts w:hint="eastAsia"/>
        </w:rPr>
        <w:t xml:space="preserve">中长期偏利好科学仪器、实验室设备、高端磁体、核技术装备、6G前沿通信、先进储能、生物制造及服务科研机构的工业软件与测试测量环节。短期题材弹性可能高于盈利兑现速度，需优先核查研发强度、在手订单、验收周期和应收账款。</w:t>
      </w:r>
    </w:p>
    <w:p>
      <w:pPr>
        <w:pStyle w:val="BodyText"/>
      </w:pPr>
      <w:r>
        <w:rPr>
          <w:rFonts w:hint="eastAsia"/>
          <w:b/>
          <w:bCs/>
        </w:rPr>
        <w:t xml:space="preserve">影响时效：</w:t>
      </w:r>
      <w:r>
        <w:t xml:space="preserve"> </w:t>
      </w:r>
      <w:r>
        <w:rPr>
          <w:rFonts w:hint="eastAsia"/>
        </w:rPr>
        <w:t xml:space="preserve">短期为政策主题催化；中长期取决于科研经费落地、装置采购、成果转化和产业化效率。</w:t>
      </w:r>
    </w:p>
    <w:bookmarkEnd w:id="10"/>
    <w:bookmarkStart w:id="11" w:name="Xb406c10eef297cd266e8ae737a8e452a303f993"/>
    <w:p>
      <w:pPr>
        <w:pStyle w:val="Heading3"/>
      </w:pPr>
      <w:r>
        <w:t xml:space="preserve">2. </w:t>
      </w:r>
      <w:r>
        <w:rPr>
          <w:rFonts w:hint="eastAsia"/>
        </w:rPr>
        <w:t xml:space="preserve">新基建与前沿产业资本投入提速</w:t>
      </w:r>
      <w:r>
        <w:t xml:space="preserve"> ★★★★☆</w:t>
      </w:r>
    </w:p>
    <w:p>
      <w:pPr>
        <w:pStyle w:val="FirstParagraph"/>
      </w:pPr>
      <w:r>
        <w:rPr>
          <w:rFonts w:hint="eastAsia"/>
          <w:b/>
          <w:bCs/>
        </w:rPr>
        <w:t xml:space="preserve">原文事实：</w:t>
      </w:r>
      <w:r>
        <w:t xml:space="preserve"> </w:t>
      </w:r>
      <w:r>
        <w:rPr>
          <w:rFonts w:hint="eastAsia"/>
        </w:rPr>
        <w:t xml:space="preserve">国家发展改革委国家信息中心发布的先行指标显示，9月算力、数据等新型基础设施项目中标金额同比增长50.4%，人工智能、人形机器人等前沿领域资本投资金额同比增幅超过1倍。</w:t>
      </w:r>
    </w:p>
    <w:p>
      <w:pPr>
        <w:pStyle w:val="BodyText"/>
      </w:pPr>
      <w:r>
        <w:rPr>
          <w:rFonts w:hint="eastAsia"/>
          <w:b/>
          <w:bCs/>
        </w:rPr>
        <w:t xml:space="preserve">通俗解码：</w:t>
      </w:r>
      <w:r>
        <w:t xml:space="preserve"> </w:t>
      </w:r>
      <w:r>
        <w:rPr>
          <w:rFonts w:hint="eastAsia"/>
        </w:rPr>
        <w:t xml:space="preserve">与口号相比，“中标金额”和“资本投资金额”更接近真实投入端，说明算力、数据、人工智能和人形机器人仍处于扩容期。但资本投入增长不自动等于所有环节收入、利润同步增长。</w:t>
      </w:r>
    </w:p>
    <w:p>
      <w:pPr>
        <w:pStyle w:val="BodyText"/>
      </w:pPr>
      <w:r>
        <w:rPr>
          <w:rFonts w:hint="eastAsia"/>
          <w:b/>
          <w:bCs/>
        </w:rPr>
        <w:t xml:space="preserve">A股映射：</w:t>
      </w:r>
      <w:r>
        <w:t xml:space="preserve"> </w:t>
      </w:r>
      <w:r>
        <w:rPr>
          <w:rFonts w:hint="eastAsia"/>
        </w:rPr>
        <w:t xml:space="preserve">算力中心电源与温控、服务器及高速互连、数据基础设施、工业机器人零部件、机器视觉、精密减速和智能制造软件方向受益。应回避仅有概念标签、没有客户验证和订单兑现的标的。</w:t>
      </w:r>
    </w:p>
    <w:p>
      <w:pPr>
        <w:pStyle w:val="BodyText"/>
      </w:pPr>
      <w:r>
        <w:rPr>
          <w:rFonts w:hint="eastAsia"/>
          <w:b/>
          <w:bCs/>
        </w:rPr>
        <w:t xml:space="preserve">影响时效：</w:t>
      </w:r>
      <w:r>
        <w:t xml:space="preserve"> </w:t>
      </w:r>
      <w:r>
        <w:rPr>
          <w:rFonts w:hint="eastAsia"/>
        </w:rPr>
        <w:t xml:space="preserve">1—3个交易日可能强化科技主题热度；1—4个季度需跟踪招投标转收入、毛利率和经营现金流。</w:t>
      </w:r>
    </w:p>
    <w:bookmarkEnd w:id="11"/>
    <w:bookmarkStart w:id="12" w:name="Xb6d29db33582a54fe6688f6f1564f5c99ff946c"/>
    <w:p>
      <w:pPr>
        <w:pStyle w:val="Heading3"/>
      </w:pPr>
      <w:r>
        <w:t xml:space="preserve">3. </w:t>
      </w:r>
      <w:r>
        <w:rPr>
          <w:rFonts w:hint="eastAsia"/>
        </w:rPr>
        <w:t xml:space="preserve">就业优先与社保扩面形成民生托底</w:t>
      </w:r>
      <w:r>
        <w:t xml:space="preserve"> ★★★★</w:t>
      </w:r>
    </w:p>
    <w:p>
      <w:pPr>
        <w:pStyle w:val="FirstParagraph"/>
      </w:pPr>
      <w:r>
        <w:rPr>
          <w:rFonts w:hint="eastAsia"/>
          <w:b/>
          <w:bCs/>
        </w:rPr>
        <w:t xml:space="preserve">原文事实：</w:t>
      </w:r>
      <w:r>
        <w:t xml:space="preserve"> </w:t>
      </w:r>
      <w:r>
        <w:rPr>
          <w:rFonts w:hint="eastAsia"/>
        </w:rPr>
        <w:t xml:space="preserve">今年1—9月城镇新增就业1052万人，完成全年目标任务的87.7%；前8个月城镇调查失业率均值为5.2%。截至9月底，基本养老保险、失业保险、工伤保险参保人数分别为10.79亿、2.51亿、3.27亿，三项社会保险基金累计结余11.2万亿元。“十五五”时期将支持青年就业、提升灵活就业和新就业形态劳动者就业质量，扩大企业年金覆盖面试点，推进个人养老金制度，并推进更多社保服务全国通办和社保卡一卡通用。</w:t>
      </w:r>
    </w:p>
    <w:p>
      <w:pPr>
        <w:pStyle w:val="BodyText"/>
      </w:pPr>
      <w:r>
        <w:rPr>
          <w:rFonts w:hint="eastAsia"/>
          <w:b/>
          <w:bCs/>
        </w:rPr>
        <w:t xml:space="preserve">通俗解码：</w:t>
      </w:r>
      <w:r>
        <w:t xml:space="preserve"> </w:t>
      </w:r>
      <w:r>
        <w:rPr>
          <w:rFonts w:hint="eastAsia"/>
        </w:rPr>
        <w:t xml:space="preserve">政策同时抓就业数量、就业质量和养老保障扩面，目标是稳定居民预期并完善多层次养老体系。企业年金和个人养老金属于中长期制度建设，不宜解读成短期大规模资金立即入市。</w:t>
      </w:r>
    </w:p>
    <w:p>
      <w:pPr>
        <w:pStyle w:val="BodyText"/>
      </w:pPr>
      <w:r>
        <w:rPr>
          <w:rFonts w:hint="eastAsia"/>
          <w:b/>
          <w:bCs/>
        </w:rPr>
        <w:t xml:space="preserve">A股映射：</w:t>
      </w:r>
      <w:r>
        <w:t xml:space="preserve"> </w:t>
      </w:r>
      <w:r>
        <w:rPr>
          <w:rFonts w:hint="eastAsia"/>
        </w:rPr>
        <w:t xml:space="preserve">人力资源服务、社保数字化、金融IT、养老金融和合规保险服务中期受益；用工规范提高也可能增加部分高度依赖灵活用工企业的合规成本。</w:t>
      </w:r>
    </w:p>
    <w:p>
      <w:pPr>
        <w:pStyle w:val="BodyText"/>
      </w:pPr>
      <w:r>
        <w:rPr>
          <w:rFonts w:hint="eastAsia"/>
          <w:b/>
          <w:bCs/>
        </w:rPr>
        <w:t xml:space="preserve">影响时效：</w:t>
      </w:r>
      <w:r>
        <w:t xml:space="preserve"> </w:t>
      </w:r>
      <w:r>
        <w:rPr>
          <w:rFonts w:hint="eastAsia"/>
        </w:rPr>
        <w:t xml:space="preserve">民生与制度端为中长期；短期交易催化有限。</w:t>
      </w:r>
    </w:p>
    <w:bookmarkEnd w:id="12"/>
    <w:bookmarkStart w:id="13" w:name="X9d446e33f20390953f523a3393e546603a545ee"/>
    <w:p>
      <w:pPr>
        <w:pStyle w:val="Heading3"/>
      </w:pPr>
      <w:r>
        <w:t xml:space="preserve">4. </w:t>
      </w:r>
      <w:r>
        <w:rPr>
          <w:rFonts w:hint="eastAsia"/>
        </w:rPr>
        <w:t xml:space="preserve">服务消费和换新需求保持活跃</w:t>
      </w:r>
      <w:r>
        <w:t xml:space="preserve"> ★★★★</w:t>
      </w:r>
    </w:p>
    <w:p>
      <w:pPr>
        <w:pStyle w:val="FirstParagraph"/>
      </w:pPr>
      <w:r>
        <w:rPr>
          <w:rFonts w:hint="eastAsia"/>
          <w:b/>
          <w:bCs/>
        </w:rPr>
        <w:t xml:space="preserve">原文事实：</w:t>
      </w:r>
      <w:r>
        <w:t xml:space="preserve"> </w:t>
      </w:r>
      <w:r>
        <w:rPr>
          <w:rFonts w:hint="eastAsia"/>
        </w:rPr>
        <w:t xml:space="preserve">国庆期间全国服务消费相关行业日均销售收入同比增长19.5%；旅游游览和娱乐服务增长20%以上，经济型连锁酒店和民宿分别增长6.3%和12.8%，餐饮服务增长9%，文化艺术服务增长20.9%，体育服务增长近三成。家电和音像器材销售收入增长超过40%，手机、手环等通讯器材增幅达到1倍以上。</w:t>
      </w:r>
    </w:p>
    <w:p>
      <w:pPr>
        <w:pStyle w:val="BodyText"/>
      </w:pPr>
      <w:r>
        <w:rPr>
          <w:rFonts w:hint="eastAsia"/>
          <w:b/>
          <w:bCs/>
        </w:rPr>
        <w:t xml:space="preserve">通俗解码：</w:t>
      </w:r>
      <w:r>
        <w:t xml:space="preserve"> </w:t>
      </w:r>
      <w:r>
        <w:rPr>
          <w:rFonts w:hint="eastAsia"/>
        </w:rPr>
        <w:t xml:space="preserve">消费修复呈现“体验型服务消费+政策支持的耐用品换新+新品周期”共同驱动。假期数据具有季节性，不能直接外推全年同速增长。</w:t>
      </w:r>
    </w:p>
    <w:p>
      <w:pPr>
        <w:pStyle w:val="BodyText"/>
      </w:pPr>
      <w:r>
        <w:rPr>
          <w:rFonts w:hint="eastAsia"/>
          <w:b/>
          <w:bCs/>
        </w:rPr>
        <w:t xml:space="preserve">A股映射：</w:t>
      </w:r>
      <w:r>
        <w:t xml:space="preserve"> </w:t>
      </w:r>
      <w:r>
        <w:rPr>
          <w:rFonts w:hint="eastAsia"/>
        </w:rPr>
        <w:t xml:space="preserve">文旅景区、酒店、餐饮供应链、演艺体育服务、家电、消费电子及零售渠道的景气预期改善。验证重点是客单价、利润率、补贴延续性与节后需求持续性。</w:t>
      </w:r>
    </w:p>
    <w:p>
      <w:pPr>
        <w:pStyle w:val="BodyText"/>
      </w:pPr>
      <w:r>
        <w:rPr>
          <w:rFonts w:hint="eastAsia"/>
          <w:b/>
          <w:bCs/>
        </w:rPr>
        <w:t xml:space="preserve">影响时效：</w:t>
      </w:r>
      <w:r>
        <w:t xml:space="preserve"> </w:t>
      </w:r>
      <w:r>
        <w:rPr>
          <w:rFonts w:hint="eastAsia"/>
        </w:rPr>
        <w:t xml:space="preserve">短期情绪偏利好，持续性需等待后续月度消费数据。</w:t>
      </w:r>
    </w:p>
    <w:bookmarkEnd w:id="13"/>
    <w:bookmarkStart w:id="14" w:name="X16782406e56b6a50143ff2f39ff0bb26c1cbf8b"/>
    <w:p>
      <w:pPr>
        <w:pStyle w:val="Heading3"/>
      </w:pPr>
      <w:r>
        <w:t xml:space="preserve">5. </w:t>
      </w:r>
      <w:r>
        <w:rPr>
          <w:rFonts w:hint="eastAsia"/>
        </w:rPr>
        <w:t xml:space="preserve">卫星互联网、特高压和铁路货运形成基础设施组合</w:t>
      </w:r>
      <w:r>
        <w:t xml:space="preserve"> ★★★★</w:t>
      </w:r>
    </w:p>
    <w:p>
      <w:pPr>
        <w:pStyle w:val="FirstParagraph"/>
      </w:pPr>
      <w:r>
        <w:rPr>
          <w:rFonts w:hint="eastAsia"/>
          <w:b/>
          <w:bCs/>
        </w:rPr>
        <w:t xml:space="preserve">原文事实：</w:t>
      </w:r>
      <w:r>
        <w:t xml:space="preserve"> </w:t>
      </w:r>
      <w:r>
        <w:rPr>
          <w:rFonts w:hint="eastAsia"/>
        </w:rPr>
        <w:t xml:space="preserve">我国成功发射卫星互联网低轨27组卫星；长征十二号为我国首款4米级单芯级运载火箭。全国铁路启用新货物列车运行图，中欧班列图定线路96条，并开行时速160公里电商特快班列8列。烟威1000千伏特高压工程投产，线路全长1197公里，将提升山东省内绿电供给和核电送出能力。</w:t>
      </w:r>
    </w:p>
    <w:p>
      <w:pPr>
        <w:pStyle w:val="BodyText"/>
      </w:pPr>
      <w:r>
        <w:rPr>
          <w:rFonts w:hint="eastAsia"/>
          <w:b/>
          <w:bCs/>
        </w:rPr>
        <w:t xml:space="preserve">通俗解码：</w:t>
      </w:r>
      <w:r>
        <w:t xml:space="preserve"> </w:t>
      </w:r>
      <w:r>
        <w:rPr>
          <w:rFonts w:hint="eastAsia"/>
        </w:rPr>
        <w:t xml:space="preserve">这三项分别对应信息基础设施、物流基础设施和电力基础设施，均是“十五五”开局阶段的实物工作量。报道只确认项目或运行安排，不足以推导任何单一公司的订单份额。</w:t>
      </w:r>
    </w:p>
    <w:p>
      <w:pPr>
        <w:pStyle w:val="BodyText"/>
      </w:pPr>
      <w:r>
        <w:rPr>
          <w:rFonts w:hint="eastAsia"/>
          <w:b/>
          <w:bCs/>
        </w:rPr>
        <w:t xml:space="preserve">A股映射：</w:t>
      </w:r>
      <w:r>
        <w:t xml:space="preserve"> </w:t>
      </w:r>
      <w:r>
        <w:rPr>
          <w:rFonts w:hint="eastAsia"/>
        </w:rPr>
        <w:t xml:space="preserve">商业航天、卫星载荷与地面设备、运载火箭配套、铁路物流、特高压一次/二次设备、核电送出与电网数字化方向中期偏利好。</w:t>
      </w:r>
    </w:p>
    <w:p>
      <w:pPr>
        <w:pStyle w:val="BodyText"/>
      </w:pPr>
      <w:r>
        <w:rPr>
          <w:rFonts w:hint="eastAsia"/>
          <w:b/>
          <w:bCs/>
        </w:rPr>
        <w:t xml:space="preserve">影响时效：</w:t>
      </w:r>
      <w:r>
        <w:t xml:space="preserve"> </w:t>
      </w:r>
      <w:r>
        <w:rPr>
          <w:rFonts w:hint="eastAsia"/>
        </w:rPr>
        <w:t xml:space="preserve">项目驱动以中期为主，短期关注估值与订单兑现是否匹配。</w:t>
      </w:r>
    </w:p>
    <w:bookmarkEnd w:id="14"/>
    <w:bookmarkEnd w:id="15"/>
    <w:bookmarkStart w:id="44" w:name="三逐条a股影响分析按节目顺序"/>
    <w:p>
      <w:pPr>
        <w:pStyle w:val="Heading2"/>
      </w:pPr>
      <w:r>
        <w:rPr>
          <w:rFonts w:hint="eastAsia"/>
        </w:rPr>
        <w:t xml:space="preserve">三、逐条A股影响分析（按节目顺序）</w:t>
      </w:r>
    </w:p>
    <w:bookmarkStart w:id="16" w:name="X6a99039a928c3ceec2581c2ed43f5835e1557ac"/>
    <w:p>
      <w:pPr>
        <w:pStyle w:val="Heading3"/>
      </w:pPr>
      <w:r>
        <w:rPr>
          <w:rFonts w:hint="eastAsia"/>
        </w:rPr>
        <w:t xml:space="preserve">1.【新思想引领新征程】从源头和底层破题</w:t>
      </w:r>
      <w:r>
        <w:t xml:space="preserve"> </w:t>
      </w:r>
      <w:r>
        <w:rPr>
          <w:rFonts w:hint="eastAsia"/>
        </w:rPr>
        <w:t xml:space="preserve">夯实科技强国根基</w:t>
      </w:r>
    </w:p>
    <w:p>
      <w:pPr>
        <w:pStyle w:val="Compact"/>
        <w:numPr>
          <w:ilvl w:val="0"/>
          <w:numId w:val="1002"/>
        </w:numPr>
      </w:pPr>
      <w:r>
        <w:rPr>
          <w:rFonts w:hint="eastAsia"/>
          <w:b/>
          <w:bCs/>
        </w:rPr>
        <w:t xml:space="preserve">信号强度：★★★★★</w:t>
      </w:r>
    </w:p>
    <w:p>
      <w:pPr>
        <w:pStyle w:val="Compact"/>
        <w:numPr>
          <w:ilvl w:val="0"/>
          <w:numId w:val="1002"/>
        </w:numPr>
      </w:pPr>
      <w:r>
        <w:rPr>
          <w:rFonts w:hint="eastAsia"/>
          <w:b/>
          <w:bCs/>
        </w:rPr>
        <w:t xml:space="preserve">A股影响：中长期利好，短期结构性利好。</w:t>
      </w:r>
    </w:p>
    <w:p>
      <w:pPr>
        <w:pStyle w:val="Compact"/>
        <w:numPr>
          <w:ilvl w:val="0"/>
          <w:numId w:val="1002"/>
        </w:numPr>
      </w:pPr>
      <w:r>
        <w:rPr>
          <w:rFonts w:hint="eastAsia"/>
          <w:b/>
          <w:bCs/>
        </w:rPr>
        <w:t xml:space="preserve">受益方向：</w:t>
      </w:r>
      <w:r>
        <w:t xml:space="preserve"> </w:t>
      </w:r>
      <w:r>
        <w:rPr>
          <w:rFonts w:hint="eastAsia"/>
        </w:rPr>
        <w:t xml:space="preserve">科学仪器、大科学装置、高端医疗装备、6G、信息超材料、先进压缩空气储能、生物制造、种业科技、新能源汽车与光伏技术升级。</w:t>
      </w:r>
    </w:p>
    <w:p>
      <w:pPr>
        <w:pStyle w:val="Compact"/>
        <w:numPr>
          <w:ilvl w:val="0"/>
          <w:numId w:val="1002"/>
        </w:numPr>
      </w:pPr>
      <w:r>
        <w:rPr>
          <w:rFonts w:hint="eastAsia"/>
          <w:b/>
          <w:bCs/>
        </w:rPr>
        <w:t xml:space="preserve">核心逻辑：</w:t>
      </w:r>
      <w:r>
        <w:t xml:space="preserve"> </w:t>
      </w:r>
      <w:r>
        <w:rPr>
          <w:rFonts w:hint="eastAsia"/>
        </w:rPr>
        <w:t xml:space="preserve">头条位置叠加“十五五”开局、国家急迫需要和长远需求、原始创新与关键核心技术攻关等表述，说明基础研究及成果转化处在高优先级。长三角联合出资、联合出题、共同管理的机制，也指向区域科研资源协同。</w:t>
      </w:r>
    </w:p>
    <w:p>
      <w:pPr>
        <w:pStyle w:val="Compact"/>
        <w:numPr>
          <w:ilvl w:val="0"/>
          <w:numId w:val="1002"/>
        </w:numPr>
      </w:pPr>
      <w:r>
        <w:rPr>
          <w:rFonts w:hint="eastAsia"/>
          <w:b/>
          <w:bCs/>
        </w:rPr>
        <w:t xml:space="preserve">风险与证伪：</w:t>
      </w:r>
      <w:r>
        <w:t xml:space="preserve"> </w:t>
      </w:r>
      <w:r>
        <w:rPr>
          <w:rFonts w:hint="eastAsia"/>
        </w:rPr>
        <w:t xml:space="preserve">科研项目周期长、收入确认慢；若后续经费、采购、订单、验收没有兑现，则主题热度可能先于基本面回落。</w:t>
      </w:r>
    </w:p>
    <w:bookmarkEnd w:id="16"/>
    <w:bookmarkStart w:id="17" w:name="Xa850d5cba881674e2bad67f2eef0864a98ffc5c"/>
    <w:p>
      <w:pPr>
        <w:pStyle w:val="Heading3"/>
      </w:pPr>
      <w:r>
        <w:rPr>
          <w:rFonts w:hint="eastAsia"/>
        </w:rPr>
        <w:t xml:space="preserve">2.【赓续长征精神</w:t>
      </w:r>
      <w:r>
        <w:t xml:space="preserve"> </w:t>
      </w:r>
      <w:r>
        <w:rPr>
          <w:rFonts w:hint="eastAsia"/>
        </w:rPr>
        <w:t xml:space="preserve">奋进复兴征程】贵州：传承红色基因</w:t>
      </w:r>
      <w:r>
        <w:t xml:space="preserve"> </w:t>
      </w:r>
      <w:r>
        <w:rPr>
          <w:rFonts w:hint="eastAsia"/>
        </w:rPr>
        <w:t xml:space="preserve">谱写高质量发展新篇章</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A股影响：区域性、结构性利好。</w:t>
      </w:r>
    </w:p>
    <w:p>
      <w:pPr>
        <w:pStyle w:val="Compact"/>
        <w:numPr>
          <w:ilvl w:val="0"/>
          <w:numId w:val="1003"/>
        </w:numPr>
      </w:pPr>
      <w:r>
        <w:rPr>
          <w:rFonts w:hint="eastAsia"/>
          <w:b/>
          <w:bCs/>
        </w:rPr>
        <w:t xml:space="preserve">原文事实：</w:t>
      </w:r>
      <w:r>
        <w:t xml:space="preserve"> </w:t>
      </w:r>
      <w:r>
        <w:rPr>
          <w:rFonts w:hint="eastAsia"/>
        </w:rPr>
        <w:t xml:space="preserve">贵州在建和投运数据中心达50个，累计部署算力规模为每秒176百亿亿次浮点运算；“十五五”时期将培育优势矿产资源精深加工、新能源新材料、数智产业等六大产业集群，并发展纺织服装、生态食品、健康医药三大特色产业。贵州还依托700余处长征革命遗迹、遗址推进长征国家文化公园建设。</w:t>
      </w:r>
    </w:p>
    <w:p>
      <w:pPr>
        <w:pStyle w:val="Compact"/>
        <w:numPr>
          <w:ilvl w:val="0"/>
          <w:numId w:val="1003"/>
        </w:numPr>
      </w:pPr>
      <w:r>
        <w:rPr>
          <w:rFonts w:hint="eastAsia"/>
          <w:b/>
          <w:bCs/>
        </w:rPr>
        <w:t xml:space="preserve">受益方向：</w:t>
      </w:r>
      <w:r>
        <w:t xml:space="preserve"> </w:t>
      </w:r>
      <w:r>
        <w:rPr>
          <w:rFonts w:hint="eastAsia"/>
        </w:rPr>
        <w:t xml:space="preserve">贵州算力基础设施、数据中心配套、矿产精深加工、新能源材料、区域文旅和生态食品。</w:t>
      </w:r>
    </w:p>
    <w:p>
      <w:pPr>
        <w:pStyle w:val="Compact"/>
        <w:numPr>
          <w:ilvl w:val="0"/>
          <w:numId w:val="1003"/>
        </w:numPr>
      </w:pPr>
      <w:r>
        <w:rPr>
          <w:rFonts w:hint="eastAsia"/>
          <w:b/>
          <w:bCs/>
        </w:rPr>
        <w:t xml:space="preserve">风险与证伪：</w:t>
      </w:r>
      <w:r>
        <w:t xml:space="preserve"> </w:t>
      </w:r>
      <w:r>
        <w:rPr>
          <w:rFonts w:hint="eastAsia"/>
        </w:rPr>
        <w:t xml:space="preserve">区域规划不等于上市公司即时盈利；需核查项目资本开支来源、电力成本、上架率和客户需求。</w:t>
      </w:r>
    </w:p>
    <w:bookmarkEnd w:id="17"/>
    <w:bookmarkStart w:id="18" w:name="X879ec2e8ed9e28fc7fc2bb763c0a9a08192c723"/>
    <w:p>
      <w:pPr>
        <w:pStyle w:val="Heading3"/>
      </w:pPr>
      <w:r>
        <w:rPr>
          <w:rFonts w:hint="eastAsia"/>
        </w:rPr>
        <w:t xml:space="preserve">3.【“十五五”开好局起好步】实施就业优先战略</w:t>
      </w:r>
      <w:r>
        <w:t xml:space="preserve"> </w:t>
      </w:r>
      <w:r>
        <w:rPr>
          <w:rFonts w:hint="eastAsia"/>
        </w:rPr>
        <w:t xml:space="preserve">织密扎牢社会保障网</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A股影响：中性偏利好。</w:t>
      </w:r>
    </w:p>
    <w:p>
      <w:pPr>
        <w:pStyle w:val="Compact"/>
        <w:numPr>
          <w:ilvl w:val="0"/>
          <w:numId w:val="1004"/>
        </w:numPr>
      </w:pPr>
      <w:r>
        <w:rPr>
          <w:rFonts w:hint="eastAsia"/>
          <w:b/>
          <w:bCs/>
        </w:rPr>
        <w:t xml:space="preserve">受益方向：</w:t>
      </w:r>
      <w:r>
        <w:t xml:space="preserve"> </w:t>
      </w:r>
      <w:r>
        <w:rPr>
          <w:rFonts w:hint="eastAsia"/>
        </w:rPr>
        <w:t xml:space="preserve">人力资源服务、社保信息化、金融IT、企业年金与个人养老金服务、保险合规服务。</w:t>
      </w:r>
    </w:p>
    <w:p>
      <w:pPr>
        <w:pStyle w:val="Compact"/>
        <w:numPr>
          <w:ilvl w:val="0"/>
          <w:numId w:val="1004"/>
        </w:numPr>
      </w:pPr>
      <w:r>
        <w:rPr>
          <w:rFonts w:hint="eastAsia"/>
          <w:b/>
          <w:bCs/>
        </w:rPr>
        <w:t xml:space="preserve">受益逻辑：</w:t>
      </w:r>
      <w:r>
        <w:t xml:space="preserve"> </w:t>
      </w:r>
      <w:r>
        <w:rPr>
          <w:rFonts w:hint="eastAsia"/>
        </w:rPr>
        <w:t xml:space="preserve">就业稳定有助于居民收入和消费预期；社保扩面及全国通办提升数字化需求；企业年金与个人养老金扩容有利于长期资金体系建设。</w:t>
      </w:r>
    </w:p>
    <w:p>
      <w:pPr>
        <w:pStyle w:val="Compact"/>
        <w:numPr>
          <w:ilvl w:val="0"/>
          <w:numId w:val="1004"/>
        </w:numPr>
      </w:pPr>
      <w:r>
        <w:rPr>
          <w:rFonts w:hint="eastAsia"/>
          <w:b/>
          <w:bCs/>
        </w:rPr>
        <w:t xml:space="preserve">潜在约束：</w:t>
      </w:r>
      <w:r>
        <w:t xml:space="preserve"> </w:t>
      </w:r>
      <w:r>
        <w:rPr>
          <w:rFonts w:hint="eastAsia"/>
        </w:rPr>
        <w:t xml:space="preserve">劳动者权益保障强化可能抬升部分平台型、劳动密集型企业的合规与用工成本。</w:t>
      </w:r>
    </w:p>
    <w:bookmarkEnd w:id="18"/>
    <w:bookmarkStart w:id="19" w:name="Xd9d694dbdcde89f3ff47582090b5bbd212338d7"/>
    <w:p>
      <w:pPr>
        <w:pStyle w:val="Heading3"/>
      </w:pPr>
      <w:r>
        <w:t xml:space="preserve">4. </w:t>
      </w:r>
      <w:r>
        <w:rPr>
          <w:rFonts w:hint="eastAsia"/>
        </w:rPr>
        <w:t xml:space="preserve">先行指标释放积极信号</w:t>
      </w:r>
      <w:r>
        <w:t xml:space="preserve"> </w:t>
      </w:r>
      <w:r>
        <w:rPr>
          <w:rFonts w:hint="eastAsia"/>
        </w:rPr>
        <w:t xml:space="preserve">经济回升向好态势持续巩固</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A股影响：利好风险偏好，但需区分总量与结构。</w:t>
      </w:r>
    </w:p>
    <w:p>
      <w:pPr>
        <w:pStyle w:val="Compact"/>
        <w:numPr>
          <w:ilvl w:val="0"/>
          <w:numId w:val="1005"/>
        </w:numPr>
      </w:pPr>
      <w:r>
        <w:rPr>
          <w:rFonts w:hint="eastAsia"/>
          <w:b/>
          <w:bCs/>
        </w:rPr>
        <w:t xml:space="preserve">原文事实：</w:t>
      </w:r>
      <w:r>
        <w:t xml:space="preserve"> </w:t>
      </w:r>
      <w:r>
        <w:rPr>
          <w:rFonts w:hint="eastAsia"/>
        </w:rPr>
        <w:t xml:space="preserve">三季度各类消费支付金额同比增长2.6%，较二季度提高0.7个百分点；9月线下支付金额同比增长3.1%，连续三个月上行。三季度主要港口货运船舶离港载重量同比增长43.1%。投资端向算力、数据、人工智能和人形机器人集中。</w:t>
      </w:r>
    </w:p>
    <w:p>
      <w:pPr>
        <w:pStyle w:val="Compact"/>
        <w:numPr>
          <w:ilvl w:val="0"/>
          <w:numId w:val="1005"/>
        </w:numPr>
      </w:pPr>
      <w:r>
        <w:rPr>
          <w:rFonts w:hint="eastAsia"/>
          <w:b/>
          <w:bCs/>
        </w:rPr>
        <w:t xml:space="preserve">受益方向：</w:t>
      </w:r>
      <w:r>
        <w:t xml:space="preserve"> </w:t>
      </w:r>
      <w:r>
        <w:rPr>
          <w:rFonts w:hint="eastAsia"/>
        </w:rPr>
        <w:t xml:space="preserve">线下消费、港口物流、外贸供应链、新型基础设施、人工智能与机器人。</w:t>
      </w:r>
    </w:p>
    <w:p>
      <w:pPr>
        <w:pStyle w:val="Compact"/>
        <w:numPr>
          <w:ilvl w:val="0"/>
          <w:numId w:val="1005"/>
        </w:numPr>
      </w:pPr>
      <w:r>
        <w:rPr>
          <w:rFonts w:hint="eastAsia"/>
          <w:b/>
          <w:bCs/>
        </w:rPr>
        <w:t xml:space="preserve">风险与证伪：</w:t>
      </w:r>
      <w:r>
        <w:t xml:space="preserve"> </w:t>
      </w:r>
      <w:r>
        <w:rPr>
          <w:rFonts w:hint="eastAsia"/>
        </w:rPr>
        <w:t xml:space="preserve">先行指标与上市公司利润并非一一对应；港口载重量高增还需结合基数、运价和吞吐结构判断。</w:t>
      </w:r>
    </w:p>
    <w:bookmarkEnd w:id="19"/>
    <w:bookmarkStart w:id="20" w:name="X9f96ae025e08957d69fdf6da39a1a0c900d141b"/>
    <w:p>
      <w:pPr>
        <w:pStyle w:val="Heading3"/>
      </w:pPr>
      <w:r>
        <w:rPr>
          <w:rFonts w:hint="eastAsia"/>
        </w:rPr>
        <w:t xml:space="preserve">5.【在希望的田野上】全国秋粮收获进度过半</w:t>
      </w:r>
      <w:r>
        <w:t xml:space="preserve"> </w:t>
      </w:r>
      <w:r>
        <w:rPr>
          <w:rFonts w:hint="eastAsia"/>
        </w:rPr>
        <w:t xml:space="preserve">秋冬种陆续展开</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A股影响：农业生产链偏利好。</w:t>
      </w:r>
    </w:p>
    <w:p>
      <w:pPr>
        <w:pStyle w:val="Compact"/>
        <w:numPr>
          <w:ilvl w:val="0"/>
          <w:numId w:val="1006"/>
        </w:numPr>
      </w:pPr>
      <w:r>
        <w:rPr>
          <w:rFonts w:hint="eastAsia"/>
          <w:b/>
          <w:bCs/>
        </w:rPr>
        <w:t xml:space="preserve">原文事实：</w:t>
      </w:r>
      <w:r>
        <w:t xml:space="preserve"> </w:t>
      </w:r>
      <w:r>
        <w:rPr>
          <w:rFonts w:hint="eastAsia"/>
        </w:rPr>
        <w:t xml:space="preserve">黑龙江北安10万多亩大豆集中收获；吉林榆树90万亩水稻进入收获高峰，机收占比达90%；关中平原1000多万亩玉米进入大规模收获；河南智慧农事服务平台覆盖19个乡镇、13000多个农户，节约化肥等种植成本210多万元。农业农村部派出6个工作组和科技小分队赴12个重点省份。</w:t>
      </w:r>
    </w:p>
    <w:p>
      <w:pPr>
        <w:pStyle w:val="Compact"/>
        <w:numPr>
          <w:ilvl w:val="0"/>
          <w:numId w:val="1006"/>
        </w:numPr>
      </w:pPr>
      <w:r>
        <w:rPr>
          <w:rFonts w:hint="eastAsia"/>
          <w:b/>
          <w:bCs/>
        </w:rPr>
        <w:t xml:space="preserve">受益方向：</w:t>
      </w:r>
      <w:r>
        <w:t xml:space="preserve"> </w:t>
      </w:r>
      <w:r>
        <w:rPr>
          <w:rFonts w:hint="eastAsia"/>
        </w:rPr>
        <w:t xml:space="preserve">农机、种业、智慧农业、农资配送及粮食仓储服务。</w:t>
      </w:r>
    </w:p>
    <w:p>
      <w:pPr>
        <w:pStyle w:val="Compact"/>
        <w:numPr>
          <w:ilvl w:val="0"/>
          <w:numId w:val="1006"/>
        </w:numPr>
      </w:pPr>
      <w:r>
        <w:rPr>
          <w:rFonts w:hint="eastAsia"/>
          <w:b/>
          <w:bCs/>
        </w:rPr>
        <w:t xml:space="preserve">风险与证伪：</w:t>
      </w:r>
      <w:r>
        <w:t xml:space="preserve"> </w:t>
      </w:r>
      <w:r>
        <w:rPr>
          <w:rFonts w:hint="eastAsia"/>
        </w:rPr>
        <w:t xml:space="preserve">丰收可能压低部分农产品价格弹性；农机与农资企业的受益程度取决于销量、补贴和回款。</w:t>
      </w:r>
    </w:p>
    <w:bookmarkEnd w:id="20"/>
    <w:bookmarkStart w:id="21" w:name="X113858639091584535381e0ce0ed3fe0b14b6ea"/>
    <w:p>
      <w:pPr>
        <w:pStyle w:val="Heading3"/>
      </w:pPr>
      <w:r>
        <w:t xml:space="preserve">6. </w:t>
      </w:r>
      <w:r>
        <w:rPr>
          <w:rFonts w:hint="eastAsia"/>
        </w:rPr>
        <w:t xml:space="preserve">国庆假期服务消费需求旺盛</w:t>
      </w:r>
      <w:r>
        <w:t xml:space="preserve"> </w:t>
      </w:r>
      <w:r>
        <w:rPr>
          <w:rFonts w:hint="eastAsia"/>
        </w:rPr>
        <w:t xml:space="preserve">商品消费增势良好</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A股影响：消费板块短期利好。</w:t>
      </w:r>
    </w:p>
    <w:p>
      <w:pPr>
        <w:pStyle w:val="Compact"/>
        <w:numPr>
          <w:ilvl w:val="0"/>
          <w:numId w:val="1007"/>
        </w:numPr>
      </w:pPr>
      <w:r>
        <w:rPr>
          <w:rFonts w:hint="eastAsia"/>
          <w:b/>
          <w:bCs/>
        </w:rPr>
        <w:t xml:space="preserve">受益方向：</w:t>
      </w:r>
      <w:r>
        <w:t xml:space="preserve"> </w:t>
      </w:r>
      <w:r>
        <w:rPr>
          <w:rFonts w:hint="eastAsia"/>
        </w:rPr>
        <w:t xml:space="preserve">文旅、酒店、餐饮供应链、演艺、体育服务、家电、手机与可穿戴设备。</w:t>
      </w:r>
    </w:p>
    <w:p>
      <w:pPr>
        <w:pStyle w:val="Compact"/>
        <w:numPr>
          <w:ilvl w:val="0"/>
          <w:numId w:val="1007"/>
        </w:numPr>
      </w:pPr>
      <w:r>
        <w:rPr>
          <w:rFonts w:hint="eastAsia"/>
          <w:b/>
          <w:bCs/>
        </w:rPr>
        <w:t xml:space="preserve">受益逻辑：</w:t>
      </w:r>
      <w:r>
        <w:t xml:space="preserve"> </w:t>
      </w:r>
      <w:r>
        <w:rPr>
          <w:rFonts w:hint="eastAsia"/>
        </w:rPr>
        <w:t xml:space="preserve">发票数据覆盖真实经营活动，显示服务消费和换新需求较活跃；体育、文化艺术与旅游形成多场景联动。</w:t>
      </w:r>
    </w:p>
    <w:p>
      <w:pPr>
        <w:pStyle w:val="Compact"/>
        <w:numPr>
          <w:ilvl w:val="0"/>
          <w:numId w:val="1007"/>
        </w:numPr>
      </w:pPr>
      <w:r>
        <w:rPr>
          <w:rFonts w:hint="eastAsia"/>
          <w:b/>
          <w:bCs/>
        </w:rPr>
        <w:t xml:space="preserve">风险与证伪：</w:t>
      </w:r>
      <w:r>
        <w:t xml:space="preserve"> </w:t>
      </w:r>
      <w:r>
        <w:rPr>
          <w:rFonts w:hint="eastAsia"/>
        </w:rPr>
        <w:t xml:space="preserve">假期集中释放、补贴节奏与新品上市共同抬高同比，节后若客流、销售和毛利快速回落，持续性将弱化。</w:t>
      </w:r>
    </w:p>
    <w:bookmarkEnd w:id="21"/>
    <w:bookmarkStart w:id="22" w:name="X667792c6de5d15f9c881b0a18ec4e4eb22d0bf8"/>
    <w:p>
      <w:pPr>
        <w:pStyle w:val="Heading3"/>
      </w:pPr>
      <w:r>
        <w:t xml:space="preserve">7. </w:t>
      </w:r>
      <w:r>
        <w:rPr>
          <w:rFonts w:hint="eastAsia"/>
        </w:rPr>
        <w:t xml:space="preserve">我国候鸟种群数量稳步增长</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A股影响：整体中性，生态监测细分轻度利好。</w:t>
      </w:r>
    </w:p>
    <w:p>
      <w:pPr>
        <w:pStyle w:val="Compact"/>
        <w:numPr>
          <w:ilvl w:val="0"/>
          <w:numId w:val="1008"/>
        </w:numPr>
      </w:pPr>
      <w:r>
        <w:rPr>
          <w:rFonts w:hint="eastAsia"/>
          <w:b/>
          <w:bCs/>
        </w:rPr>
        <w:t xml:space="preserve">原文事实：</w:t>
      </w:r>
      <w:r>
        <w:t xml:space="preserve"> </w:t>
      </w:r>
      <w:r>
        <w:rPr>
          <w:rFonts w:hint="eastAsia"/>
        </w:rPr>
        <w:t xml:space="preserve">我国现有鸟类1505种，800多种具有迁徙习性；全球9条候鸟迁飞通道中有4条途经我国；已筛选821处关键栖息地加强保护修复；今年越冬水鸟监测总量632.4万只，其中81.8%在自然保护地内栖息越冬。</w:t>
      </w:r>
    </w:p>
    <w:p>
      <w:pPr>
        <w:pStyle w:val="Compact"/>
        <w:numPr>
          <w:ilvl w:val="0"/>
          <w:numId w:val="1008"/>
        </w:numPr>
      </w:pPr>
      <w:r>
        <w:rPr>
          <w:rFonts w:hint="eastAsia"/>
          <w:b/>
          <w:bCs/>
        </w:rPr>
        <w:t xml:space="preserve">受益方向：</w:t>
      </w:r>
      <w:r>
        <w:t xml:space="preserve"> </w:t>
      </w:r>
      <w:r>
        <w:rPr>
          <w:rFonts w:hint="eastAsia"/>
        </w:rPr>
        <w:t xml:space="preserve">生态修复、湿地保护、智能监测与环境感知设备。</w:t>
      </w:r>
    </w:p>
    <w:p>
      <w:pPr>
        <w:pStyle w:val="Compact"/>
        <w:numPr>
          <w:ilvl w:val="0"/>
          <w:numId w:val="1008"/>
        </w:numPr>
      </w:pPr>
      <w:r>
        <w:rPr>
          <w:rFonts w:hint="eastAsia"/>
          <w:b/>
          <w:bCs/>
        </w:rPr>
        <w:t xml:space="preserve">边界：</w:t>
      </w:r>
      <w:r>
        <w:t xml:space="preserve"> </w:t>
      </w:r>
      <w:r>
        <w:rPr>
          <w:rFonts w:hint="eastAsia"/>
        </w:rPr>
        <w:t xml:space="preserve">报道没有给出新增投资额或采购安排，A股影响偏主题观察，不宜扩大解读。</w:t>
      </w:r>
    </w:p>
    <w:bookmarkEnd w:id="22"/>
    <w:bookmarkStart w:id="23" w:name="Xfd07c17373ad73a09501200e112128d823267ae"/>
    <w:p>
      <w:pPr>
        <w:pStyle w:val="Heading3"/>
      </w:pPr>
      <w:r>
        <w:t xml:space="preserve">8. </w:t>
      </w:r>
      <w:r>
        <w:rPr>
          <w:rFonts w:hint="eastAsia"/>
        </w:rPr>
        <w:t xml:space="preserve">国务院新闻办举行“新征程上的奋斗者”中外记者见面会</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A股影响：中性。</w:t>
      </w:r>
    </w:p>
    <w:p>
      <w:pPr>
        <w:pStyle w:val="Compact"/>
        <w:numPr>
          <w:ilvl w:val="0"/>
          <w:numId w:val="1009"/>
        </w:numPr>
      </w:pPr>
      <w:r>
        <w:rPr>
          <w:rFonts w:hint="eastAsia"/>
          <w:b/>
          <w:bCs/>
        </w:rPr>
        <w:t xml:space="preserve">原文事实：</w:t>
      </w:r>
      <w:r>
        <w:t xml:space="preserve"> </w:t>
      </w:r>
      <w:r>
        <w:rPr>
          <w:rFonts w:hint="eastAsia"/>
        </w:rPr>
        <w:t xml:space="preserve">五位检察系统代表围绕强化检察监督、打击犯罪、维护社会安宁和守护未成年人权益分享工作经历。</w:t>
      </w:r>
    </w:p>
    <w:p>
      <w:pPr>
        <w:pStyle w:val="Compact"/>
        <w:numPr>
          <w:ilvl w:val="0"/>
          <w:numId w:val="1009"/>
        </w:numPr>
      </w:pPr>
      <w:r>
        <w:rPr>
          <w:rFonts w:hint="eastAsia"/>
          <w:b/>
          <w:bCs/>
        </w:rPr>
        <w:t xml:space="preserve">市场解读：</w:t>
      </w:r>
      <w:r>
        <w:t xml:space="preserve"> </w:t>
      </w:r>
      <w:r>
        <w:rPr>
          <w:rFonts w:hint="eastAsia"/>
        </w:rPr>
        <w:t xml:space="preserve">体现法治与社会治理导向，但没有新增产业政策、财政安排或资本市场制度信息，不构成明确板块催化。</w:t>
      </w:r>
    </w:p>
    <w:bookmarkEnd w:id="23"/>
    <w:bookmarkStart w:id="24" w:name="X9774dbaf7451bdc9fa940ccdb486e16321ede0b"/>
    <w:p>
      <w:pPr>
        <w:pStyle w:val="Heading3"/>
      </w:pPr>
      <w:r>
        <w:t xml:space="preserve">9. </w:t>
      </w:r>
      <w:r>
        <w:rPr>
          <w:rFonts w:hint="eastAsia"/>
        </w:rPr>
        <w:t xml:space="preserve">第五届亚残运会中国体育代表团今天成立</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A股影响：中性偏主题。</w:t>
      </w:r>
    </w:p>
    <w:p>
      <w:pPr>
        <w:pStyle w:val="Compact"/>
        <w:numPr>
          <w:ilvl w:val="0"/>
          <w:numId w:val="1010"/>
        </w:numPr>
      </w:pPr>
      <w:r>
        <w:rPr>
          <w:rFonts w:hint="eastAsia"/>
          <w:b/>
          <w:bCs/>
        </w:rPr>
        <w:t xml:space="preserve">原文事实：</w:t>
      </w:r>
      <w:r>
        <w:t xml:space="preserve"> </w:t>
      </w:r>
      <w:r>
        <w:rPr>
          <w:rFonts w:hint="eastAsia"/>
        </w:rPr>
        <w:t xml:space="preserve">代表团总人数500人，其中运动员312人，来自25个省区市，平均年龄28.8岁，将参加17个大项、335个小项；赛事于10月18日至24日在日本举行，预计有45个国家和地区的3000多名运动员参赛。</w:t>
      </w:r>
    </w:p>
    <w:p>
      <w:pPr>
        <w:pStyle w:val="Compact"/>
        <w:numPr>
          <w:ilvl w:val="0"/>
          <w:numId w:val="1010"/>
        </w:numPr>
      </w:pPr>
      <w:r>
        <w:rPr>
          <w:rFonts w:hint="eastAsia"/>
          <w:b/>
          <w:bCs/>
        </w:rPr>
        <w:t xml:space="preserve">受益方向：</w:t>
      </w:r>
      <w:r>
        <w:t xml:space="preserve"> </w:t>
      </w:r>
      <w:r>
        <w:rPr>
          <w:rFonts w:hint="eastAsia"/>
        </w:rPr>
        <w:t xml:space="preserve">体育服务、康复辅具与无障碍设备可获得关注，但原文没有采购、补贴或产业政策，实际业绩影响有限。</w:t>
      </w:r>
    </w:p>
    <w:bookmarkEnd w:id="24"/>
    <w:bookmarkStart w:id="35" w:name="X2af40381398dea162e6e5eba2cebcd1c5763d81"/>
    <w:p>
      <w:pPr>
        <w:pStyle w:val="Heading3"/>
      </w:pPr>
      <w:r>
        <w:t xml:space="preserve">10. </w:t>
      </w:r>
      <w:r>
        <w:rPr>
          <w:rFonts w:hint="eastAsia"/>
        </w:rPr>
        <w:t xml:space="preserve">国内联播快讯（10条全部覆盖）</w:t>
      </w:r>
    </w:p>
    <w:bookmarkStart w:id="25" w:name="Xf46976dab1ff0afac4220fce206a04f7ade0848"/>
    <w:p>
      <w:pPr>
        <w:pStyle w:val="Heading4"/>
      </w:pPr>
      <w:r>
        <w:rPr>
          <w:rFonts w:hint="eastAsia"/>
        </w:rPr>
        <w:t xml:space="preserve">10.1《国家残疾预防行动计划（2026—2030年）》印发</w:t>
      </w:r>
    </w:p>
    <w:p>
      <w:pPr>
        <w:pStyle w:val="Compact"/>
        <w:numPr>
          <w:ilvl w:val="0"/>
          <w:numId w:val="1011"/>
        </w:numPr>
      </w:pPr>
      <w:r>
        <w:rPr>
          <w:rFonts w:hint="eastAsia"/>
          <w:b/>
          <w:bCs/>
        </w:rPr>
        <w:t xml:space="preserve">信号强度：★★★</w:t>
      </w:r>
      <w:r>
        <w:rPr>
          <w:rFonts w:hint="eastAsia"/>
        </w:rPr>
        <w:t xml:space="preserve">；</w:t>
      </w:r>
      <w:r>
        <w:rPr>
          <w:rFonts w:hint="eastAsia"/>
          <w:b/>
          <w:bCs/>
        </w:rPr>
        <w:t xml:space="preserve">影响：中长期结构性利好。</w:t>
      </w:r>
    </w:p>
    <w:p>
      <w:pPr>
        <w:pStyle w:val="Compact"/>
        <w:numPr>
          <w:ilvl w:val="0"/>
          <w:numId w:val="1011"/>
        </w:numPr>
      </w:pPr>
      <w:r>
        <w:rPr>
          <w:rFonts w:hint="eastAsia"/>
        </w:rPr>
        <w:t xml:space="preserve">行动计划设置18项主要指标，目标是到2030年完善残疾预防防控体系、管控重点致残风险。关注康复医疗、早筛检测、医疗器械和无障碍服务，但原文未给出具体资金规模。</w:t>
      </w:r>
    </w:p>
    <w:bookmarkEnd w:id="25"/>
    <w:bookmarkStart w:id="26" w:name="X9d1465873bad823c8a49fb7025df296d4eff430"/>
    <w:p>
      <w:pPr>
        <w:pStyle w:val="Heading4"/>
      </w:pPr>
      <w:r>
        <w:t xml:space="preserve">10.2 </w:t>
      </w:r>
      <w:r>
        <w:rPr>
          <w:rFonts w:hint="eastAsia"/>
        </w:rPr>
        <w:t xml:space="preserve">财产保险产品开发管理规定发布</w:t>
      </w:r>
    </w:p>
    <w:p>
      <w:pPr>
        <w:pStyle w:val="Compact"/>
        <w:numPr>
          <w:ilvl w:val="0"/>
          <w:numId w:val="1012"/>
        </w:numPr>
      </w:pPr>
      <w:r>
        <w:rPr>
          <w:rFonts w:hint="eastAsia"/>
          <w:b/>
          <w:bCs/>
        </w:rPr>
        <w:t xml:space="preserve">信号强度：★★★</w:t>
      </w:r>
      <w:r>
        <w:rPr>
          <w:rFonts w:hint="eastAsia"/>
        </w:rPr>
        <w:t xml:space="preserve">；</w:t>
      </w:r>
      <w:r>
        <w:rPr>
          <w:rFonts w:hint="eastAsia"/>
          <w:b/>
          <w:bCs/>
        </w:rPr>
        <w:t xml:space="preserve">影响：行业规范化，短期中性。</w:t>
      </w:r>
    </w:p>
    <w:p>
      <w:pPr>
        <w:pStyle w:val="Compact"/>
        <w:numPr>
          <w:ilvl w:val="0"/>
          <w:numId w:val="1012"/>
        </w:numPr>
      </w:pPr>
      <w:r>
        <w:rPr>
          <w:rFonts w:hint="eastAsia"/>
        </w:rPr>
        <w:t xml:space="preserve">规定禁止开发无实际保障内容、违背社会公序良俗等八类产品，并要求个人类条款通俗、清晰。利于消费者保护和行业长期质量，短期可能增加产品合规审查成本，压缩低质量产品空间。</w:t>
      </w:r>
    </w:p>
    <w:bookmarkEnd w:id="26"/>
    <w:bookmarkStart w:id="27" w:name="Xf8be181bd8581f3b1a2bb860a1bd22e4212fe9c"/>
    <w:p>
      <w:pPr>
        <w:pStyle w:val="Heading4"/>
      </w:pPr>
      <w:r>
        <w:t xml:space="preserve">10.3 </w:t>
      </w:r>
      <w:r>
        <w:rPr>
          <w:rFonts w:hint="eastAsia"/>
        </w:rPr>
        <w:t xml:space="preserve">全国铁路今起实行新货物列车运行图</w:t>
      </w:r>
    </w:p>
    <w:p>
      <w:pPr>
        <w:pStyle w:val="Compact"/>
        <w:numPr>
          <w:ilvl w:val="0"/>
          <w:numId w:val="1013"/>
        </w:numPr>
      </w:pPr>
      <w:r>
        <w:rPr>
          <w:rFonts w:hint="eastAsia"/>
          <w:b/>
          <w:bCs/>
        </w:rPr>
        <w:t xml:space="preserve">信号强度：★★★</w:t>
      </w:r>
      <w:r>
        <w:rPr>
          <w:rFonts w:hint="eastAsia"/>
        </w:rPr>
        <w:t xml:space="preserve">；</w:t>
      </w:r>
      <w:r>
        <w:rPr>
          <w:rFonts w:hint="eastAsia"/>
          <w:b/>
          <w:bCs/>
        </w:rPr>
        <w:t xml:space="preserve">影响：物流链偏利好。</w:t>
      </w:r>
    </w:p>
    <w:p>
      <w:pPr>
        <w:pStyle w:val="Compact"/>
        <w:numPr>
          <w:ilvl w:val="0"/>
          <w:numId w:val="1013"/>
        </w:numPr>
      </w:pPr>
      <w:r>
        <w:rPr>
          <w:rFonts w:hint="eastAsia"/>
        </w:rPr>
        <w:t xml:space="preserve">中欧班列图定线路96条，新增经阿拉山口、二连浩特口岸入境至榆林、济南的回程班列，并开行时速160公里电商特快班列8列。关注铁路物流、跨境供应链和电商快运效率提升。</w:t>
      </w:r>
    </w:p>
    <w:bookmarkEnd w:id="27"/>
    <w:bookmarkStart w:id="28" w:name="X8d2e26b516803443894f6d7b9abe84b8d28d796"/>
    <w:p>
      <w:pPr>
        <w:pStyle w:val="Heading4"/>
      </w:pPr>
      <w:r>
        <w:t xml:space="preserve">10.4 </w:t>
      </w:r>
      <w:r>
        <w:rPr>
          <w:rFonts w:hint="eastAsia"/>
        </w:rPr>
        <w:t xml:space="preserve">我国成功发射卫星互联网低轨27组卫星</w:t>
      </w:r>
    </w:p>
    <w:p>
      <w:pPr>
        <w:pStyle w:val="Compact"/>
        <w:numPr>
          <w:ilvl w:val="0"/>
          <w:numId w:val="1014"/>
        </w:numPr>
      </w:pPr>
      <w:r>
        <w:rPr>
          <w:rFonts w:hint="eastAsia"/>
          <w:b/>
          <w:bCs/>
        </w:rPr>
        <w:t xml:space="preserve">信号强度：★★★★</w:t>
      </w:r>
      <w:r>
        <w:rPr>
          <w:rFonts w:hint="eastAsia"/>
        </w:rPr>
        <w:t xml:space="preserve">；</w:t>
      </w:r>
      <w:r>
        <w:rPr>
          <w:rFonts w:hint="eastAsia"/>
          <w:b/>
          <w:bCs/>
        </w:rPr>
        <w:t xml:space="preserve">影响：商业航天产业链利好。</w:t>
      </w:r>
    </w:p>
    <w:p>
      <w:pPr>
        <w:pStyle w:val="Compact"/>
        <w:numPr>
          <w:ilvl w:val="0"/>
          <w:numId w:val="1014"/>
        </w:numPr>
      </w:pPr>
      <w:r>
        <w:rPr>
          <w:rFonts w:hint="eastAsia"/>
        </w:rPr>
        <w:t xml:space="preserve">长征十二号为我国首款4米级单芯级运载火箭，支持单星、多星不同轨道任务。关注卫星制造、火箭配套、测控和地面终端；不得由一次发射推断单一公司获得订单。</w:t>
      </w:r>
    </w:p>
    <w:bookmarkEnd w:id="28"/>
    <w:bookmarkStart w:id="29" w:name="X9256eb7625b3d46bb91b145a2b568b84dcb7fe1"/>
    <w:p>
      <w:pPr>
        <w:pStyle w:val="Heading4"/>
      </w:pPr>
      <w:r>
        <w:t xml:space="preserve">10.5 </w:t>
      </w:r>
      <w:r>
        <w:rPr>
          <w:rFonts w:hint="eastAsia"/>
        </w:rPr>
        <w:t xml:space="preserve">全国性涉外法律服务平台“法通”网正式上线运行</w:t>
      </w:r>
    </w:p>
    <w:p>
      <w:pPr>
        <w:pStyle w:val="Compact"/>
        <w:numPr>
          <w:ilvl w:val="0"/>
          <w:numId w:val="1015"/>
        </w:numPr>
      </w:pPr>
      <w:r>
        <w:rPr>
          <w:rFonts w:hint="eastAsia"/>
          <w:b/>
          <w:bCs/>
        </w:rPr>
        <w:t xml:space="preserve">信号强度：★★☆</w:t>
      </w:r>
      <w:r>
        <w:rPr>
          <w:rFonts w:hint="eastAsia"/>
        </w:rPr>
        <w:t xml:space="preserve">；</w:t>
      </w:r>
      <w:r>
        <w:rPr>
          <w:rFonts w:hint="eastAsia"/>
          <w:b/>
          <w:bCs/>
        </w:rPr>
        <w:t xml:space="preserve">影响：中性偏利好。</w:t>
      </w:r>
    </w:p>
    <w:p>
      <w:pPr>
        <w:pStyle w:val="Compact"/>
        <w:numPr>
          <w:ilvl w:val="0"/>
          <w:numId w:val="1015"/>
        </w:numPr>
      </w:pPr>
      <w:r>
        <w:rPr>
          <w:rFonts w:hint="eastAsia"/>
        </w:rPr>
        <w:t xml:space="preserve">平台提供主要经济体法律法规中文译本、区域国别法务指南及涉外法律咨询，服务“走出去”企业和公民。利于降低企业出海合规信息成本，关注涉外法务、合规科技和企业服务。</w:t>
      </w:r>
    </w:p>
    <w:bookmarkEnd w:id="29"/>
    <w:bookmarkStart w:id="30" w:name="Xd80c9133c43f0ef4d500f3f639843a03726054c"/>
    <w:p>
      <w:pPr>
        <w:pStyle w:val="Heading4"/>
      </w:pPr>
      <w:r>
        <w:t xml:space="preserve">10.6 </w:t>
      </w:r>
      <w:r>
        <w:rPr>
          <w:rFonts w:hint="eastAsia"/>
        </w:rPr>
        <w:t xml:space="preserve">国庆期间全国涉旅游特种设备安全形势总体平稳</w:t>
      </w:r>
    </w:p>
    <w:p>
      <w:pPr>
        <w:pStyle w:val="Compact"/>
        <w:numPr>
          <w:ilvl w:val="0"/>
          <w:numId w:val="1016"/>
        </w:numPr>
      </w:pPr>
      <w:r>
        <w:rPr>
          <w:rFonts w:hint="eastAsia"/>
          <w:b/>
          <w:bCs/>
        </w:rPr>
        <w:t xml:space="preserve">信号强度：★★</w:t>
      </w:r>
      <w:r>
        <w:rPr>
          <w:rFonts w:hint="eastAsia"/>
        </w:rPr>
        <w:t xml:space="preserve">；</w:t>
      </w:r>
      <w:r>
        <w:rPr>
          <w:rFonts w:hint="eastAsia"/>
          <w:b/>
          <w:bCs/>
        </w:rPr>
        <w:t xml:space="preserve">影响：中性。</w:t>
      </w:r>
    </w:p>
    <w:p>
      <w:pPr>
        <w:pStyle w:val="Compact"/>
        <w:numPr>
          <w:ilvl w:val="0"/>
          <w:numId w:val="1016"/>
        </w:numPr>
      </w:pPr>
      <w:r>
        <w:rPr>
          <w:rFonts w:hint="eastAsia"/>
        </w:rPr>
        <w:t xml:space="preserve">市场监管部门检查相关使用单位6万家次、消除问题隐患1.7万余项，未发生涉旅游特种设备事故。对文旅运营环境是正面信息，也意味着游乐设施、索道和电梯维保合规要求持续存在。</w:t>
      </w:r>
    </w:p>
    <w:bookmarkEnd w:id="30"/>
    <w:bookmarkStart w:id="31" w:name="X791611a315c3b0d8e67ee0cb7d7a6b2c1d876c7"/>
    <w:p>
      <w:pPr>
        <w:pStyle w:val="Heading4"/>
      </w:pPr>
      <w:r>
        <w:t xml:space="preserve">10.7 </w:t>
      </w:r>
      <w:r>
        <w:rPr>
          <w:rFonts w:hint="eastAsia"/>
        </w:rPr>
        <w:t xml:space="preserve">烟威1000千伏特高压工程竣工投产</w:t>
      </w:r>
    </w:p>
    <w:p>
      <w:pPr>
        <w:pStyle w:val="Compact"/>
        <w:numPr>
          <w:ilvl w:val="0"/>
          <w:numId w:val="1017"/>
        </w:numPr>
      </w:pPr>
      <w:r>
        <w:rPr>
          <w:rFonts w:hint="eastAsia"/>
          <w:b/>
          <w:bCs/>
        </w:rPr>
        <w:t xml:space="preserve">信号强度：★★★★</w:t>
      </w:r>
      <w:r>
        <w:rPr>
          <w:rFonts w:hint="eastAsia"/>
        </w:rPr>
        <w:t xml:space="preserve">；</w:t>
      </w:r>
      <w:r>
        <w:rPr>
          <w:rFonts w:hint="eastAsia"/>
          <w:b/>
          <w:bCs/>
        </w:rPr>
        <w:t xml:space="preserve">影响：电网设备与核电消纳方向利好。</w:t>
      </w:r>
    </w:p>
    <w:p>
      <w:pPr>
        <w:pStyle w:val="Compact"/>
        <w:numPr>
          <w:ilvl w:val="0"/>
          <w:numId w:val="1017"/>
        </w:numPr>
      </w:pPr>
      <w:r>
        <w:rPr>
          <w:rFonts w:hint="eastAsia"/>
        </w:rPr>
        <w:t xml:space="preserve">该工程是“十五五”时期首个投运的特高压交流输变电工程，线路全长1197公里，用于烟台海阳、莱阳等地核电送出并提升山东绿电供给。关注特高压设备、电网建设和核电消纳，但项目投产后的新增订单需另行验证。</w:t>
      </w:r>
    </w:p>
    <w:bookmarkEnd w:id="31"/>
    <w:bookmarkStart w:id="32" w:name="X9869a2fec68277cca9037eeed521fd478c2c7f6"/>
    <w:p>
      <w:pPr>
        <w:pStyle w:val="Heading4"/>
      </w:pPr>
      <w:r>
        <w:t xml:space="preserve">10.8 </w:t>
      </w:r>
      <w:r>
        <w:rPr>
          <w:rFonts w:hint="eastAsia"/>
        </w:rPr>
        <w:t xml:space="preserve">新疆棉花进入集中采收期</w:t>
      </w:r>
    </w:p>
    <w:p>
      <w:pPr>
        <w:pStyle w:val="Compact"/>
        <w:numPr>
          <w:ilvl w:val="0"/>
          <w:numId w:val="1018"/>
        </w:numPr>
      </w:pPr>
      <w:r>
        <w:rPr>
          <w:rFonts w:hint="eastAsia"/>
          <w:b/>
          <w:bCs/>
        </w:rPr>
        <w:t xml:space="preserve">信号强度：★★☆</w:t>
      </w:r>
      <w:r>
        <w:rPr>
          <w:rFonts w:hint="eastAsia"/>
        </w:rPr>
        <w:t xml:space="preserve">；</w:t>
      </w:r>
      <w:r>
        <w:rPr>
          <w:rFonts w:hint="eastAsia"/>
          <w:b/>
          <w:bCs/>
        </w:rPr>
        <w:t xml:space="preserve">影响：棉花产业链中性偏利好。</w:t>
      </w:r>
    </w:p>
    <w:p>
      <w:pPr>
        <w:pStyle w:val="Compact"/>
        <w:numPr>
          <w:ilvl w:val="0"/>
          <w:numId w:val="1018"/>
        </w:numPr>
      </w:pPr>
      <w:r>
        <w:rPr>
          <w:rFonts w:hint="eastAsia"/>
        </w:rPr>
        <w:t xml:space="preserve">1万多台机械有序推进，采收进度近半，预计10月底完成。关注采棉机、农业机械与棉花加工；供给增加也可能限制棉价上行空间。</w:t>
      </w:r>
    </w:p>
    <w:bookmarkEnd w:id="32"/>
    <w:bookmarkStart w:id="33" w:name="X360b80de43186c89e25d94ac9c7be109734ee00"/>
    <w:p>
      <w:pPr>
        <w:pStyle w:val="Heading4"/>
      </w:pPr>
      <w:r>
        <w:t xml:space="preserve">10.9 </w:t>
      </w:r>
      <w:r>
        <w:rPr>
          <w:rFonts w:hint="eastAsia"/>
        </w:rPr>
        <w:t xml:space="preserve">“飞天奖”“星光奖”颁奖典礼举行</w:t>
      </w:r>
    </w:p>
    <w:p>
      <w:pPr>
        <w:pStyle w:val="Compact"/>
        <w:numPr>
          <w:ilvl w:val="0"/>
          <w:numId w:val="1019"/>
        </w:numPr>
      </w:pPr>
      <w:r>
        <w:rPr>
          <w:rFonts w:hint="eastAsia"/>
          <w:b/>
          <w:bCs/>
        </w:rPr>
        <w:t xml:space="preserve">信号强度：★☆</w:t>
      </w:r>
      <w:r>
        <w:rPr>
          <w:rFonts w:hint="eastAsia"/>
        </w:rPr>
        <w:t xml:space="preserve">；</w:t>
      </w:r>
      <w:r>
        <w:rPr>
          <w:rFonts w:hint="eastAsia"/>
          <w:b/>
          <w:bCs/>
        </w:rPr>
        <w:t xml:space="preserve">影响：传媒板块情绪中性偏正面。</w:t>
      </w:r>
    </w:p>
    <w:p>
      <w:pPr>
        <w:pStyle w:val="Compact"/>
        <w:numPr>
          <w:ilvl w:val="0"/>
          <w:numId w:val="1019"/>
        </w:numPr>
      </w:pPr>
      <w:r>
        <w:rPr>
          <w:rFonts w:hint="eastAsia"/>
        </w:rPr>
        <w:t xml:space="preserve">《西北岁月》《沉默的荣耀》《我的阿勒泰》等16部电视剧获“飞天奖”，另有14部作品获“星光奖”。主要体现优质内容导向，不代表新增行业扶持或上市公司业绩。</w:t>
      </w:r>
    </w:p>
    <w:bookmarkEnd w:id="33"/>
    <w:bookmarkStart w:id="34" w:name="X5c4f1fd0736e91c95f884c4761a3a069a4fbdd7"/>
    <w:p>
      <w:pPr>
        <w:pStyle w:val="Heading4"/>
      </w:pPr>
      <w:r>
        <w:t xml:space="preserve">10.10 </w:t>
      </w:r>
      <w:r>
        <w:rPr>
          <w:rFonts w:hint="eastAsia"/>
        </w:rPr>
        <w:t xml:space="preserve">总台2027“品牌强国战略”共建行动暨国家品牌可信语料平台启动</w:t>
      </w:r>
    </w:p>
    <w:p>
      <w:pPr>
        <w:pStyle w:val="Compact"/>
        <w:numPr>
          <w:ilvl w:val="0"/>
          <w:numId w:val="1020"/>
        </w:numPr>
      </w:pPr>
      <w:r>
        <w:rPr>
          <w:rFonts w:hint="eastAsia"/>
          <w:b/>
          <w:bCs/>
        </w:rPr>
        <w:t xml:space="preserve">信号强度：★★★</w:t>
      </w:r>
      <w:r>
        <w:rPr>
          <w:rFonts w:hint="eastAsia"/>
        </w:rPr>
        <w:t xml:space="preserve">；</w:t>
      </w:r>
      <w:r>
        <w:rPr>
          <w:rFonts w:hint="eastAsia"/>
          <w:b/>
          <w:bCs/>
        </w:rPr>
        <w:t xml:space="preserve">影响：品牌营销、可信语料与AI传播方向偏利好。</w:t>
      </w:r>
    </w:p>
    <w:p>
      <w:pPr>
        <w:pStyle w:val="Compact"/>
        <w:numPr>
          <w:ilvl w:val="0"/>
          <w:numId w:val="1020"/>
        </w:numPr>
      </w:pPr>
      <w:r>
        <w:rPr>
          <w:rFonts w:hint="eastAsia"/>
        </w:rPr>
        <w:t xml:space="preserve">平台将提供科学、权威、可追溯、可持续的品牌信息服务，现场发布“品牌强国工程”AI传播服务方案，并同步签约乡村振兴公益行动、消费季融媒体活动和美丽中国典范项目。关注品牌数据治理、内容营销与AI传播服务，但原文未披露商业模式和收入规模。</w:t>
      </w:r>
    </w:p>
    <w:bookmarkEnd w:id="34"/>
    <w:bookmarkEnd w:id="35"/>
    <w:bookmarkStart w:id="36" w:name="X63bab32559207f1a7817fc1dc68f2e473f484cf"/>
    <w:p>
      <w:pPr>
        <w:pStyle w:val="Heading3"/>
      </w:pPr>
      <w:r>
        <w:t xml:space="preserve">11. </w:t>
      </w:r>
      <w:r>
        <w:rPr>
          <w:rFonts w:hint="eastAsia"/>
        </w:rPr>
        <w:t xml:space="preserve">日本民间团体提交请愿书</w:t>
      </w:r>
      <w:r>
        <w:t xml:space="preserve"> </w:t>
      </w:r>
      <w:r>
        <w:rPr>
          <w:rFonts w:hint="eastAsia"/>
        </w:rPr>
        <w:t xml:space="preserve">反对政府扩军备武</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A股影响：总体中性，地缘风险提示。</w:t>
      </w:r>
    </w:p>
    <w:p>
      <w:pPr>
        <w:pStyle w:val="Compact"/>
        <w:numPr>
          <w:ilvl w:val="0"/>
          <w:numId w:val="1021"/>
        </w:numPr>
      </w:pPr>
      <w:r>
        <w:rPr>
          <w:rFonts w:hint="eastAsia"/>
          <w:b/>
          <w:bCs/>
        </w:rPr>
        <w:t xml:space="preserve">原文事实：</w:t>
      </w:r>
      <w:r>
        <w:t xml:space="preserve"> </w:t>
      </w:r>
      <w:r>
        <w:rPr>
          <w:rFonts w:hint="eastAsia"/>
        </w:rPr>
        <w:t xml:space="preserve">日本冲绳、九州等地41个民间团体向日本有关部门提交请愿书，反对持续扩大防卫开支和推进军事部署；国际人士对日本再军事化表达担忧。</w:t>
      </w:r>
    </w:p>
    <w:p>
      <w:pPr>
        <w:pStyle w:val="Compact"/>
        <w:numPr>
          <w:ilvl w:val="0"/>
          <w:numId w:val="1021"/>
        </w:numPr>
      </w:pPr>
      <w:r>
        <w:rPr>
          <w:rFonts w:hint="eastAsia"/>
          <w:b/>
          <w:bCs/>
        </w:rPr>
        <w:t xml:space="preserve">市场解读：</w:t>
      </w:r>
      <w:r>
        <w:t xml:space="preserve"> </w:t>
      </w:r>
      <w:r>
        <w:rPr>
          <w:rFonts w:hint="eastAsia"/>
        </w:rPr>
        <w:t xml:space="preserve">该报道反映地区安全议题，但没有确认新的制裁、冲突或贸易措施。对军工、航运等只能作为风险情绪观察，不能直接推导基本面利好。</w:t>
      </w:r>
    </w:p>
    <w:bookmarkEnd w:id="36"/>
    <w:bookmarkStart w:id="37" w:name="X03b48c4e90146dac9d9258132013f8abcc4f339"/>
    <w:p>
      <w:pPr>
        <w:pStyle w:val="Heading3"/>
      </w:pPr>
      <w:r>
        <w:t xml:space="preserve">12. </w:t>
      </w:r>
      <w:r>
        <w:rPr>
          <w:rFonts w:hint="eastAsia"/>
        </w:rPr>
        <w:t xml:space="preserve">俄将向美国和全球市场供油</w:t>
      </w:r>
      <w:r>
        <w:t xml:space="preserve"> </w:t>
      </w:r>
      <w:r>
        <w:rPr>
          <w:rFonts w:hint="eastAsia"/>
        </w:rPr>
        <w:t xml:space="preserve">美放松对俄柴油贸易制裁</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A股影响：油价链条偏利空上游价格弹性、偏利好成本敏感行业，但结论取决于实际供给。</w:t>
      </w:r>
    </w:p>
    <w:p>
      <w:pPr>
        <w:pStyle w:val="Compact"/>
        <w:numPr>
          <w:ilvl w:val="0"/>
          <w:numId w:val="1022"/>
        </w:numPr>
      </w:pPr>
      <w:r>
        <w:rPr>
          <w:rFonts w:hint="eastAsia"/>
          <w:b/>
          <w:bCs/>
        </w:rPr>
        <w:t xml:space="preserve">原文事实：</w:t>
      </w:r>
      <w:r>
        <w:t xml:space="preserve"> </w:t>
      </w:r>
      <w:r>
        <w:rPr>
          <w:rFonts w:hint="eastAsia"/>
        </w:rPr>
        <w:t xml:space="preserve">俄方确认将向美国和全球市场提供石油和石油产品；报道提到本月提供超过30万吨柴油、11月提供50万吨，此后视情况每月提供100万吨或更多。美国财政部称将在未来几个月放松针对俄罗斯柴油贸易的制裁。美国全国柴油平均零售价为每加仑6.28美元，同比涨幅超过70%。乌方对无前提放松制裁表示反对，相关会谈提前结束。</w:t>
      </w:r>
    </w:p>
    <w:p>
      <w:pPr>
        <w:pStyle w:val="Compact"/>
        <w:numPr>
          <w:ilvl w:val="0"/>
          <w:numId w:val="1022"/>
        </w:numPr>
      </w:pPr>
      <w:r>
        <w:rPr>
          <w:rFonts w:hint="eastAsia"/>
          <w:b/>
          <w:bCs/>
        </w:rPr>
        <w:t xml:space="preserve">受益/受压方向：</w:t>
      </w:r>
      <w:r>
        <w:t xml:space="preserve"> </w:t>
      </w:r>
      <w:r>
        <w:rPr>
          <w:rFonts w:hint="eastAsia"/>
        </w:rPr>
        <w:t xml:space="preserve">若供应真实增加，航空、物流、化工等成本端可能受益，油气开采的价格弹性可能受压；若地缘谈判反复，则上述逻辑可能逆转。</w:t>
      </w:r>
    </w:p>
    <w:p>
      <w:pPr>
        <w:pStyle w:val="Compact"/>
        <w:numPr>
          <w:ilvl w:val="0"/>
          <w:numId w:val="1022"/>
        </w:numPr>
      </w:pPr>
      <w:r>
        <w:rPr>
          <w:rFonts w:hint="eastAsia"/>
          <w:b/>
          <w:bCs/>
        </w:rPr>
        <w:t xml:space="preserve">风险与证伪：</w:t>
      </w:r>
      <w:r>
        <w:t xml:space="preserve"> </w:t>
      </w:r>
      <w:r>
        <w:rPr>
          <w:rFonts w:hint="eastAsia"/>
        </w:rPr>
        <w:t xml:space="preserve">声明、制裁执行、交付规模和地缘谈判均存在不确定性，应以实际出口和价格数据验证。</w:t>
      </w:r>
    </w:p>
    <w:bookmarkEnd w:id="37"/>
    <w:bookmarkStart w:id="43" w:name="Xa02937b7425c5532b3434009c86cf454c144093"/>
    <w:p>
      <w:pPr>
        <w:pStyle w:val="Heading3"/>
      </w:pPr>
      <w:r>
        <w:t xml:space="preserve">13. </w:t>
      </w:r>
      <w:r>
        <w:rPr>
          <w:rFonts w:hint="eastAsia"/>
        </w:rPr>
        <w:t xml:space="preserve">国际联播快讯（5条全部覆盖）</w:t>
      </w:r>
    </w:p>
    <w:bookmarkStart w:id="38" w:name="Xc2b771eea42dbb2cda36189c254e2651ca7f125"/>
    <w:p>
      <w:pPr>
        <w:pStyle w:val="Heading4"/>
      </w:pPr>
      <w:r>
        <w:t xml:space="preserve">13.1 </w:t>
      </w:r>
      <w:r>
        <w:rPr>
          <w:rFonts w:hint="eastAsia"/>
        </w:rPr>
        <w:t xml:space="preserve">沙特主导联军称摧毁胡塞武装136处目标</w:t>
      </w:r>
    </w:p>
    <w:p>
      <w:pPr>
        <w:pStyle w:val="Compact"/>
        <w:numPr>
          <w:ilvl w:val="0"/>
          <w:numId w:val="1023"/>
        </w:numPr>
      </w:pPr>
      <w:r>
        <w:rPr>
          <w:rFonts w:hint="eastAsia"/>
          <w:b/>
          <w:bCs/>
        </w:rPr>
        <w:t xml:space="preserve">信号强度：★★★</w:t>
      </w:r>
      <w:r>
        <w:rPr>
          <w:rFonts w:hint="eastAsia"/>
        </w:rPr>
        <w:t xml:space="preserve">；</w:t>
      </w:r>
      <w:r>
        <w:rPr>
          <w:rFonts w:hint="eastAsia"/>
          <w:b/>
          <w:bCs/>
        </w:rPr>
        <w:t xml:space="preserve">影响：风险偏好偏空、航运与能源风险溢价偏多。</w:t>
      </w:r>
    </w:p>
    <w:p>
      <w:pPr>
        <w:pStyle w:val="Compact"/>
        <w:numPr>
          <w:ilvl w:val="0"/>
          <w:numId w:val="1023"/>
        </w:numPr>
      </w:pPr>
      <w:r>
        <w:rPr>
          <w:rFonts w:hint="eastAsia"/>
        </w:rPr>
        <w:t xml:space="preserve">冲突升级可能增加红海及曼德海峡周边运输不确定性。对航运价格的影响取决于航线绕行、保险费率和实际通行情况，不能只凭军事声明判断运价上涨。</w:t>
      </w:r>
    </w:p>
    <w:bookmarkEnd w:id="38"/>
    <w:bookmarkStart w:id="39" w:name="Xda29c9d8a8cb5189634f587c6d8c1e781b14b7c"/>
    <w:p>
      <w:pPr>
        <w:pStyle w:val="Heading4"/>
      </w:pPr>
      <w:r>
        <w:t xml:space="preserve">13.2 </w:t>
      </w:r>
      <w:r>
        <w:rPr>
          <w:rFonts w:hint="eastAsia"/>
        </w:rPr>
        <w:t xml:space="preserve">伊朗称将不限于在海峡打击违规船只</w:t>
      </w:r>
    </w:p>
    <w:p>
      <w:pPr>
        <w:pStyle w:val="Compact"/>
        <w:numPr>
          <w:ilvl w:val="0"/>
          <w:numId w:val="1024"/>
        </w:numPr>
      </w:pPr>
      <w:r>
        <w:rPr>
          <w:rFonts w:hint="eastAsia"/>
          <w:b/>
          <w:bCs/>
        </w:rPr>
        <w:t xml:space="preserve">信号强度：★★★☆</w:t>
      </w:r>
      <w:r>
        <w:rPr>
          <w:rFonts w:hint="eastAsia"/>
        </w:rPr>
        <w:t xml:space="preserve">；</w:t>
      </w:r>
      <w:r>
        <w:rPr>
          <w:rFonts w:hint="eastAsia"/>
          <w:b/>
          <w:bCs/>
        </w:rPr>
        <w:t xml:space="preserve">影响：油运、能源和避险情绪可能升温。</w:t>
      </w:r>
    </w:p>
    <w:p>
      <w:pPr>
        <w:pStyle w:val="Compact"/>
        <w:numPr>
          <w:ilvl w:val="0"/>
          <w:numId w:val="1024"/>
        </w:numPr>
      </w:pPr>
      <w:r>
        <w:rPr>
          <w:rFonts w:hint="eastAsia"/>
        </w:rPr>
        <w:t xml:space="preserve">伊朗方面称行动范围不局限于霍尔木兹海峡，增加区域航运风险预期。若没有实际封航或供应中断，市场影响可能停留在风险溢价层面。</w:t>
      </w:r>
    </w:p>
    <w:bookmarkEnd w:id="39"/>
    <w:bookmarkStart w:id="40" w:name="X344cd74ccdea5c2a7ad605da140ab10caa1ab8f"/>
    <w:p>
      <w:pPr>
        <w:pStyle w:val="Heading4"/>
      </w:pPr>
      <w:r>
        <w:t xml:space="preserve">13.3 </w:t>
      </w:r>
      <w:r>
        <w:rPr>
          <w:rFonts w:hint="eastAsia"/>
        </w:rPr>
        <w:t xml:space="preserve">阿检方称迪拜航空副驾企图自杀式恐袭</w:t>
      </w:r>
    </w:p>
    <w:p>
      <w:pPr>
        <w:pStyle w:val="Compact"/>
        <w:numPr>
          <w:ilvl w:val="0"/>
          <w:numId w:val="1025"/>
        </w:numPr>
      </w:pPr>
      <w:r>
        <w:rPr>
          <w:rFonts w:hint="eastAsia"/>
          <w:b/>
          <w:bCs/>
        </w:rPr>
        <w:t xml:space="preserve">信号强度：★★☆</w:t>
      </w:r>
      <w:r>
        <w:rPr>
          <w:rFonts w:hint="eastAsia"/>
        </w:rPr>
        <w:t xml:space="preserve">；</w:t>
      </w:r>
      <w:r>
        <w:rPr>
          <w:rFonts w:hint="eastAsia"/>
          <w:b/>
          <w:bCs/>
        </w:rPr>
        <w:t xml:space="preserve">影响：航空安全情绪偏空。</w:t>
      </w:r>
    </w:p>
    <w:p>
      <w:pPr>
        <w:pStyle w:val="Compact"/>
        <w:numPr>
          <w:ilvl w:val="0"/>
          <w:numId w:val="1025"/>
        </w:numPr>
      </w:pPr>
      <w:r>
        <w:rPr>
          <w:rFonts w:hint="eastAsia"/>
        </w:rPr>
        <w:t xml:space="preserve">阿联酋检方仍在调查同伙及其他关联。事件可能提高航空安保关注，但原文不足以推导航空需求或经营数据发生持续变化。</w:t>
      </w:r>
    </w:p>
    <w:bookmarkEnd w:id="40"/>
    <w:bookmarkStart w:id="41" w:name="Xf3367b78159f23babeebd5daeaa168c59997719"/>
    <w:p>
      <w:pPr>
        <w:pStyle w:val="Heading4"/>
      </w:pPr>
      <w:r>
        <w:t xml:space="preserve">13.4 </w:t>
      </w:r>
      <w:r>
        <w:rPr>
          <w:rFonts w:hint="eastAsia"/>
        </w:rPr>
        <w:t xml:space="preserve">巴拿马发生7.6级地震</w:t>
      </w:r>
    </w:p>
    <w:p>
      <w:pPr>
        <w:pStyle w:val="Compact"/>
        <w:numPr>
          <w:ilvl w:val="0"/>
          <w:numId w:val="1026"/>
        </w:numPr>
      </w:pPr>
      <w:r>
        <w:rPr>
          <w:rFonts w:hint="eastAsia"/>
          <w:b/>
          <w:bCs/>
        </w:rPr>
        <w:t xml:space="preserve">信号强度：★★☆</w:t>
      </w:r>
      <w:r>
        <w:rPr>
          <w:rFonts w:hint="eastAsia"/>
        </w:rPr>
        <w:t xml:space="preserve">；</w:t>
      </w:r>
      <w:r>
        <w:rPr>
          <w:rFonts w:hint="eastAsia"/>
          <w:b/>
          <w:bCs/>
        </w:rPr>
        <w:t xml:space="preserve">影响：局部灾害与物流扰动观察。</w:t>
      </w:r>
    </w:p>
    <w:p>
      <w:pPr>
        <w:pStyle w:val="Compact"/>
        <w:numPr>
          <w:ilvl w:val="0"/>
          <w:numId w:val="1026"/>
        </w:numPr>
      </w:pPr>
      <w:r>
        <w:rPr>
          <w:rFonts w:hint="eastAsia"/>
        </w:rPr>
        <w:t xml:space="preserve">地震造成27人受伤，部分建筑、道路和供水设施受损，机场一度关闭。原文没有说明运河运行受影响，因此不得推演全球航运通道中断；后续仅需跟踪基础设施和交通恢复情况。</w:t>
      </w:r>
    </w:p>
    <w:bookmarkEnd w:id="41"/>
    <w:bookmarkStart w:id="42" w:name="X5a1618917dc27142c8f99923536ca6cd4489cd2"/>
    <w:p>
      <w:pPr>
        <w:pStyle w:val="Heading4"/>
      </w:pPr>
      <w:r>
        <w:t xml:space="preserve">13.5 </w:t>
      </w:r>
      <w:r>
        <w:rPr>
          <w:rFonts w:hint="eastAsia"/>
        </w:rPr>
        <w:t xml:space="preserve">飓风在美国佛州登陆</w:t>
      </w:r>
    </w:p>
    <w:p>
      <w:pPr>
        <w:pStyle w:val="Compact"/>
        <w:numPr>
          <w:ilvl w:val="0"/>
          <w:numId w:val="1027"/>
        </w:numPr>
      </w:pPr>
      <w:r>
        <w:rPr>
          <w:rFonts w:hint="eastAsia"/>
          <w:b/>
          <w:bCs/>
        </w:rPr>
        <w:t xml:space="preserve">信号强度：★★☆</w:t>
      </w:r>
      <w:r>
        <w:rPr>
          <w:rFonts w:hint="eastAsia"/>
        </w:rPr>
        <w:t xml:space="preserve">；</w:t>
      </w:r>
      <w:r>
        <w:rPr>
          <w:rFonts w:hint="eastAsia"/>
          <w:b/>
          <w:bCs/>
        </w:rPr>
        <w:t xml:space="preserve">影响：保险、电力修复和能源物流扰动观察。</w:t>
      </w:r>
    </w:p>
    <w:p>
      <w:pPr>
        <w:pStyle w:val="Compact"/>
        <w:numPr>
          <w:ilvl w:val="0"/>
          <w:numId w:val="1027"/>
        </w:numPr>
      </w:pPr>
      <w:r>
        <w:rPr>
          <w:rFonts w:hint="eastAsia"/>
        </w:rPr>
        <w:t xml:space="preserve">佛罗里达州、亚拉巴马州超过66万用户断电，两州进入紧急状态。短期可能增加灾后电网修复和保险赔付压力，但原文未提供对中国企业订单或供应链的直接影响。</w:t>
      </w:r>
    </w:p>
    <w:bookmarkEnd w:id="42"/>
    <w:bookmarkEnd w:id="43"/>
    <w:bookmarkEnd w:id="44"/>
    <w:bookmarkStart w:id="45"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pPr>
            <w:r>
              <w:rPr>
                <w:rFonts w:hint="eastAsia"/>
              </w:rPr>
              <w:t xml:space="preserve">信号强度</w:t>
            </w:r>
          </w:p>
        </w:tc>
        <w:tc>
          <w:tcPr/>
          <w:p>
            <w:pPr>
              <w:pStyle w:val="Compact"/>
            </w:pPr>
            <w:r>
              <w:rPr>
                <w:rFonts w:hint="eastAsia"/>
              </w:rPr>
              <w:t xml:space="preserve">关键验证点</w:t>
            </w:r>
          </w:p>
        </w:tc>
      </w:tr>
      <w:tr>
        <w:tc>
          <w:tcPr/>
          <w:p>
            <w:pPr>
              <w:pStyle w:val="Compact"/>
            </w:pPr>
            <w:r>
              <w:rPr>
                <w:rFonts w:hint="eastAsia"/>
              </w:rPr>
              <w:t xml:space="preserve">科学仪器/大科学装置</w:t>
            </w:r>
          </w:p>
        </w:tc>
        <w:tc>
          <w:tcPr/>
          <w:p>
            <w:pPr>
              <w:pStyle w:val="Compact"/>
            </w:pPr>
            <w:r>
              <w:rPr>
                <w:rFonts w:hint="eastAsia"/>
              </w:rPr>
              <w:t xml:space="preserve">中长期利好</w:t>
            </w:r>
          </w:p>
        </w:tc>
        <w:tc>
          <w:tcPr/>
          <w:p>
            <w:pPr>
              <w:pStyle w:val="Compact"/>
            </w:pPr>
            <w:r>
              <w:rPr>
                <w:rFonts w:hint="eastAsia"/>
              </w:rPr>
              <w:t xml:space="preserve">基础研究头条</w:t>
            </w:r>
          </w:p>
        </w:tc>
        <w:tc>
          <w:tcPr/>
          <w:p>
            <w:pPr>
              <w:pStyle w:val="Compact"/>
            </w:pPr>
            <w:r>
              <w:t xml:space="preserve">★★★★★</w:t>
            </w:r>
          </w:p>
        </w:tc>
        <w:tc>
          <w:tcPr/>
          <w:p>
            <w:pPr>
              <w:pStyle w:val="Compact"/>
            </w:pPr>
            <w:r>
              <w:rPr>
                <w:rFonts w:hint="eastAsia"/>
              </w:rPr>
              <w:t xml:space="preserve">科研经费、采购订单、验收与回款</w:t>
            </w:r>
          </w:p>
        </w:tc>
      </w:tr>
      <w:tr>
        <w:tc>
          <w:tcPr/>
          <w:p>
            <w:pPr>
              <w:pStyle w:val="Compact"/>
            </w:pPr>
            <w:r>
              <w:rPr>
                <w:rFonts w:hint="eastAsia"/>
              </w:rPr>
              <w:t xml:space="preserve">算力/数据基础设施</w:t>
            </w:r>
          </w:p>
        </w:tc>
        <w:tc>
          <w:tcPr/>
          <w:p>
            <w:pPr>
              <w:pStyle w:val="Compact"/>
            </w:pPr>
            <w:r>
              <w:rPr>
                <w:rFonts w:hint="eastAsia"/>
              </w:rPr>
              <w:t xml:space="preserve">偏利好</w:t>
            </w:r>
          </w:p>
        </w:tc>
        <w:tc>
          <w:tcPr/>
          <w:p>
            <w:pPr>
              <w:pStyle w:val="Compact"/>
            </w:pPr>
            <w:r>
              <w:rPr>
                <w:rFonts w:hint="eastAsia"/>
              </w:rPr>
              <w:t xml:space="preserve">9月中标金额同比增长50.4%；贵州算力布局</w:t>
            </w:r>
          </w:p>
        </w:tc>
        <w:tc>
          <w:tcPr/>
          <w:p>
            <w:pPr>
              <w:pStyle w:val="Compact"/>
            </w:pPr>
            <w:r>
              <w:t xml:space="preserve">★★★★☆</w:t>
            </w:r>
          </w:p>
        </w:tc>
        <w:tc>
          <w:tcPr/>
          <w:p>
            <w:pPr>
              <w:pStyle w:val="Compact"/>
            </w:pPr>
            <w:r>
              <w:rPr>
                <w:rFonts w:hint="eastAsia"/>
              </w:rPr>
              <w:t xml:space="preserve">上架率、客户质量、电力成本、现金流</w:t>
            </w:r>
          </w:p>
        </w:tc>
      </w:tr>
      <w:tr>
        <w:tc>
          <w:tcPr/>
          <w:p>
            <w:pPr>
              <w:pStyle w:val="Compact"/>
            </w:pPr>
            <w:r>
              <w:rPr>
                <w:rFonts w:hint="eastAsia"/>
              </w:rPr>
              <w:t xml:space="preserve">人工智能/人形机器人</w:t>
            </w:r>
          </w:p>
        </w:tc>
        <w:tc>
          <w:tcPr/>
          <w:p>
            <w:pPr>
              <w:pStyle w:val="Compact"/>
            </w:pPr>
            <w:r>
              <w:rPr>
                <w:rFonts w:hint="eastAsia"/>
              </w:rPr>
              <w:t xml:space="preserve">偏利好但防拥挤</w:t>
            </w:r>
          </w:p>
        </w:tc>
        <w:tc>
          <w:tcPr/>
          <w:p>
            <w:pPr>
              <w:pStyle w:val="Compact"/>
            </w:pPr>
            <w:r>
              <w:rPr>
                <w:rFonts w:hint="eastAsia"/>
              </w:rPr>
              <w:t xml:space="preserve">资本投资金额同比增幅超1倍</w:t>
            </w:r>
          </w:p>
        </w:tc>
        <w:tc>
          <w:tcPr/>
          <w:p>
            <w:pPr>
              <w:pStyle w:val="Compact"/>
            </w:pPr>
            <w:r>
              <w:t xml:space="preserve">★★★★☆</w:t>
            </w:r>
          </w:p>
        </w:tc>
        <w:tc>
          <w:tcPr/>
          <w:p>
            <w:pPr>
              <w:pStyle w:val="Compact"/>
            </w:pPr>
            <w:r>
              <w:rPr>
                <w:rFonts w:hint="eastAsia"/>
              </w:rPr>
              <w:t xml:space="preserve">订单、量产、毛利和研发费用资本化质量</w:t>
            </w:r>
          </w:p>
        </w:tc>
      </w:tr>
      <w:tr>
        <w:tc>
          <w:tcPr/>
          <w:p>
            <w:pPr>
              <w:pStyle w:val="Compact"/>
            </w:pPr>
            <w:r>
              <w:rPr>
                <w:rFonts w:hint="eastAsia"/>
              </w:rPr>
              <w:t xml:space="preserve">6G/高端通信</w:t>
            </w:r>
          </w:p>
        </w:tc>
        <w:tc>
          <w:tcPr/>
          <w:p>
            <w:pPr>
              <w:pStyle w:val="Compact"/>
            </w:pPr>
            <w:r>
              <w:rPr>
                <w:rFonts w:hint="eastAsia"/>
              </w:rPr>
              <w:t xml:space="preserve">中长期利好</w:t>
            </w:r>
          </w:p>
        </w:tc>
        <w:tc>
          <w:tcPr/>
          <w:p>
            <w:pPr>
              <w:pStyle w:val="Compact"/>
            </w:pPr>
            <w:r>
              <w:rPr>
                <w:rFonts w:hint="eastAsia"/>
              </w:rPr>
              <w:t xml:space="preserve">信息超材料新架构无线通信系统</w:t>
            </w:r>
          </w:p>
        </w:tc>
        <w:tc>
          <w:tcPr/>
          <w:p>
            <w:pPr>
              <w:pStyle w:val="Compact"/>
            </w:pPr>
            <w:r>
              <w:t xml:space="preserve">★★★★</w:t>
            </w:r>
          </w:p>
        </w:tc>
        <w:tc>
          <w:tcPr/>
          <w:p>
            <w:pPr>
              <w:pStyle w:val="Compact"/>
            </w:pPr>
            <w:r>
              <w:rPr>
                <w:rFonts w:hint="eastAsia"/>
              </w:rPr>
              <w:t xml:space="preserve">标准进程、样机验证、研发投入</w:t>
            </w:r>
          </w:p>
        </w:tc>
      </w:tr>
      <w:tr>
        <w:tc>
          <w:tcPr/>
          <w:p>
            <w:pPr>
              <w:pStyle w:val="Compact"/>
            </w:pPr>
            <w:r>
              <w:rPr>
                <w:rFonts w:hint="eastAsia"/>
              </w:rPr>
              <w:t xml:space="preserve">商业航天/卫星互联网</w:t>
            </w:r>
          </w:p>
        </w:tc>
        <w:tc>
          <w:tcPr/>
          <w:p>
            <w:pPr>
              <w:pStyle w:val="Compact"/>
            </w:pPr>
            <w:r>
              <w:rPr>
                <w:rFonts w:hint="eastAsia"/>
              </w:rPr>
              <w:t xml:space="preserve">偏利好</w:t>
            </w:r>
          </w:p>
        </w:tc>
        <w:tc>
          <w:tcPr/>
          <w:p>
            <w:pPr>
              <w:pStyle w:val="Compact"/>
            </w:pPr>
            <w:r>
              <w:rPr>
                <w:rFonts w:hint="eastAsia"/>
              </w:rPr>
              <w:t xml:space="preserve">低轨27组卫星成功发射</w:t>
            </w:r>
          </w:p>
        </w:tc>
        <w:tc>
          <w:tcPr/>
          <w:p>
            <w:pPr>
              <w:pStyle w:val="Compact"/>
            </w:pPr>
            <w:r>
              <w:t xml:space="preserve">★★★★</w:t>
            </w:r>
          </w:p>
        </w:tc>
        <w:tc>
          <w:tcPr/>
          <w:p>
            <w:pPr>
              <w:pStyle w:val="Compact"/>
            </w:pPr>
            <w:r>
              <w:rPr>
                <w:rFonts w:hint="eastAsia"/>
              </w:rPr>
              <w:t xml:space="preserve">发射节奏、合同与产能利用率</w:t>
            </w:r>
          </w:p>
        </w:tc>
      </w:tr>
      <w:tr>
        <w:tc>
          <w:tcPr/>
          <w:p>
            <w:pPr>
              <w:pStyle w:val="Compact"/>
            </w:pPr>
            <w:r>
              <w:rPr>
                <w:rFonts w:hint="eastAsia"/>
              </w:rPr>
              <w:t xml:space="preserve">特高压/电网设备</w:t>
            </w:r>
          </w:p>
        </w:tc>
        <w:tc>
          <w:tcPr/>
          <w:p>
            <w:pPr>
              <w:pStyle w:val="Compact"/>
            </w:pPr>
            <w:r>
              <w:rPr>
                <w:rFonts w:hint="eastAsia"/>
              </w:rPr>
              <w:t xml:space="preserve">偏利好</w:t>
            </w:r>
          </w:p>
        </w:tc>
        <w:tc>
          <w:tcPr/>
          <w:p>
            <w:pPr>
              <w:pStyle w:val="Compact"/>
            </w:pPr>
            <w:r>
              <w:rPr>
                <w:rFonts w:hint="eastAsia"/>
              </w:rPr>
              <w:t xml:space="preserve">烟威1000千伏工程投产</w:t>
            </w:r>
          </w:p>
        </w:tc>
        <w:tc>
          <w:tcPr/>
          <w:p>
            <w:pPr>
              <w:pStyle w:val="Compact"/>
            </w:pPr>
            <w:r>
              <w:t xml:space="preserve">★★★★</w:t>
            </w:r>
          </w:p>
        </w:tc>
        <w:tc>
          <w:tcPr/>
          <w:p>
            <w:pPr>
              <w:pStyle w:val="Compact"/>
            </w:pPr>
            <w:r>
              <w:rPr>
                <w:rFonts w:hint="eastAsia"/>
              </w:rPr>
              <w:t xml:space="preserve">后续核准与招标、收入确认</w:t>
            </w:r>
          </w:p>
        </w:tc>
      </w:tr>
      <w:tr>
        <w:tc>
          <w:tcPr/>
          <w:p>
            <w:pPr>
              <w:pStyle w:val="Compact"/>
            </w:pPr>
            <w:r>
              <w:rPr>
                <w:rFonts w:hint="eastAsia"/>
              </w:rPr>
              <w:t xml:space="preserve">服务消费/文旅</w:t>
            </w:r>
          </w:p>
        </w:tc>
        <w:tc>
          <w:tcPr/>
          <w:p>
            <w:pPr>
              <w:pStyle w:val="Compact"/>
            </w:pPr>
            <w:r>
              <w:rPr>
                <w:rFonts w:hint="eastAsia"/>
              </w:rPr>
              <w:t xml:space="preserve">短期偏利好</w:t>
            </w:r>
          </w:p>
        </w:tc>
        <w:tc>
          <w:tcPr/>
          <w:p>
            <w:pPr>
              <w:pStyle w:val="Compact"/>
            </w:pPr>
            <w:r>
              <w:rPr>
                <w:rFonts w:hint="eastAsia"/>
              </w:rPr>
              <w:t xml:space="preserve">假期服务消费增长19.5%</w:t>
            </w:r>
          </w:p>
        </w:tc>
        <w:tc>
          <w:tcPr/>
          <w:p>
            <w:pPr>
              <w:pStyle w:val="Compact"/>
            </w:pPr>
            <w:r>
              <w:t xml:space="preserve">★★★★</w:t>
            </w:r>
          </w:p>
        </w:tc>
        <w:tc>
          <w:tcPr/>
          <w:p>
            <w:pPr>
              <w:pStyle w:val="Compact"/>
            </w:pPr>
            <w:r>
              <w:rPr>
                <w:rFonts w:hint="eastAsia"/>
              </w:rPr>
              <w:t xml:space="preserve">节后客流、客单价、利润率</w:t>
            </w:r>
          </w:p>
        </w:tc>
      </w:tr>
      <w:tr>
        <w:tc>
          <w:tcPr/>
          <w:p>
            <w:pPr>
              <w:pStyle w:val="Compact"/>
            </w:pPr>
            <w:r>
              <w:rPr>
                <w:rFonts w:hint="eastAsia"/>
              </w:rPr>
              <w:t xml:space="preserve">家电/消费电子</w:t>
            </w:r>
          </w:p>
        </w:tc>
        <w:tc>
          <w:tcPr/>
          <w:p>
            <w:pPr>
              <w:pStyle w:val="Compact"/>
            </w:pPr>
            <w:r>
              <w:rPr>
                <w:rFonts w:hint="eastAsia"/>
              </w:rPr>
              <w:t xml:space="preserve">短期偏利好</w:t>
            </w:r>
          </w:p>
        </w:tc>
        <w:tc>
          <w:tcPr/>
          <w:p>
            <w:pPr>
              <w:pStyle w:val="Compact"/>
            </w:pPr>
            <w:r>
              <w:rPr>
                <w:rFonts w:hint="eastAsia"/>
              </w:rPr>
              <w:t xml:space="preserve">家电超40%、通讯器材超1倍</w:t>
            </w:r>
          </w:p>
        </w:tc>
        <w:tc>
          <w:tcPr/>
          <w:p>
            <w:pPr>
              <w:pStyle w:val="Compact"/>
            </w:pPr>
            <w:r>
              <w:t xml:space="preserve">★★★★</w:t>
            </w:r>
          </w:p>
        </w:tc>
        <w:tc>
          <w:tcPr/>
          <w:p>
            <w:pPr>
              <w:pStyle w:val="Compact"/>
            </w:pPr>
            <w:r>
              <w:rPr>
                <w:rFonts w:hint="eastAsia"/>
              </w:rPr>
              <w:t xml:space="preserve">补贴持续性、库存和渠道回款</w:t>
            </w:r>
          </w:p>
        </w:tc>
      </w:tr>
      <w:tr>
        <w:tc>
          <w:tcPr/>
          <w:p>
            <w:pPr>
              <w:pStyle w:val="Compact"/>
            </w:pPr>
            <w:r>
              <w:rPr>
                <w:rFonts w:hint="eastAsia"/>
              </w:rPr>
              <w:t xml:space="preserve">人力资源/社保数字化</w:t>
            </w:r>
          </w:p>
        </w:tc>
        <w:tc>
          <w:tcPr/>
          <w:p>
            <w:pPr>
              <w:pStyle w:val="Compact"/>
            </w:pPr>
            <w:r>
              <w:rPr>
                <w:rFonts w:hint="eastAsia"/>
              </w:rPr>
              <w:t xml:space="preserve">中长期偏利好</w:t>
            </w:r>
          </w:p>
        </w:tc>
        <w:tc>
          <w:tcPr/>
          <w:p>
            <w:pPr>
              <w:pStyle w:val="Compact"/>
            </w:pPr>
            <w:r>
              <w:rPr>
                <w:rFonts w:hint="eastAsia"/>
              </w:rPr>
              <w:t xml:space="preserve">就业优先、社保扩面与全国通办</w:t>
            </w:r>
          </w:p>
        </w:tc>
        <w:tc>
          <w:tcPr/>
          <w:p>
            <w:pPr>
              <w:pStyle w:val="Compact"/>
            </w:pPr>
            <w:r>
              <w:t xml:space="preserve">★★★★</w:t>
            </w:r>
          </w:p>
        </w:tc>
        <w:tc>
          <w:tcPr/>
          <w:p>
            <w:pPr>
              <w:pStyle w:val="Compact"/>
            </w:pPr>
            <w:r>
              <w:rPr>
                <w:rFonts w:hint="eastAsia"/>
              </w:rPr>
              <w:t xml:space="preserve">政策试点、系统订单、合规成本</w:t>
            </w:r>
          </w:p>
        </w:tc>
      </w:tr>
      <w:tr>
        <w:tc>
          <w:tcPr/>
          <w:p>
            <w:pPr>
              <w:pStyle w:val="Compact"/>
            </w:pPr>
            <w:r>
              <w:rPr>
                <w:rFonts w:hint="eastAsia"/>
              </w:rPr>
              <w:t xml:space="preserve">农机/智慧农业</w:t>
            </w:r>
          </w:p>
        </w:tc>
        <w:tc>
          <w:tcPr/>
          <w:p>
            <w:pPr>
              <w:pStyle w:val="Compact"/>
            </w:pPr>
            <w:r>
              <w:rPr>
                <w:rFonts w:hint="eastAsia"/>
              </w:rPr>
              <w:t xml:space="preserve">温和利好</w:t>
            </w:r>
          </w:p>
        </w:tc>
        <w:tc>
          <w:tcPr/>
          <w:p>
            <w:pPr>
              <w:pStyle w:val="Compact"/>
            </w:pPr>
            <w:r>
              <w:rPr>
                <w:rFonts w:hint="eastAsia"/>
              </w:rPr>
              <w:t xml:space="preserve">秋收秋种与智慧农事平台</w:t>
            </w:r>
          </w:p>
        </w:tc>
        <w:tc>
          <w:tcPr/>
          <w:p>
            <w:pPr>
              <w:pStyle w:val="Compact"/>
            </w:pPr>
            <w:r>
              <w:t xml:space="preserve">★★★</w:t>
            </w:r>
          </w:p>
        </w:tc>
        <w:tc>
          <w:tcPr/>
          <w:p>
            <w:pPr>
              <w:pStyle w:val="Compact"/>
            </w:pPr>
            <w:r>
              <w:rPr>
                <w:rFonts w:hint="eastAsia"/>
              </w:rPr>
              <w:t xml:space="preserve">销量、补贴、农产品价格</w:t>
            </w:r>
          </w:p>
        </w:tc>
      </w:tr>
      <w:tr>
        <w:tc>
          <w:tcPr/>
          <w:p>
            <w:pPr>
              <w:pStyle w:val="Compact"/>
            </w:pPr>
            <w:r>
              <w:rPr>
                <w:rFonts w:hint="eastAsia"/>
              </w:rPr>
              <w:t xml:space="preserve">生态修复/智能监测</w:t>
            </w:r>
          </w:p>
        </w:tc>
        <w:tc>
          <w:tcPr/>
          <w:p>
            <w:pPr>
              <w:pStyle w:val="Compact"/>
            </w:pPr>
            <w:r>
              <w:rPr>
                <w:rFonts w:hint="eastAsia"/>
              </w:rPr>
              <w:t xml:space="preserve">轻度利好</w:t>
            </w:r>
          </w:p>
        </w:tc>
        <w:tc>
          <w:tcPr/>
          <w:p>
            <w:pPr>
              <w:pStyle w:val="Compact"/>
            </w:pPr>
            <w:r>
              <w:rPr>
                <w:rFonts w:hint="eastAsia"/>
              </w:rPr>
              <w:t xml:space="preserve">候鸟栖息地保护与监测网络</w:t>
            </w:r>
          </w:p>
        </w:tc>
        <w:tc>
          <w:tcPr/>
          <w:p>
            <w:pPr>
              <w:pStyle w:val="Compact"/>
            </w:pPr>
            <w:r>
              <w:t xml:space="preserve">★★☆</w:t>
            </w:r>
          </w:p>
        </w:tc>
        <w:tc>
          <w:tcPr/>
          <w:p>
            <w:pPr>
              <w:pStyle w:val="Compact"/>
            </w:pPr>
            <w:r>
              <w:rPr>
                <w:rFonts w:hint="eastAsia"/>
              </w:rPr>
              <w:t xml:space="preserve">财政项目与采购规模</w:t>
            </w:r>
          </w:p>
        </w:tc>
      </w:tr>
      <w:tr>
        <w:tc>
          <w:tcPr/>
          <w:p>
            <w:pPr>
              <w:pStyle w:val="Compact"/>
            </w:pPr>
            <w:r>
              <w:rPr>
                <w:rFonts w:hint="eastAsia"/>
              </w:rPr>
              <w:t xml:space="preserve">油气开采</w:t>
            </w:r>
          </w:p>
        </w:tc>
        <w:tc>
          <w:tcPr/>
          <w:p>
            <w:pPr>
              <w:pStyle w:val="Compact"/>
            </w:pPr>
            <w:r>
              <w:rPr>
                <w:rFonts w:hint="eastAsia"/>
              </w:rPr>
              <w:t xml:space="preserve">价格弹性或受压</w:t>
            </w:r>
          </w:p>
        </w:tc>
        <w:tc>
          <w:tcPr/>
          <w:p>
            <w:pPr>
              <w:pStyle w:val="Compact"/>
            </w:pPr>
            <w:r>
              <w:rPr>
                <w:rFonts w:hint="eastAsia"/>
              </w:rPr>
              <w:t xml:space="preserve">俄增加柴油供应、美放松制裁</w:t>
            </w:r>
          </w:p>
        </w:tc>
        <w:tc>
          <w:tcPr/>
          <w:p>
            <w:pPr>
              <w:pStyle w:val="Compact"/>
            </w:pPr>
            <w:r>
              <w:t xml:space="preserve">★★★☆</w:t>
            </w:r>
          </w:p>
        </w:tc>
        <w:tc>
          <w:tcPr/>
          <w:p>
            <w:pPr>
              <w:pStyle w:val="Compact"/>
            </w:pPr>
            <w:r>
              <w:rPr>
                <w:rFonts w:hint="eastAsia"/>
              </w:rPr>
              <w:t xml:space="preserve">实际出口量、制裁执行、油价</w:t>
            </w:r>
          </w:p>
        </w:tc>
      </w:tr>
      <w:tr>
        <w:tc>
          <w:tcPr/>
          <w:p>
            <w:pPr>
              <w:pStyle w:val="Compact"/>
            </w:pPr>
            <w:r>
              <w:rPr>
                <w:rFonts w:hint="eastAsia"/>
              </w:rPr>
              <w:t xml:space="preserve">航运/航空</w:t>
            </w:r>
          </w:p>
        </w:tc>
        <w:tc>
          <w:tcPr/>
          <w:p>
            <w:pPr>
              <w:pStyle w:val="Compact"/>
            </w:pPr>
            <w:r>
              <w:rPr>
                <w:rFonts w:hint="eastAsia"/>
              </w:rPr>
              <w:t xml:space="preserve">双向波动</w:t>
            </w:r>
          </w:p>
        </w:tc>
        <w:tc>
          <w:tcPr/>
          <w:p>
            <w:pPr>
              <w:pStyle w:val="Compact"/>
            </w:pPr>
            <w:r>
              <w:rPr>
                <w:rFonts w:hint="eastAsia"/>
              </w:rPr>
              <w:t xml:space="preserve">海峡安全风险、航空安全事件、灾害</w:t>
            </w:r>
          </w:p>
        </w:tc>
        <w:tc>
          <w:tcPr/>
          <w:p>
            <w:pPr>
              <w:pStyle w:val="Compact"/>
            </w:pPr>
            <w:r>
              <w:t xml:space="preserve">★★★</w:t>
            </w:r>
          </w:p>
        </w:tc>
        <w:tc>
          <w:tcPr/>
          <w:p>
            <w:pPr>
              <w:pStyle w:val="Compact"/>
            </w:pPr>
            <w:r>
              <w:rPr>
                <w:rFonts w:hint="eastAsia"/>
              </w:rPr>
              <w:t xml:space="preserve">航线通行、运价、保险费和客流</w:t>
            </w:r>
          </w:p>
        </w:tc>
      </w:tr>
    </w:tbl>
    <w:bookmarkEnd w:id="45"/>
    <w:bookmarkStart w:id="49" w:name="五交易视角与操作建议"/>
    <w:p>
      <w:pPr>
        <w:pStyle w:val="Heading2"/>
      </w:pPr>
      <w:r>
        <w:rPr>
          <w:rFonts w:hint="eastAsia"/>
        </w:rPr>
        <w:t xml:space="preserve">五、交易视角与操作建议</w:t>
      </w:r>
    </w:p>
    <w:bookmarkStart w:id="46" w:name="短线方向"/>
    <w:p>
      <w:pPr>
        <w:pStyle w:val="Heading3"/>
      </w:pPr>
      <w:r>
        <w:rPr>
          <w:rFonts w:hint="eastAsia"/>
        </w:rPr>
        <w:t xml:space="preserve">短线方向</w:t>
      </w:r>
    </w:p>
    <w:p>
      <w:pPr>
        <w:pStyle w:val="Compact"/>
        <w:numPr>
          <w:ilvl w:val="0"/>
          <w:numId w:val="1028"/>
        </w:numPr>
      </w:pPr>
      <w:r>
        <w:rPr>
          <w:rFonts w:hint="eastAsia"/>
          <w:b/>
          <w:bCs/>
        </w:rPr>
        <w:t xml:space="preserve">优先观察有硬数据支持的科技分支。</w:t>
      </w:r>
      <w:r>
        <w:t xml:space="preserve"> </w:t>
      </w:r>
      <w:r>
        <w:rPr>
          <w:rFonts w:hint="eastAsia"/>
        </w:rPr>
        <w:t xml:space="preserve">算力、数据、人工智能和人形机器人的投入数据最直接，但若开盘大幅高开，应避免把中长期产业趋势当作无条件追涨理由。</w:t>
      </w:r>
    </w:p>
    <w:p>
      <w:pPr>
        <w:pStyle w:val="Compact"/>
        <w:numPr>
          <w:ilvl w:val="0"/>
          <w:numId w:val="1028"/>
        </w:numPr>
      </w:pPr>
      <w:r>
        <w:rPr>
          <w:rFonts w:hint="eastAsia"/>
          <w:b/>
          <w:bCs/>
        </w:rPr>
        <w:t xml:space="preserve">关注商业航天与特高压的事件催化。</w:t>
      </w:r>
      <w:r>
        <w:t xml:space="preserve"> </w:t>
      </w:r>
      <w:r>
        <w:rPr>
          <w:rFonts w:hint="eastAsia"/>
        </w:rPr>
        <w:t xml:space="preserve">两者都有明确项目进展，优先选择订单与业绩可验证的产业链环节，而不是仅靠概念映射。</w:t>
      </w:r>
    </w:p>
    <w:p>
      <w:pPr>
        <w:pStyle w:val="Compact"/>
        <w:numPr>
          <w:ilvl w:val="0"/>
          <w:numId w:val="1028"/>
        </w:numPr>
      </w:pPr>
      <w:r>
        <w:rPr>
          <w:rFonts w:hint="eastAsia"/>
          <w:b/>
          <w:bCs/>
        </w:rPr>
        <w:t xml:space="preserve">消费方向看持续性，不只看假期同比。</w:t>
      </w:r>
      <w:r>
        <w:t xml:space="preserve"> </w:t>
      </w:r>
      <w:r>
        <w:rPr>
          <w:rFonts w:hint="eastAsia"/>
        </w:rPr>
        <w:t xml:space="preserve">家电、消费电子、文旅和体育服务需要用节后销售、库存与利润率确认。</w:t>
      </w:r>
    </w:p>
    <w:bookmarkEnd w:id="46"/>
    <w:bookmarkStart w:id="47" w:name="中线布局"/>
    <w:p>
      <w:pPr>
        <w:pStyle w:val="Heading3"/>
      </w:pPr>
      <w:r>
        <w:rPr>
          <w:rFonts w:hint="eastAsia"/>
        </w:rPr>
        <w:t xml:space="preserve">中线布局</w:t>
      </w:r>
    </w:p>
    <w:p>
      <w:pPr>
        <w:pStyle w:val="Compact"/>
        <w:numPr>
          <w:ilvl w:val="0"/>
          <w:numId w:val="1029"/>
        </w:numPr>
      </w:pPr>
      <w:r>
        <w:rPr>
          <w:rFonts w:hint="eastAsia"/>
          <w:b/>
          <w:bCs/>
        </w:rPr>
        <w:t xml:space="preserve">基础研究产业化链条：</w:t>
      </w:r>
      <w:r>
        <w:t xml:space="preserve"> </w:t>
      </w:r>
      <w:r>
        <w:rPr>
          <w:rFonts w:hint="eastAsia"/>
        </w:rPr>
        <w:t xml:space="preserve">科研仪器、测试测量、高端磁体、生物制造、6G和储能技术是政策长期支持方向，适合等待估值与基本面匹配后的右侧确认。</w:t>
      </w:r>
    </w:p>
    <w:p>
      <w:pPr>
        <w:pStyle w:val="Compact"/>
        <w:numPr>
          <w:ilvl w:val="0"/>
          <w:numId w:val="1029"/>
        </w:numPr>
      </w:pPr>
      <w:r>
        <w:rPr>
          <w:rFonts w:hint="eastAsia"/>
          <w:b/>
          <w:bCs/>
        </w:rPr>
        <w:t xml:space="preserve">数字基础设施：</w:t>
      </w:r>
      <w:r>
        <w:t xml:space="preserve"> </w:t>
      </w:r>
      <w:r>
        <w:rPr>
          <w:rFonts w:hint="eastAsia"/>
        </w:rPr>
        <w:t xml:space="preserve">关注算力建设从资本开支向收入、利润和现金流传导的质量，警惕高应收和低利用率。</w:t>
      </w:r>
    </w:p>
    <w:p>
      <w:pPr>
        <w:pStyle w:val="Compact"/>
        <w:numPr>
          <w:ilvl w:val="0"/>
          <w:numId w:val="1029"/>
        </w:numPr>
      </w:pPr>
      <w:r>
        <w:rPr>
          <w:rFonts w:hint="eastAsia"/>
          <w:b/>
          <w:bCs/>
        </w:rPr>
        <w:t xml:space="preserve">电网与能源安全：</w:t>
      </w:r>
      <w:r>
        <w:t xml:space="preserve"> </w:t>
      </w:r>
      <w:r>
        <w:rPr>
          <w:rFonts w:hint="eastAsia"/>
        </w:rPr>
        <w:t xml:space="preserve">特高压、核电送出和先进储能具备实物工作量逻辑，后续以核准、招标和交付为主要验证。</w:t>
      </w:r>
    </w:p>
    <w:bookmarkEnd w:id="47"/>
    <w:bookmarkStart w:id="48" w:name="风险提示"/>
    <w:p>
      <w:pPr>
        <w:pStyle w:val="Heading3"/>
      </w:pPr>
      <w:r>
        <w:rPr>
          <w:rFonts w:hint="eastAsia"/>
        </w:rPr>
        <w:t xml:space="preserve">风险提示</w:t>
      </w:r>
    </w:p>
    <w:p>
      <w:pPr>
        <w:pStyle w:val="Compact"/>
        <w:numPr>
          <w:ilvl w:val="0"/>
          <w:numId w:val="1030"/>
        </w:numPr>
      </w:pPr>
      <w:r>
        <w:rPr>
          <w:rFonts w:hint="eastAsia"/>
          <w:b/>
          <w:bCs/>
        </w:rPr>
        <w:t xml:space="preserve">题材拥挤风险：</w:t>
      </w:r>
      <w:r>
        <w:t xml:space="preserve"> </w:t>
      </w:r>
      <w:r>
        <w:rPr>
          <w:rFonts w:hint="eastAsia"/>
        </w:rPr>
        <w:t xml:space="preserve">政策报道和资本投入数据可能迅速抬升热门科技板块估值，但研发到商业化存在时间差。</w:t>
      </w:r>
    </w:p>
    <w:p>
      <w:pPr>
        <w:pStyle w:val="Compact"/>
        <w:numPr>
          <w:ilvl w:val="0"/>
          <w:numId w:val="1030"/>
        </w:numPr>
      </w:pPr>
      <w:r>
        <w:rPr>
          <w:rFonts w:hint="eastAsia"/>
          <w:b/>
          <w:bCs/>
        </w:rPr>
        <w:t xml:space="preserve">消费数据外推风险：</w:t>
      </w:r>
      <w:r>
        <w:t xml:space="preserve"> </w:t>
      </w:r>
      <w:r>
        <w:rPr>
          <w:rFonts w:hint="eastAsia"/>
        </w:rPr>
        <w:t xml:space="preserve">假期、补贴和新品集中上市带来的高增长不宜机械年化。</w:t>
      </w:r>
    </w:p>
    <w:p>
      <w:pPr>
        <w:pStyle w:val="Compact"/>
        <w:numPr>
          <w:ilvl w:val="0"/>
          <w:numId w:val="1030"/>
        </w:numPr>
      </w:pPr>
      <w:r>
        <w:rPr>
          <w:rFonts w:hint="eastAsia"/>
          <w:b/>
          <w:bCs/>
        </w:rPr>
        <w:t xml:space="preserve">国际能源逻辑反复：</w:t>
      </w:r>
      <w:r>
        <w:t xml:space="preserve"> </w:t>
      </w:r>
      <w:r>
        <w:rPr>
          <w:rFonts w:hint="eastAsia"/>
        </w:rPr>
        <w:t xml:space="preserve">俄油品供应、制裁放松和地区冲突可能同时影响价格，方向并非单边。</w:t>
      </w:r>
    </w:p>
    <w:p>
      <w:pPr>
        <w:pStyle w:val="Compact"/>
        <w:numPr>
          <w:ilvl w:val="0"/>
          <w:numId w:val="1030"/>
        </w:numPr>
      </w:pPr>
      <w:r>
        <w:rPr>
          <w:rFonts w:hint="eastAsia"/>
          <w:b/>
          <w:bCs/>
        </w:rPr>
        <w:t xml:space="preserve">地缘与灾害风险：</w:t>
      </w:r>
      <w:r>
        <w:t xml:space="preserve"> </w:t>
      </w:r>
      <w:r>
        <w:rPr>
          <w:rFonts w:hint="eastAsia"/>
        </w:rPr>
        <w:t xml:space="preserve">红海、霍尔木兹海峡、航空安全及海外灾害可能影响风险偏好，但需以真实航线、供应和物流数据确认。</w:t>
      </w:r>
    </w:p>
    <w:p>
      <w:pPr>
        <w:pStyle w:val="Compact"/>
        <w:numPr>
          <w:ilvl w:val="0"/>
          <w:numId w:val="1030"/>
        </w:numPr>
      </w:pPr>
      <w:r>
        <w:rPr>
          <w:rFonts w:hint="eastAsia"/>
          <w:b/>
          <w:bCs/>
        </w:rPr>
        <w:t xml:space="preserve">映射偏差：</w:t>
      </w:r>
      <w:r>
        <w:t xml:space="preserve"> </w:t>
      </w:r>
      <w:r>
        <w:rPr>
          <w:rFonts w:hint="eastAsia"/>
        </w:rPr>
        <w:t xml:space="preserve">新闻中的行业方向不代表任一上市公司获得订单或利润，必须核查公告、合同、财务和现金流。</w:t>
      </w:r>
    </w:p>
    <w:bookmarkEnd w:id="48"/>
    <w:bookmarkEnd w:id="49"/>
    <w:bookmarkStart w:id="50" w:name="六结论"/>
    <w:p>
      <w:pPr>
        <w:pStyle w:val="Heading2"/>
      </w:pPr>
      <w:r>
        <w:rPr>
          <w:rFonts w:hint="eastAsia"/>
        </w:rPr>
        <w:t xml:space="preserve">六、结论</w:t>
      </w:r>
    </w:p>
    <w:p>
      <w:pPr>
        <w:pStyle w:val="FirstParagraph"/>
      </w:pPr>
      <w:r>
        <w:rPr>
          <w:rFonts w:hint="eastAsia"/>
        </w:rPr>
        <w:t xml:space="preserve">今日联播的主轴是“以基础研究夯实科技强国底座，以新基建和前沿产业投资形成增长动能，以就业社保和消费修复稳定内需”。对A股而言，最值得跟踪的是科研基础设施、算力数据、人工智能、人形机器人、卫星互联网和特高压，但交易上应坚持产业趋势与财务验证并重。国际部分同时给出油品供应可能增加与海峡安全风险上升两组相反变量，能源、航运和航空方向更适合事件跟踪而非单边下注。</w:t>
      </w:r>
    </w:p>
    <w:p>
      <w:r>
        <w:pict>
          <v:rect style="width:0;height:1.5pt" o:hralign="center" o:hrstd="t" o:hr="t"/>
        </w:pict>
      </w:r>
    </w:p>
    <w:p>
      <w:pPr>
        <w:pStyle w:val="FirstParagraph"/>
      </w:pPr>
      <w:r>
        <w:rPr>
          <w:rFonts w:hint="eastAsia"/>
          <w:i/>
          <w:iCs/>
        </w:rPr>
        <w:t xml:space="preserve">资料来源：2026年10月10日央视《新闻联播》存档原文。分析和写稿模型：GPT-5.6</w:t>
      </w:r>
      <w:r>
        <w:rPr>
          <w:i/>
          <w:iCs/>
        </w:rPr>
        <w:t xml:space="preserve"> Sol </w:t>
      </w:r>
      <w:r>
        <w:rPr>
          <w:rFonts w:hint="eastAsia"/>
          <w:i/>
          <w:iCs/>
        </w:rPr>
        <w:t xml:space="preserve">(openai-codex)。本文仅作政策与产业研究，不构成投资建议。</w:t>
      </w:r>
    </w:p>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2026年10月10日《新闻联播》A股影响深度解读</dc:title>
  <dc:creator/>
  <cp:keywords/>
  <dcterms:created xsi:type="dcterms:W3CDTF">2026-10-10T13:13:02Z</dcterms:created>
  <dcterms:modified xsi:type="dcterms:W3CDTF">2026-10-10T13:13:02Z</dcterms:modified>
</cp:coreProperties>
</file>

<file path=docProps/custom.xml><?xml version="1.0" encoding="utf-8"?>
<Properties xmlns="http://schemas.openxmlformats.org/officeDocument/2006/custom-properties" xmlns:vt="http://schemas.openxmlformats.org/officeDocument/2006/docPropsVTypes"/>
</file>