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4" w:name="年10月7日新闻联播a股影响深度解读"/>
    <w:p>
      <w:pPr>
        <w:pStyle w:val="Heading1"/>
      </w:pPr>
      <w:r>
        <w:rPr>
          <w:rFonts w:hint="eastAsia"/>
        </w:rPr>
        <w:t xml:space="preserve">2026年10月7日《新闻联播》A股影响深度解读</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整体基调：积极，文化强国、假日消费和现代物流是国内主线。</w:t>
      </w:r>
      <w:r>
        <w:t xml:space="preserve"> </w:t>
      </w:r>
      <w:r>
        <w:rPr>
          <w:rFonts w:hint="eastAsia"/>
        </w:rPr>
        <w:t xml:space="preserve">头条系统呈现文化建设、文化遗产保护、新大众文艺和文化出海；中段用客流、入境游、公园消费及物流网建设展示内需活力和流通效率。</w:t>
      </w:r>
    </w:p>
    <w:p>
      <w:pPr>
        <w:pStyle w:val="Compact"/>
        <w:numPr>
          <w:ilvl w:val="0"/>
          <w:numId w:val="1001"/>
        </w:numPr>
      </w:pPr>
      <w:r>
        <w:rPr>
          <w:rFonts w:hint="eastAsia"/>
          <w:b/>
          <w:bCs/>
        </w:rPr>
        <w:t xml:space="preserve">政策信号强度：中强。</w:t>
      </w:r>
      <w:r>
        <w:t xml:space="preserve"> </w:t>
      </w:r>
      <w:r>
        <w:rPr>
          <w:rFonts w:hint="eastAsia"/>
        </w:rPr>
        <w:t xml:space="preserve">头条具有最高编排权重，但主要是长期战略与既有成果梳理；更具产业可跟踪性的新增线索，是文化遗产保护传承“十五五”规划、互联网条件下新大众文艺、物流网“成链成网”、181个国家物流枢纽互联和约1000个主要货运节点多式联运能力提升。</w:t>
      </w:r>
    </w:p>
    <w:p>
      <w:pPr>
        <w:pStyle w:val="Compact"/>
        <w:numPr>
          <w:ilvl w:val="0"/>
          <w:numId w:val="1001"/>
        </w:numPr>
      </w:pPr>
      <w:r>
        <w:rPr>
          <w:rFonts w:hint="eastAsia"/>
          <w:b/>
          <w:bCs/>
        </w:rPr>
        <w:t xml:space="preserve">对A股总体影响：结构性利好与外部风险并存。</w:t>
      </w:r>
      <w:r>
        <w:t xml:space="preserve"> </w:t>
      </w:r>
      <w:r>
        <w:rPr>
          <w:rFonts w:hint="eastAsia"/>
        </w:rPr>
        <w:t xml:space="preserve">文化数字化与内容出海、文博文创、入境游、智慧文旅、智慧物流、多式联运、智能仓储、新能源物流装备、养老设施改造、生态治理具有中长期映射；欧洲核威慑升级、也门及曼德海峡方向冲突、黑海商船遇袭和中东战事对风险偏好、能源及航运成本构成扰动。</w:t>
      </w:r>
    </w:p>
    <w:p>
      <w:pPr>
        <w:pStyle w:val="Compact"/>
        <w:numPr>
          <w:ilvl w:val="0"/>
          <w:numId w:val="1001"/>
        </w:numPr>
      </w:pPr>
      <w:r>
        <w:rPr>
          <w:rFonts w:hint="eastAsia"/>
          <w:b/>
          <w:bCs/>
        </w:rPr>
        <w:t xml:space="preserve">编排观察：</w:t>
      </w:r>
      <w:r>
        <w:t xml:space="preserve"> </w:t>
      </w:r>
      <w:r>
        <w:rPr>
          <w:rFonts w:hint="eastAsia"/>
        </w:rPr>
        <w:t xml:space="preserve">头条把文化从公共文化服务延伸到文物保护、文艺生产、国潮消费和网络文学、网络影视剧、网络游戏出海；连续三条假日数据说明消费与出行韧性，但多为节日期间流量指标；《一线调研》中的物流网建设，是本期最明确的产业投资线索。</w:t>
      </w:r>
    </w:p>
    <w:p>
      <w:pPr>
        <w:pStyle w:val="Compact"/>
        <w:numPr>
          <w:ilvl w:val="0"/>
          <w:numId w:val="1001"/>
        </w:numPr>
      </w:pPr>
      <w:r>
        <w:rPr>
          <w:rFonts w:hint="eastAsia"/>
          <w:b/>
          <w:bCs/>
        </w:rPr>
        <w:t xml:space="preserve">一句话结论：</w:t>
      </w:r>
      <w:r>
        <w:t xml:space="preserve"> </w:t>
      </w:r>
      <w:r>
        <w:rPr>
          <w:rFonts w:hint="eastAsia"/>
        </w:rPr>
        <w:t xml:space="preserve">节后优先跟踪“物流网数字化与多式联运—文化内容和游戏出海—入境游服务升级”三条可验证主线，公园、出行和阅读数据只作需求线索，地缘题材必须等待油价、运价、通航及正式政策确认。</w:t>
      </w:r>
    </w:p>
    <w:p>
      <w:pPr>
        <w:pStyle w:val="BlockText"/>
      </w:pPr>
      <w:r>
        <w:rPr>
          <w:rFonts w:hint="eastAsia"/>
          <w:b/>
          <w:bCs/>
        </w:rPr>
        <w:t xml:space="preserve">口径说明：</w:t>
      </w:r>
      <w:r>
        <w:t xml:space="preserve"> </w:t>
      </w:r>
      <w:r>
        <w:rPr>
          <w:rFonts w:hint="eastAsia"/>
        </w:rPr>
        <w:t xml:space="preserve">本稿唯一联播事实来源为指定的2026年10月7日《新闻联播》存档。受益板块、承压方向、验证指标和操作框架均为基于原文的A股影响推演，不是联播原话，不构成个股推荐或收益承诺。</w:t>
      </w:r>
    </w:p>
    <w:bookmarkEnd w:id="9"/>
    <w:bookmarkStart w:id="15" w:name="二核心政策与市场信号"/>
    <w:p>
      <w:pPr>
        <w:pStyle w:val="Heading2"/>
      </w:pPr>
      <w:r>
        <w:rPr>
          <w:rFonts w:hint="eastAsia"/>
        </w:rPr>
        <w:t xml:space="preserve">二、核心政策与市场信号</w:t>
      </w:r>
    </w:p>
    <w:bookmarkStart w:id="10" w:name="文化强国叙事延伸至遗产保护新大众文艺与文化出海"/>
    <w:p>
      <w:pPr>
        <w:pStyle w:val="Heading3"/>
      </w:pPr>
      <w:r>
        <w:t xml:space="preserve">1. </w:t>
      </w:r>
      <w:r>
        <w:rPr>
          <w:rFonts w:hint="eastAsia"/>
        </w:rPr>
        <w:t xml:space="preserve">文化强国叙事延伸至遗产保护、新大众文艺与文化出海（★★★★★）</w:t>
      </w:r>
    </w:p>
    <w:p>
      <w:pPr>
        <w:pStyle w:val="FirstParagraph"/>
      </w:pPr>
      <w:r>
        <w:rPr>
          <w:rFonts w:hint="eastAsia"/>
        </w:rPr>
        <w:t xml:space="preserve">头条称，第四次全国文物普查进入攻坚收尾阶段，新修订的文物保护法正式施行，首个《文化遗产保护传承“十五五”规划》出台实施；“繁荣互联网条件下新大众文艺”写入“十五五”规划纲要，全国已有4万多个新型公共文化空间。网络文学、网络影视剧、网络游戏被称为文化出海“新三样”。</w:t>
      </w:r>
    </w:p>
    <w:p>
      <w:pPr>
        <w:pStyle w:val="Compact"/>
        <w:numPr>
          <w:ilvl w:val="0"/>
          <w:numId w:val="1002"/>
        </w:numPr>
      </w:pPr>
      <w:r>
        <w:rPr>
          <w:rFonts w:hint="eastAsia"/>
          <w:b/>
          <w:bCs/>
        </w:rPr>
        <w:t xml:space="preserve">A股影响：中长期结构性利好。</w:t>
      </w:r>
      <w:r>
        <w:t xml:space="preserve"> </w:t>
      </w:r>
      <w:r>
        <w:rPr>
          <w:rFonts w:hint="eastAsia"/>
        </w:rPr>
        <w:t xml:space="preserve">可跟踪数字内容、网络文学与影视、游戏出海、文博文创、文物保护与数字化、公共文化空间运营等方向。</w:t>
      </w:r>
    </w:p>
    <w:p>
      <w:pPr>
        <w:pStyle w:val="Compact"/>
        <w:numPr>
          <w:ilvl w:val="0"/>
          <w:numId w:val="1002"/>
        </w:numPr>
      </w:pPr>
      <w:r>
        <w:rPr>
          <w:rFonts w:hint="eastAsia"/>
          <w:b/>
          <w:bCs/>
        </w:rPr>
        <w:t xml:space="preserve">产业逻辑：</w:t>
      </w:r>
      <w:r>
        <w:t xml:space="preserve"> </w:t>
      </w:r>
      <w:r>
        <w:rPr>
          <w:rFonts w:hint="eastAsia"/>
        </w:rPr>
        <w:t xml:space="preserve">文化供给从公共服务、遗产保护扩展到大众创作和海外传播，政策关注点覆盖内容生产、传播渠道、文化消费和国际化。</w:t>
      </w:r>
    </w:p>
    <w:p>
      <w:pPr>
        <w:pStyle w:val="Compact"/>
        <w:numPr>
          <w:ilvl w:val="0"/>
          <w:numId w:val="1002"/>
        </w:numPr>
      </w:pPr>
      <w:r>
        <w:rPr>
          <w:rFonts w:hint="eastAsia"/>
          <w:b/>
          <w:bCs/>
        </w:rPr>
        <w:t xml:space="preserve">事实边界：</w:t>
      </w:r>
      <w:r>
        <w:t xml:space="preserve"> </w:t>
      </w:r>
      <w:r>
        <w:rPr>
          <w:rFonts w:hint="eastAsia"/>
        </w:rPr>
        <w:t xml:space="preserve">原文没有披露新增专项资金、采购规模、上市公司订单或海外收入目标，长期方向不能直接折算为短期利润。</w:t>
      </w:r>
    </w:p>
    <w:bookmarkEnd w:id="10"/>
    <w:bookmarkStart w:id="11" w:name="物流基础设施由布点畅线转向成链成网"/>
    <w:p>
      <w:pPr>
        <w:pStyle w:val="Heading3"/>
      </w:pPr>
      <w:r>
        <w:t xml:space="preserve">2. </w:t>
      </w:r>
      <w:r>
        <w:rPr>
          <w:rFonts w:hint="eastAsia"/>
        </w:rPr>
        <w:t xml:space="preserve">物流基础设施由“布点畅线”转向“成链成网”（★★★★★）</w:t>
      </w:r>
    </w:p>
    <w:p>
      <w:pPr>
        <w:pStyle w:val="FirstParagraph"/>
      </w:pPr>
      <w:r>
        <w:rPr>
          <w:rFonts w:hint="eastAsia"/>
        </w:rPr>
        <w:t xml:space="preserve">《一线调研》称，今年8月印发的《物流网建设实施方案》推动物流基础设施从“布点畅线”转向“成链成网”；“十五五”时期，181个国家物流枢纽将进一步互联成网，并支持1000个左右主要货运节点提升多式联运功能。报道还明确物流网将带动智能仓储、新能源物流装备等新需求。</w:t>
      </w:r>
    </w:p>
    <w:p>
      <w:pPr>
        <w:pStyle w:val="Compact"/>
        <w:numPr>
          <w:ilvl w:val="0"/>
          <w:numId w:val="1003"/>
        </w:numPr>
      </w:pPr>
      <w:r>
        <w:rPr>
          <w:rFonts w:hint="eastAsia"/>
          <w:b/>
          <w:bCs/>
        </w:rPr>
        <w:t xml:space="preserve">A股影响：中期至长期利好。</w:t>
      </w:r>
      <w:r>
        <w:t xml:space="preserve"> </w:t>
      </w:r>
      <w:r>
        <w:rPr>
          <w:rFonts w:hint="eastAsia"/>
        </w:rPr>
        <w:t xml:space="preserve">重点方向包括智慧物流、仓储自动化、供应链软件、冷链、多式联运、铁路公路水运航空衔接、新能源物流车与物流装备。</w:t>
      </w:r>
    </w:p>
    <w:p>
      <w:pPr>
        <w:pStyle w:val="Compact"/>
        <w:numPr>
          <w:ilvl w:val="0"/>
          <w:numId w:val="1003"/>
        </w:numPr>
      </w:pPr>
      <w:r>
        <w:rPr>
          <w:rFonts w:hint="eastAsia"/>
          <w:b/>
          <w:bCs/>
        </w:rPr>
        <w:t xml:space="preserve">产业逻辑：</w:t>
      </w:r>
      <w:r>
        <w:t xml:space="preserve"> </w:t>
      </w:r>
      <w:r>
        <w:rPr>
          <w:rFonts w:hint="eastAsia"/>
        </w:rPr>
        <w:t xml:space="preserve">政策目标由新增单点设施，转向枢纽、通道、数据和产销联动，价值增量更偏向系统整合、调度效率和存量设施改造。</w:t>
      </w:r>
    </w:p>
    <w:p>
      <w:pPr>
        <w:pStyle w:val="Compact"/>
        <w:numPr>
          <w:ilvl w:val="0"/>
          <w:numId w:val="1003"/>
        </w:numPr>
      </w:pPr>
      <w:r>
        <w:rPr>
          <w:rFonts w:hint="eastAsia"/>
          <w:b/>
          <w:bCs/>
        </w:rPr>
        <w:t xml:space="preserve">验证重点：</w:t>
      </w:r>
      <w:r>
        <w:t xml:space="preserve"> </w:t>
      </w:r>
      <w:r>
        <w:rPr>
          <w:rFonts w:hint="eastAsia"/>
        </w:rPr>
        <w:t xml:space="preserve">实施项目、招投标、节点改造进度、设备订单、系统使用率、单位物流成本和运营现金流。</w:t>
      </w:r>
    </w:p>
    <w:bookmarkEnd w:id="11"/>
    <w:bookmarkStart w:id="12" w:name="假日出行和公园消费验证内需活力但要区分流量与利润"/>
    <w:p>
      <w:pPr>
        <w:pStyle w:val="Heading3"/>
      </w:pPr>
      <w:r>
        <w:t xml:space="preserve">3. </w:t>
      </w:r>
      <w:r>
        <w:rPr>
          <w:rFonts w:hint="eastAsia"/>
        </w:rPr>
        <w:t xml:space="preserve">假日出行和公园消费验证内需活力，但要区分流量与利润（★★★★）</w:t>
      </w:r>
    </w:p>
    <w:p>
      <w:pPr>
        <w:pStyle w:val="FirstParagraph"/>
      </w:pPr>
      <w:r>
        <w:rPr>
          <w:rFonts w:hint="eastAsia"/>
        </w:rPr>
        <w:t xml:space="preserve">国庆七天假期全社会跨区域人员流动量预计21.44亿人次，同比增长0.7%；城市公园接待游客超过2.1亿人次并带动消费超过52亿元。铁路、公路、民航、汽车租赁、夜游和公园轻消费均呈现活跃场景。</w:t>
      </w:r>
    </w:p>
    <w:p>
      <w:pPr>
        <w:pStyle w:val="Compact"/>
        <w:numPr>
          <w:ilvl w:val="0"/>
          <w:numId w:val="1004"/>
        </w:numPr>
      </w:pPr>
      <w:r>
        <w:rPr>
          <w:rFonts w:hint="eastAsia"/>
          <w:b/>
          <w:bCs/>
        </w:rPr>
        <w:t xml:space="preserve">A股影响：短期偏利好。</w:t>
      </w:r>
      <w:r>
        <w:t xml:space="preserve"> </w:t>
      </w:r>
      <w:r>
        <w:rPr>
          <w:rFonts w:hint="eastAsia"/>
        </w:rPr>
        <w:t xml:space="preserve">相关方向包括交通运营、汽车租赁、景区与公园运营、夜游内容、酒店餐饮和本地生活服务。</w:t>
      </w:r>
    </w:p>
    <w:p>
      <w:pPr>
        <w:pStyle w:val="Compact"/>
        <w:numPr>
          <w:ilvl w:val="0"/>
          <w:numId w:val="1004"/>
        </w:numPr>
      </w:pPr>
      <w:r>
        <w:rPr>
          <w:rFonts w:hint="eastAsia"/>
          <w:b/>
          <w:bCs/>
        </w:rPr>
        <w:t xml:space="preserve">事实边界：</w:t>
      </w:r>
      <w:r>
        <w:t xml:space="preserve"> </w:t>
      </w:r>
      <w:r>
        <w:rPr>
          <w:rFonts w:hint="eastAsia"/>
        </w:rPr>
        <w:t xml:space="preserve">客流、人次和消费总额不等于所有相关上市公司收入或利润同步增长，节后仍需核验客单价、价格、成本和经营现金流。</w:t>
      </w:r>
    </w:p>
    <w:bookmarkEnd w:id="12"/>
    <w:bookmarkStart w:id="13" w:name="入境游从客流增长转向服务数字化与停留时长提升"/>
    <w:p>
      <w:pPr>
        <w:pStyle w:val="Heading3"/>
      </w:pPr>
      <w:r>
        <w:t xml:space="preserve">4. </w:t>
      </w:r>
      <w:r>
        <w:rPr>
          <w:rFonts w:hint="eastAsia"/>
        </w:rPr>
        <w:t xml:space="preserve">入境游从客流增长转向服务数字化与停留时长提升（★★★★）</w:t>
      </w:r>
    </w:p>
    <w:p>
      <w:pPr>
        <w:pStyle w:val="FirstParagraph"/>
      </w:pPr>
      <w:r>
        <w:rPr>
          <w:rFonts w:hint="eastAsia"/>
        </w:rPr>
        <w:t xml:space="preserve">报道显示，国庆假期入境游预订量继续增长，客源地向欧洲、大洋洲拓展；前8个月全国口岸查验出入境外国人6128.7万人次，同比增长19.5%；2026年以来入境游客境内平均停留5.1天，同比提升11%。上海和浙江分别推出服务中心和智慧服务平台，涵盖行程规划、订票、跨境支付与离境退税。</w:t>
      </w:r>
    </w:p>
    <w:p>
      <w:pPr>
        <w:pStyle w:val="Compact"/>
        <w:numPr>
          <w:ilvl w:val="0"/>
          <w:numId w:val="1005"/>
        </w:numPr>
      </w:pPr>
      <w:r>
        <w:rPr>
          <w:rFonts w:hint="eastAsia"/>
          <w:b/>
          <w:bCs/>
        </w:rPr>
        <w:t xml:space="preserve">A股影响：短期与中期偏利好。</w:t>
      </w:r>
      <w:r>
        <w:t xml:space="preserve"> </w:t>
      </w:r>
      <w:r>
        <w:rPr>
          <w:rFonts w:hint="eastAsia"/>
        </w:rPr>
        <w:t xml:space="preserve">可跟踪入境游运营、酒店、景区、免税零售、跨境支付、智慧旅游、航空与区域交通。</w:t>
      </w:r>
    </w:p>
    <w:p>
      <w:pPr>
        <w:pStyle w:val="Compact"/>
        <w:numPr>
          <w:ilvl w:val="0"/>
          <w:numId w:val="1005"/>
        </w:numPr>
      </w:pPr>
      <w:r>
        <w:rPr>
          <w:rFonts w:hint="eastAsia"/>
          <w:b/>
          <w:bCs/>
        </w:rPr>
        <w:t xml:space="preserve">验证重点：</w:t>
      </w:r>
      <w:r>
        <w:t xml:space="preserve"> </w:t>
      </w:r>
      <w:r>
        <w:rPr>
          <w:rFonts w:hint="eastAsia"/>
        </w:rPr>
        <w:t xml:space="preserve">入境客流、停留时长、客单价、支付和退税便利度、国际航线运力以及企业实际收入。</w:t>
      </w:r>
    </w:p>
    <w:bookmarkEnd w:id="13"/>
    <w:bookmarkStart w:id="14" w:name="国际安全事件密集航运与能源风险溢价上升风险信号"/>
    <w:p>
      <w:pPr>
        <w:pStyle w:val="Heading3"/>
      </w:pPr>
      <w:r>
        <w:t xml:space="preserve">5. </w:t>
      </w:r>
      <w:r>
        <w:rPr>
          <w:rFonts w:hint="eastAsia"/>
        </w:rPr>
        <w:t xml:space="preserve">国际安全事件密集，航运与能源风险溢价上升（★★★★，风险信号）</w:t>
      </w:r>
    </w:p>
    <w:p>
      <w:pPr>
        <w:pStyle w:val="FirstParagraph"/>
      </w:pPr>
      <w:r>
        <w:rPr>
          <w:rFonts w:hint="eastAsia"/>
        </w:rPr>
        <w:t xml:space="preserve">节目涉及立陶宛拟解禁部署核武器、法国试射M51.3潜射洲际导弹、瑞典拟向波兰部署“爱国者”系统，也门与沙特方向冲突、曼德海峡方向战事、黑海商船遇袭、加沙冲突及美军在对伊朗战事中的军机损失。</w:t>
      </w:r>
    </w:p>
    <w:p>
      <w:pPr>
        <w:pStyle w:val="Compact"/>
        <w:numPr>
          <w:ilvl w:val="0"/>
          <w:numId w:val="1006"/>
        </w:numPr>
      </w:pPr>
      <w:r>
        <w:rPr>
          <w:rFonts w:hint="eastAsia"/>
          <w:b/>
          <w:bCs/>
        </w:rPr>
        <w:t xml:space="preserve">A股影响：风险偏好承压，方向分化。</w:t>
      </w:r>
      <w:r>
        <w:t xml:space="preserve"> </w:t>
      </w:r>
      <w:r>
        <w:rPr>
          <w:rFonts w:hint="eastAsia"/>
        </w:rPr>
        <w:t xml:space="preserve">若航道、机场或能源设施安全恶化，油气、油运、黄金和安全防务可能获得事件溢价；航空、外贸运输链及部分能源成本敏感行业可能承压。</w:t>
      </w:r>
    </w:p>
    <w:p>
      <w:pPr>
        <w:pStyle w:val="Compact"/>
        <w:numPr>
          <w:ilvl w:val="0"/>
          <w:numId w:val="1006"/>
        </w:numPr>
      </w:pPr>
      <w:r>
        <w:rPr>
          <w:rFonts w:hint="eastAsia"/>
          <w:b/>
          <w:bCs/>
        </w:rPr>
        <w:t xml:space="preserve">事实边界：</w:t>
      </w:r>
      <w:r>
        <w:t xml:space="preserve"> </w:t>
      </w:r>
      <w:r>
        <w:rPr>
          <w:rFonts w:hint="eastAsia"/>
        </w:rPr>
        <w:t xml:space="preserve">多项消息来自冲突相关方表述；黑海袭击来源尚未确认。原文没有确认主要航道关闭、能源供应中断或运价持续上涨，不应把战报直接当成业绩证据。</w:t>
      </w:r>
    </w:p>
    <w:bookmarkEnd w:id="14"/>
    <w:bookmarkEnd w:id="15"/>
    <w:bookmarkStart w:id="34" w:name="三分条a股影响分析"/>
    <w:p>
      <w:pPr>
        <w:pStyle w:val="Heading2"/>
      </w:pPr>
      <w:r>
        <w:rPr>
          <w:rFonts w:hint="eastAsia"/>
        </w:rPr>
        <w:t xml:space="preserve">三、分条A股影响分析</w:t>
      </w:r>
    </w:p>
    <w:bookmarkStart w:id="16" w:name="新思想引领新征程以习近平文化思想为指引-铸就中华文化新辉煌"/>
    <w:p>
      <w:pPr>
        <w:pStyle w:val="Heading3"/>
      </w:pPr>
      <w:r>
        <w:t xml:space="preserve">1. </w:t>
      </w:r>
      <w:r>
        <w:rPr>
          <w:rFonts w:hint="eastAsia"/>
        </w:rPr>
        <w:t xml:space="preserve">【新思想引领新征程】以习近平文化思想为指引</w:t>
      </w:r>
      <w:r>
        <w:t xml:space="preserve"> </w:t>
      </w:r>
      <w:r>
        <w:rPr>
          <w:rFonts w:hint="eastAsia"/>
        </w:rPr>
        <w:t xml:space="preserve">铸就中华文化新辉煌</w:t>
      </w:r>
    </w:p>
    <w:p>
      <w:pPr>
        <w:pStyle w:val="Compact"/>
        <w:numPr>
          <w:ilvl w:val="0"/>
          <w:numId w:val="1007"/>
        </w:numPr>
      </w:pPr>
      <w:r>
        <w:rPr>
          <w:rFonts w:hint="eastAsia"/>
          <w:b/>
          <w:bCs/>
        </w:rPr>
        <w:t xml:space="preserve">信号强度：★★★★★</w:t>
      </w:r>
      <w:r>
        <w:rPr>
          <w:rFonts w:hint="eastAsia"/>
        </w:rPr>
        <w:t xml:space="preserve">（头条位置、最高层长期战略与“十五五”文化安排叠加）</w:t>
      </w:r>
    </w:p>
    <w:p>
      <w:pPr>
        <w:pStyle w:val="Compact"/>
        <w:numPr>
          <w:ilvl w:val="0"/>
          <w:numId w:val="1007"/>
        </w:numPr>
      </w:pPr>
      <w:r>
        <w:rPr>
          <w:rFonts w:hint="eastAsia"/>
          <w:b/>
          <w:bCs/>
        </w:rPr>
        <w:t xml:space="preserve">A股影响：中长期结构性利好。</w:t>
      </w:r>
    </w:p>
    <w:p>
      <w:pPr>
        <w:pStyle w:val="Compact"/>
        <w:numPr>
          <w:ilvl w:val="0"/>
          <w:numId w:val="1007"/>
        </w:numPr>
      </w:pPr>
      <w:r>
        <w:rPr>
          <w:rFonts w:hint="eastAsia"/>
          <w:b/>
          <w:bCs/>
        </w:rPr>
        <w:t xml:space="preserve">受益板块：</w:t>
      </w:r>
      <w:r>
        <w:t xml:space="preserve"> </w:t>
      </w:r>
      <w:r>
        <w:rPr>
          <w:rFonts w:hint="eastAsia"/>
        </w:rPr>
        <w:t xml:space="preserve">数字内容、网络文学、网络影视剧、网络游戏出海、文博文创、文物保护与数字化、公共文化服务、国潮消费。</w:t>
      </w:r>
    </w:p>
    <w:p>
      <w:pPr>
        <w:pStyle w:val="Compact"/>
        <w:numPr>
          <w:ilvl w:val="0"/>
          <w:numId w:val="1007"/>
        </w:numPr>
      </w:pPr>
      <w:r>
        <w:rPr>
          <w:rFonts w:hint="eastAsia"/>
          <w:b/>
          <w:bCs/>
        </w:rPr>
        <w:t xml:space="preserve">原文事实：</w:t>
      </w:r>
      <w:r>
        <w:t xml:space="preserve"> </w:t>
      </w:r>
      <w:r>
        <w:rPr>
          <w:rFonts w:hint="eastAsia"/>
        </w:rPr>
        <w:t xml:space="preserve">第四次全国文物普查进入攻坚收尾，新修订文物保护法正式施行，首个《文化遗产保护传承“十五五”规划》出台实施；我国世界遗产总数61项，列入联合国教科文组织非遗名录名册项目45个；“繁荣互联网条件下新大众文艺”写入“十五五”规划纲要，全国有4万多个新型公共文化空间；网络文学、网络影视剧、网络游戏被称为文化出海“新三样”。</w:t>
      </w:r>
    </w:p>
    <w:p>
      <w:pPr>
        <w:pStyle w:val="Compact"/>
        <w:numPr>
          <w:ilvl w:val="0"/>
          <w:numId w:val="1007"/>
        </w:numPr>
      </w:pPr>
      <w:r>
        <w:rPr>
          <w:rFonts w:hint="eastAsia"/>
          <w:b/>
          <w:bCs/>
        </w:rPr>
        <w:t xml:space="preserve">解读：</w:t>
      </w:r>
      <w:r>
        <w:t xml:space="preserve"> </w:t>
      </w:r>
      <w:r>
        <w:rPr>
          <w:rFonts w:hint="eastAsia"/>
        </w:rPr>
        <w:t xml:space="preserve">头条的核心是文化建设的长期顶层方向，而非单一行业刺激。资本市场映射应优先寻找有内容供给、版权运营、海外用户和现金流验证的环节，避免把所有文化概念等同于政策受益。</w:t>
      </w:r>
    </w:p>
    <w:bookmarkEnd w:id="16"/>
    <w:bookmarkStart w:id="17" w:name="国庆期间超2.1亿人次游公园-乐享假日时光"/>
    <w:p>
      <w:pPr>
        <w:pStyle w:val="Heading3"/>
      </w:pPr>
      <w:r>
        <w:t xml:space="preserve">2. </w:t>
      </w:r>
      <w:r>
        <w:rPr>
          <w:rFonts w:hint="eastAsia"/>
        </w:rPr>
        <w:t xml:space="preserve">国庆期间超2.1亿人次游公园</w:t>
      </w:r>
      <w:r>
        <w:t xml:space="preserve"> </w:t>
      </w:r>
      <w:r>
        <w:rPr>
          <w:rFonts w:hint="eastAsia"/>
        </w:rPr>
        <w:t xml:space="preserve">乐享假日时光</w:t>
      </w:r>
    </w:p>
    <w:p>
      <w:pPr>
        <w:pStyle w:val="Compact"/>
        <w:numPr>
          <w:ilvl w:val="0"/>
          <w:numId w:val="1008"/>
        </w:numPr>
      </w:pPr>
      <w:r>
        <w:rPr>
          <w:rFonts w:hint="eastAsia"/>
          <w:b/>
          <w:bCs/>
        </w:rPr>
        <w:t xml:space="preserve">信号强度：★★★</w:t>
      </w:r>
      <w:r>
        <w:rPr>
          <w:rFonts w:hint="eastAsia"/>
        </w:rPr>
        <w:t xml:space="preserve">；</w:t>
      </w:r>
      <w:r>
        <w:rPr>
          <w:rFonts w:hint="eastAsia"/>
          <w:b/>
          <w:bCs/>
        </w:rPr>
        <w:t xml:space="preserve">A股影响：短期偏利好。</w:t>
      </w:r>
    </w:p>
    <w:p>
      <w:pPr>
        <w:pStyle w:val="Compact"/>
        <w:numPr>
          <w:ilvl w:val="0"/>
          <w:numId w:val="1008"/>
        </w:numPr>
      </w:pPr>
      <w:r>
        <w:rPr>
          <w:rFonts w:hint="eastAsia"/>
          <w:b/>
          <w:bCs/>
        </w:rPr>
        <w:t xml:space="preserve">受益板块：</w:t>
      </w:r>
      <w:r>
        <w:t xml:space="preserve"> </w:t>
      </w:r>
      <w:r>
        <w:rPr>
          <w:rFonts w:hint="eastAsia"/>
        </w:rPr>
        <w:t xml:space="preserve">公园与景区运营、夜游经济、灯光演艺、非遗文创、本地生活和轻消费。</w:t>
      </w:r>
    </w:p>
    <w:p>
      <w:pPr>
        <w:pStyle w:val="Compact"/>
        <w:numPr>
          <w:ilvl w:val="0"/>
          <w:numId w:val="1008"/>
        </w:numPr>
      </w:pPr>
      <w:r>
        <w:rPr>
          <w:rFonts w:hint="eastAsia"/>
          <w:b/>
          <w:bCs/>
        </w:rPr>
        <w:t xml:space="preserve">原文事实：</w:t>
      </w:r>
      <w:r>
        <w:t xml:space="preserve"> </w:t>
      </w:r>
      <w:r>
        <w:rPr>
          <w:rFonts w:hint="eastAsia"/>
        </w:rPr>
        <w:t xml:space="preserve">国庆假期城市公园累计举办特色活动1.1万场，接待游客超过2.1亿人次，带动消费超过52亿元；潮人公园接待游客超过24万人次，报道还展示无锡夜游和合肥“观景+逛街+休闲”模式。</w:t>
      </w:r>
    </w:p>
    <w:p>
      <w:pPr>
        <w:pStyle w:val="Compact"/>
        <w:numPr>
          <w:ilvl w:val="0"/>
          <w:numId w:val="1008"/>
        </w:numPr>
      </w:pPr>
      <w:r>
        <w:rPr>
          <w:rFonts w:hint="eastAsia"/>
          <w:b/>
          <w:bCs/>
        </w:rPr>
        <w:t xml:space="preserve">解读：</w:t>
      </w:r>
      <w:r>
        <w:t xml:space="preserve"> </w:t>
      </w:r>
      <w:r>
        <w:rPr>
          <w:rFonts w:hint="eastAsia"/>
        </w:rPr>
        <w:t xml:space="preserve">数据说明公共空间能够通过延长时段和叠加内容承接消费，但节目未披露经营主体收入、成本及利润分配。后续需要看客单价、收费模式、内容复购和淡季利用率。</w:t>
      </w:r>
    </w:p>
    <w:bookmarkEnd w:id="17"/>
    <w:bookmarkStart w:id="18" w:name="国庆假期出行需求旺盛-发展活力持续释放"/>
    <w:p>
      <w:pPr>
        <w:pStyle w:val="Heading3"/>
      </w:pPr>
      <w:r>
        <w:t xml:space="preserve">3. </w:t>
      </w:r>
      <w:r>
        <w:rPr>
          <w:rFonts w:hint="eastAsia"/>
        </w:rPr>
        <w:t xml:space="preserve">国庆假期出行需求旺盛</w:t>
      </w:r>
      <w:r>
        <w:t xml:space="preserve"> </w:t>
      </w:r>
      <w:r>
        <w:rPr>
          <w:rFonts w:hint="eastAsia"/>
        </w:rPr>
        <w:t xml:space="preserve">发展活力持续释放</w:t>
      </w:r>
    </w:p>
    <w:p>
      <w:pPr>
        <w:pStyle w:val="Compact"/>
        <w:numPr>
          <w:ilvl w:val="0"/>
          <w:numId w:val="1009"/>
        </w:numPr>
      </w:pPr>
      <w:r>
        <w:rPr>
          <w:rFonts w:hint="eastAsia"/>
          <w:b/>
          <w:bCs/>
        </w:rPr>
        <w:t xml:space="preserve">信号强度：★★★</w:t>
      </w:r>
      <w:r>
        <w:rPr>
          <w:rFonts w:hint="eastAsia"/>
        </w:rPr>
        <w:t xml:space="preserve">；</w:t>
      </w:r>
      <w:r>
        <w:rPr>
          <w:rFonts w:hint="eastAsia"/>
          <w:b/>
          <w:bCs/>
        </w:rPr>
        <w:t xml:space="preserve">A股影响：总体中性偏积极；时效：短期。</w:t>
      </w:r>
    </w:p>
    <w:p>
      <w:pPr>
        <w:pStyle w:val="Compact"/>
        <w:numPr>
          <w:ilvl w:val="0"/>
          <w:numId w:val="1009"/>
        </w:numPr>
      </w:pPr>
      <w:r>
        <w:rPr>
          <w:rFonts w:hint="eastAsia"/>
          <w:b/>
          <w:bCs/>
        </w:rPr>
        <w:t xml:space="preserve">受益板块：</w:t>
      </w:r>
      <w:r>
        <w:t xml:space="preserve"> </w:t>
      </w:r>
      <w:r>
        <w:rPr>
          <w:rFonts w:hint="eastAsia"/>
        </w:rPr>
        <w:t xml:space="preserve">铁路、公路、民航、汽车租赁、充换电服务、交通调度和沿线文旅。</w:t>
      </w:r>
    </w:p>
    <w:p>
      <w:pPr>
        <w:pStyle w:val="Compact"/>
        <w:numPr>
          <w:ilvl w:val="0"/>
          <w:numId w:val="1009"/>
        </w:numPr>
      </w:pPr>
      <w:r>
        <w:rPr>
          <w:rFonts w:hint="eastAsia"/>
          <w:b/>
          <w:bCs/>
        </w:rPr>
        <w:t xml:space="preserve">原文事实：</w:t>
      </w:r>
      <w:r>
        <w:t xml:space="preserve"> </w:t>
      </w:r>
      <w:r>
        <w:rPr>
          <w:rFonts w:hint="eastAsia"/>
        </w:rPr>
        <w:t xml:space="preserve">七天假期跨区域人员流动量预计21.44亿人次，同比增长0.7%；铁路连续三天发送旅客超过2000万人次，假期前开通4条高铁；公路出行超过19.6亿人次，自驾占比近八成，新能源车流量同比增长35%，10公里以上严重拥堵路段数量同比下降70%；日均租车率同比增长25%；民航日均旅客运输量约240万人次。</w:t>
      </w:r>
    </w:p>
    <w:p>
      <w:pPr>
        <w:pStyle w:val="Compact"/>
        <w:numPr>
          <w:ilvl w:val="0"/>
          <w:numId w:val="1009"/>
        </w:numPr>
      </w:pPr>
      <w:r>
        <w:rPr>
          <w:rFonts w:hint="eastAsia"/>
          <w:b/>
          <w:bCs/>
        </w:rPr>
        <w:t xml:space="preserve">解读：</w:t>
      </w:r>
      <w:r>
        <w:t xml:space="preserve"> </w:t>
      </w:r>
      <w:r>
        <w:rPr>
          <w:rFonts w:hint="eastAsia"/>
        </w:rPr>
        <w:t xml:space="preserve">客流和租车数据验证出行需求，但不是新的交通资本开支承诺。盈利兑现仍取决于票价、客座率、油价、折旧、运营成本及节后需求持续性。</w:t>
      </w:r>
    </w:p>
    <w:bookmarkEnd w:id="18"/>
    <w:bookmarkStart w:id="19" w:name="入境游持续升温-外国游客深度体验多彩中国"/>
    <w:p>
      <w:pPr>
        <w:pStyle w:val="Heading3"/>
      </w:pPr>
      <w:r>
        <w:t xml:space="preserve">4. </w:t>
      </w:r>
      <w:r>
        <w:rPr>
          <w:rFonts w:hint="eastAsia"/>
        </w:rPr>
        <w:t xml:space="preserve">入境游持续升温</w:t>
      </w:r>
      <w:r>
        <w:t xml:space="preserve"> </w:t>
      </w:r>
      <w:r>
        <w:rPr>
          <w:rFonts w:hint="eastAsia"/>
        </w:rPr>
        <w:t xml:space="preserve">外国游客深度体验多彩中国</w:t>
      </w:r>
    </w:p>
    <w:p>
      <w:pPr>
        <w:pStyle w:val="Compact"/>
        <w:numPr>
          <w:ilvl w:val="0"/>
          <w:numId w:val="1010"/>
        </w:numPr>
      </w:pPr>
      <w:r>
        <w:rPr>
          <w:rFonts w:hint="eastAsia"/>
          <w:b/>
          <w:bCs/>
        </w:rPr>
        <w:t xml:space="preserve">信号强度：★★★★</w:t>
      </w:r>
      <w:r>
        <w:rPr>
          <w:rFonts w:hint="eastAsia"/>
        </w:rPr>
        <w:t xml:space="preserve">；</w:t>
      </w:r>
      <w:r>
        <w:rPr>
          <w:rFonts w:hint="eastAsia"/>
          <w:b/>
          <w:bCs/>
        </w:rPr>
        <w:t xml:space="preserve">A股影响：短期至中期偏利好。</w:t>
      </w:r>
    </w:p>
    <w:p>
      <w:pPr>
        <w:pStyle w:val="Compact"/>
        <w:numPr>
          <w:ilvl w:val="0"/>
          <w:numId w:val="1010"/>
        </w:numPr>
      </w:pPr>
      <w:r>
        <w:rPr>
          <w:rFonts w:hint="eastAsia"/>
          <w:b/>
          <w:bCs/>
        </w:rPr>
        <w:t xml:space="preserve">受益板块：</w:t>
      </w:r>
      <w:r>
        <w:t xml:space="preserve"> </w:t>
      </w:r>
      <w:r>
        <w:rPr>
          <w:rFonts w:hint="eastAsia"/>
        </w:rPr>
        <w:t xml:space="preserve">入境旅行服务、酒店、景区、免税零售、跨境支付、离境退税服务、智慧文旅和国际航空。</w:t>
      </w:r>
    </w:p>
    <w:p>
      <w:pPr>
        <w:pStyle w:val="Compact"/>
        <w:numPr>
          <w:ilvl w:val="0"/>
          <w:numId w:val="1010"/>
        </w:numPr>
      </w:pPr>
      <w:r>
        <w:rPr>
          <w:rFonts w:hint="eastAsia"/>
          <w:b/>
          <w:bCs/>
        </w:rPr>
        <w:t xml:space="preserve">原文事实：</w:t>
      </w:r>
      <w:r>
        <w:t xml:space="preserve"> </w:t>
      </w:r>
      <w:r>
        <w:rPr>
          <w:rFonts w:hint="eastAsia"/>
        </w:rPr>
        <w:t xml:space="preserve">国庆假期前6天，北京接待入境游客11.2万人次，同比增长24.6%；四川接待47903人次，同比增长9.2%；前8个月全国口岸查验出入境外国人6128.7万人次，同比增长19.5%；2026年以来入境游客平均停留5.1天，同比提升11%。上海推出“沪小游”服务中心，浙江升级入境旅游智慧服务平台。</w:t>
      </w:r>
    </w:p>
    <w:p>
      <w:pPr>
        <w:pStyle w:val="Compact"/>
        <w:numPr>
          <w:ilvl w:val="0"/>
          <w:numId w:val="1010"/>
        </w:numPr>
      </w:pPr>
      <w:r>
        <w:rPr>
          <w:rFonts w:hint="eastAsia"/>
          <w:b/>
          <w:bCs/>
        </w:rPr>
        <w:t xml:space="preserve">解读：</w:t>
      </w:r>
      <w:r>
        <w:t xml:space="preserve"> </w:t>
      </w:r>
      <w:r>
        <w:rPr>
          <w:rFonts w:hint="eastAsia"/>
        </w:rPr>
        <w:t xml:space="preserve">客源地拓展、停留时间增长和服务数字化共同改善消费承接能力。真正的业绩验证仍是客单价、酒店入住率、国际航线运力、支付转化和退税消费。</w:t>
      </w:r>
    </w:p>
    <w:bookmarkEnd w:id="19"/>
    <w:bookmarkStart w:id="20" w:name="阅读点亮假期生活-书香中国蔚然成风"/>
    <w:p>
      <w:pPr>
        <w:pStyle w:val="Heading3"/>
      </w:pPr>
      <w:r>
        <w:t xml:space="preserve">5. </w:t>
      </w:r>
      <w:r>
        <w:rPr>
          <w:rFonts w:hint="eastAsia"/>
        </w:rPr>
        <w:t xml:space="preserve">阅读点亮假期生活</w:t>
      </w:r>
      <w:r>
        <w:t xml:space="preserve"> </w:t>
      </w:r>
      <w:r>
        <w:rPr>
          <w:rFonts w:hint="eastAsia"/>
        </w:rPr>
        <w:t xml:space="preserve">书香中国蔚然成风</w:t>
      </w:r>
    </w:p>
    <w:p>
      <w:pPr>
        <w:pStyle w:val="Compact"/>
        <w:numPr>
          <w:ilvl w:val="0"/>
          <w:numId w:val="1011"/>
        </w:numPr>
      </w:pPr>
      <w:r>
        <w:rPr>
          <w:rFonts w:hint="eastAsia"/>
          <w:b/>
          <w:bCs/>
        </w:rPr>
        <w:t xml:space="preserve">信号强度：★★</w:t>
      </w:r>
      <w:r>
        <w:rPr>
          <w:rFonts w:hint="eastAsia"/>
        </w:rPr>
        <w:t xml:space="preserve">；</w:t>
      </w:r>
      <w:r>
        <w:rPr>
          <w:rFonts w:hint="eastAsia"/>
          <w:b/>
          <w:bCs/>
        </w:rPr>
        <w:t xml:space="preserve">A股影响：中性偏积极；时效：长期。</w:t>
      </w:r>
    </w:p>
    <w:p>
      <w:pPr>
        <w:pStyle w:val="Compact"/>
        <w:numPr>
          <w:ilvl w:val="0"/>
          <w:numId w:val="1011"/>
        </w:numPr>
      </w:pPr>
      <w:r>
        <w:rPr>
          <w:rFonts w:hint="eastAsia"/>
          <w:b/>
          <w:bCs/>
        </w:rPr>
        <w:t xml:space="preserve">相关方向：</w:t>
      </w:r>
      <w:r>
        <w:t xml:space="preserve"> </w:t>
      </w:r>
      <w:r>
        <w:rPr>
          <w:rFonts w:hint="eastAsia"/>
        </w:rPr>
        <w:t xml:space="preserve">出版发行、数字阅读、实体书店运营、公共文化空间和乡村文化文旅。</w:t>
      </w:r>
    </w:p>
    <w:p>
      <w:pPr>
        <w:pStyle w:val="Compact"/>
        <w:numPr>
          <w:ilvl w:val="0"/>
          <w:numId w:val="1011"/>
        </w:numPr>
      </w:pPr>
      <w:r>
        <w:rPr>
          <w:rFonts w:hint="eastAsia"/>
          <w:b/>
          <w:bCs/>
        </w:rPr>
        <w:t xml:space="preserve">原文事实：</w:t>
      </w:r>
      <w:r>
        <w:t xml:space="preserve"> </w:t>
      </w:r>
      <w:r>
        <w:rPr>
          <w:rFonts w:hint="eastAsia"/>
        </w:rPr>
        <w:t xml:space="preserve">湖南益阳清溪村有22间以作家或出版社命名的书屋；长假前6天陕西省图书馆接待读者9.5万人次，同比上涨22.5%；江西省图书馆假期日均接待读者超过1万人次，较平日增长43%。</w:t>
      </w:r>
    </w:p>
    <w:p>
      <w:pPr>
        <w:pStyle w:val="Compact"/>
        <w:numPr>
          <w:ilvl w:val="0"/>
          <w:numId w:val="1011"/>
        </w:numPr>
      </w:pPr>
      <w:r>
        <w:rPr>
          <w:rFonts w:hint="eastAsia"/>
          <w:b/>
          <w:bCs/>
        </w:rPr>
        <w:t xml:space="preserve">解读：</w:t>
      </w:r>
      <w:r>
        <w:t xml:space="preserve"> </w:t>
      </w:r>
      <w:r>
        <w:rPr>
          <w:rFonts w:hint="eastAsia"/>
        </w:rPr>
        <w:t xml:space="preserve">阅读场景与街区、乡村和公共文化场馆结合，有助于文化消费和线下空间活化，但免费公共服务客流不能直接外推为出版或书店利润增长。</w:t>
      </w:r>
    </w:p>
    <w:bookmarkEnd w:id="20"/>
    <w:bookmarkStart w:id="21" w:name="一线调研从物畅其流到产销联动"/>
    <w:p>
      <w:pPr>
        <w:pStyle w:val="Heading3"/>
      </w:pPr>
      <w:r>
        <w:t xml:space="preserve">6. </w:t>
      </w:r>
      <w:r>
        <w:rPr>
          <w:rFonts w:hint="eastAsia"/>
        </w:rPr>
        <w:t xml:space="preserve">【一线调研】从物畅其流到产销联动</w:t>
      </w:r>
    </w:p>
    <w:p>
      <w:pPr>
        <w:pStyle w:val="Compact"/>
        <w:numPr>
          <w:ilvl w:val="0"/>
          <w:numId w:val="1012"/>
        </w:numPr>
      </w:pPr>
      <w:r>
        <w:rPr>
          <w:rFonts w:hint="eastAsia"/>
          <w:b/>
          <w:bCs/>
        </w:rPr>
        <w:t xml:space="preserve">信号强度：★★★★★</w:t>
      </w:r>
      <w:r>
        <w:rPr>
          <w:rFonts w:hint="eastAsia"/>
        </w:rPr>
        <w:t xml:space="preserve">；</w:t>
      </w:r>
      <w:r>
        <w:rPr>
          <w:rFonts w:hint="eastAsia"/>
          <w:b/>
          <w:bCs/>
        </w:rPr>
        <w:t xml:space="preserve">A股影响：中期至长期利好。</w:t>
      </w:r>
    </w:p>
    <w:p>
      <w:pPr>
        <w:pStyle w:val="Compact"/>
        <w:numPr>
          <w:ilvl w:val="0"/>
          <w:numId w:val="1012"/>
        </w:numPr>
      </w:pPr>
      <w:r>
        <w:rPr>
          <w:rFonts w:hint="eastAsia"/>
          <w:b/>
          <w:bCs/>
        </w:rPr>
        <w:t xml:space="preserve">受益板块：</w:t>
      </w:r>
      <w:r>
        <w:t xml:space="preserve"> </w:t>
      </w:r>
      <w:r>
        <w:rPr>
          <w:rFonts w:hint="eastAsia"/>
        </w:rPr>
        <w:t xml:space="preserve">智慧物流、供应链软件、冷链仓储、多式联运、仓储自动化、新能源物流装备、国家物流枢纽建设。</w:t>
      </w:r>
    </w:p>
    <w:p>
      <w:pPr>
        <w:pStyle w:val="Compact"/>
        <w:numPr>
          <w:ilvl w:val="0"/>
          <w:numId w:val="1012"/>
        </w:numPr>
      </w:pPr>
      <w:r>
        <w:rPr>
          <w:rFonts w:hint="eastAsia"/>
          <w:b/>
          <w:bCs/>
        </w:rPr>
        <w:t xml:space="preserve">原文事实：</w:t>
      </w:r>
      <w:r>
        <w:t xml:space="preserve"> </w:t>
      </w:r>
      <w:r>
        <w:rPr>
          <w:rFonts w:hint="eastAsia"/>
        </w:rPr>
        <w:t xml:space="preserve">报道中的农产品市场日交易果蔬超过1.5万吨，连接31个省区市、340座城市；数字化供应链平台最快3分钟生成配送方案，一个果园20万斤猕猴桃在采摘前已有去处。今年8月印发的《物流网建设实施方案》推动基础设施由“布点畅线”转向“成链成网”；“十五五”时期181个国家物流枢纽将进一步互联，支持1000个左右主要货运节点提升多式联运功能。</w:t>
      </w:r>
    </w:p>
    <w:p>
      <w:pPr>
        <w:pStyle w:val="Compact"/>
        <w:numPr>
          <w:ilvl w:val="0"/>
          <w:numId w:val="1012"/>
        </w:numPr>
      </w:pPr>
      <w:r>
        <w:rPr>
          <w:rFonts w:hint="eastAsia"/>
          <w:b/>
          <w:bCs/>
        </w:rPr>
        <w:t xml:space="preserve">解读：</w:t>
      </w:r>
      <w:r>
        <w:t xml:space="preserve"> </w:t>
      </w:r>
      <w:r>
        <w:rPr>
          <w:rFonts w:hint="eastAsia"/>
        </w:rPr>
        <w:t xml:space="preserve">这是本期最强的产业落地信号，增量不仅来自新建枢纽，也来自数据联通、仓配组织、装载率优化和节点改造。应优先核验项目、订单、系统使用率和降本效果。</w:t>
      </w:r>
    </w:p>
    <w:bookmarkEnd w:id="21"/>
    <w:bookmarkStart w:id="22" w:name="国内快讯老年人照料设施建筑设计标准局部修订版发布"/>
    <w:p>
      <w:pPr>
        <w:pStyle w:val="Heading3"/>
      </w:pPr>
      <w:r>
        <w:t xml:space="preserve">7. </w:t>
      </w:r>
      <w:r>
        <w:rPr>
          <w:rFonts w:hint="eastAsia"/>
        </w:rPr>
        <w:t xml:space="preserve">国内快讯：《老年人照料设施建筑设计标准》局部修订版发布</w:t>
      </w:r>
    </w:p>
    <w:p>
      <w:pPr>
        <w:pStyle w:val="Compact"/>
        <w:numPr>
          <w:ilvl w:val="0"/>
          <w:numId w:val="1013"/>
        </w:numPr>
      </w:pPr>
      <w:r>
        <w:rPr>
          <w:rFonts w:hint="eastAsia"/>
          <w:b/>
          <w:bCs/>
        </w:rPr>
        <w:t xml:space="preserve">信号强度：★★★★</w:t>
      </w:r>
      <w:r>
        <w:rPr>
          <w:rFonts w:hint="eastAsia"/>
        </w:rPr>
        <w:t xml:space="preserve">；</w:t>
      </w:r>
      <w:r>
        <w:rPr>
          <w:rFonts w:hint="eastAsia"/>
          <w:b/>
          <w:bCs/>
        </w:rPr>
        <w:t xml:space="preserve">A股影响：中长期偏利好。</w:t>
      </w:r>
    </w:p>
    <w:p>
      <w:pPr>
        <w:pStyle w:val="Compact"/>
        <w:numPr>
          <w:ilvl w:val="0"/>
          <w:numId w:val="1013"/>
        </w:numPr>
      </w:pPr>
      <w:r>
        <w:rPr>
          <w:rFonts w:hint="eastAsia"/>
          <w:b/>
          <w:bCs/>
        </w:rPr>
        <w:t xml:space="preserve">受益板块：</w:t>
      </w:r>
      <w:r>
        <w:t xml:space="preserve"> </w:t>
      </w:r>
      <w:r>
        <w:rPr>
          <w:rFonts w:hint="eastAsia"/>
        </w:rPr>
        <w:t xml:space="preserve">养老设施改造、医养康养建筑、无障碍设施、适老化家居、智慧养老和建筑设计服务。</w:t>
      </w:r>
    </w:p>
    <w:p>
      <w:pPr>
        <w:pStyle w:val="Compact"/>
        <w:numPr>
          <w:ilvl w:val="0"/>
          <w:numId w:val="1013"/>
        </w:numPr>
      </w:pPr>
      <w:r>
        <w:rPr>
          <w:rFonts w:hint="eastAsia"/>
          <w:b/>
          <w:bCs/>
        </w:rPr>
        <w:t xml:space="preserve">原文事实：</w:t>
      </w:r>
      <w:r>
        <w:t xml:space="preserve"> </w:t>
      </w:r>
      <w:r>
        <w:rPr>
          <w:rFonts w:hint="eastAsia"/>
        </w:rPr>
        <w:t xml:space="preserve">修订完善医养结合、康养结合、防疫设计和老年人日间照料设施等规定，文件将于2027年1月1日起实施。</w:t>
      </w:r>
    </w:p>
    <w:p>
      <w:pPr>
        <w:pStyle w:val="Compact"/>
        <w:numPr>
          <w:ilvl w:val="0"/>
          <w:numId w:val="1013"/>
        </w:numPr>
      </w:pPr>
      <w:r>
        <w:rPr>
          <w:rFonts w:hint="eastAsia"/>
          <w:b/>
          <w:bCs/>
        </w:rPr>
        <w:t xml:space="preserve">解读：</w:t>
      </w:r>
      <w:r>
        <w:t xml:space="preserve"> </w:t>
      </w:r>
      <w:r>
        <w:rPr>
          <w:rFonts w:hint="eastAsia"/>
        </w:rPr>
        <w:t xml:space="preserve">明确的实施日期有利于形成设计、改造和产品适配预期，但原文没有给出强制改造范围、投资规模或采购预算，订单兑现需等待配套细则和项目落地。</w:t>
      </w:r>
    </w:p>
    <w:bookmarkEnd w:id="22"/>
    <w:bookmarkStart w:id="23" w:name="国内快讯中老铁路累计进出口货值突破1000亿元"/>
    <w:p>
      <w:pPr>
        <w:pStyle w:val="Heading3"/>
      </w:pPr>
      <w:r>
        <w:t xml:space="preserve">8. </w:t>
      </w:r>
      <w:r>
        <w:rPr>
          <w:rFonts w:hint="eastAsia"/>
        </w:rPr>
        <w:t xml:space="preserve">国内快讯：中老铁路累计进出口货值突破1000亿元</w:t>
      </w:r>
    </w:p>
    <w:p>
      <w:pPr>
        <w:pStyle w:val="Compact"/>
        <w:numPr>
          <w:ilvl w:val="0"/>
          <w:numId w:val="1014"/>
        </w:numPr>
      </w:pPr>
      <w:r>
        <w:rPr>
          <w:rFonts w:hint="eastAsia"/>
          <w:b/>
          <w:bCs/>
        </w:rPr>
        <w:t xml:space="preserve">信号强度：★★★</w:t>
      </w:r>
      <w:r>
        <w:rPr>
          <w:rFonts w:hint="eastAsia"/>
        </w:rPr>
        <w:t xml:space="preserve">；</w:t>
      </w:r>
      <w:r>
        <w:rPr>
          <w:rFonts w:hint="eastAsia"/>
          <w:b/>
          <w:bCs/>
        </w:rPr>
        <w:t xml:space="preserve">A股影响：中期偏利好。</w:t>
      </w:r>
    </w:p>
    <w:p>
      <w:pPr>
        <w:pStyle w:val="Compact"/>
        <w:numPr>
          <w:ilvl w:val="0"/>
          <w:numId w:val="1014"/>
        </w:numPr>
      </w:pPr>
      <w:r>
        <w:rPr>
          <w:rFonts w:hint="eastAsia"/>
          <w:b/>
          <w:bCs/>
        </w:rPr>
        <w:t xml:space="preserve">受益板块：</w:t>
      </w:r>
      <w:r>
        <w:t xml:space="preserve"> </w:t>
      </w:r>
      <w:r>
        <w:rPr>
          <w:rFonts w:hint="eastAsia"/>
        </w:rPr>
        <w:t xml:space="preserve">铁路物流、跨境运输、口岸服务、供应链管理和面向东南亚的贸易服务。</w:t>
      </w:r>
    </w:p>
    <w:p>
      <w:pPr>
        <w:pStyle w:val="Compact"/>
        <w:numPr>
          <w:ilvl w:val="0"/>
          <w:numId w:val="1014"/>
        </w:numPr>
      </w:pPr>
      <w:r>
        <w:rPr>
          <w:rFonts w:hint="eastAsia"/>
          <w:b/>
          <w:bCs/>
        </w:rPr>
        <w:t xml:space="preserve">原文事实：</w:t>
      </w:r>
      <w:r>
        <w:t xml:space="preserve"> </w:t>
      </w:r>
      <w:r>
        <w:rPr>
          <w:rFonts w:hint="eastAsia"/>
        </w:rPr>
        <w:t xml:space="preserve">中老铁路开通以来运送进出口货物超过2077万吨，货值超过1004亿元，进出口规模年均增长超过24%，辐射19个国家和地区，品类达3900余种。</w:t>
      </w:r>
    </w:p>
    <w:p>
      <w:pPr>
        <w:pStyle w:val="Compact"/>
        <w:numPr>
          <w:ilvl w:val="0"/>
          <w:numId w:val="1014"/>
        </w:numPr>
      </w:pPr>
      <w:r>
        <w:rPr>
          <w:rFonts w:hint="eastAsia"/>
          <w:b/>
          <w:bCs/>
        </w:rPr>
        <w:t xml:space="preserve">解读：</w:t>
      </w:r>
      <w:r>
        <w:t xml:space="preserve"> </w:t>
      </w:r>
      <w:r>
        <w:rPr>
          <w:rFonts w:hint="eastAsia"/>
        </w:rPr>
        <w:t xml:space="preserve">货量、货值和品类增长支持跨境通道活跃度判断，但节目没有披露运价、利润率或各运营主体份额，不能由通道总量直接推导公司盈利。</w:t>
      </w:r>
    </w:p>
    <w:bookmarkEnd w:id="23"/>
    <w:bookmarkStart w:id="24" w:name="国内快讯三北工程攻坚战累计完成2.65亿亩建设任务"/>
    <w:p>
      <w:pPr>
        <w:pStyle w:val="Heading3"/>
      </w:pPr>
      <w:r>
        <w:t xml:space="preserve">9. </w:t>
      </w:r>
      <w:r>
        <w:rPr>
          <w:rFonts w:hint="eastAsia"/>
        </w:rPr>
        <w:t xml:space="preserve">国内快讯：“三北”工程攻坚战累计完成2.65亿亩建设任务</w:t>
      </w:r>
    </w:p>
    <w:p>
      <w:pPr>
        <w:pStyle w:val="Compact"/>
        <w:numPr>
          <w:ilvl w:val="0"/>
          <w:numId w:val="1015"/>
        </w:numPr>
      </w:pPr>
      <w:r>
        <w:rPr>
          <w:rFonts w:hint="eastAsia"/>
          <w:b/>
          <w:bCs/>
        </w:rPr>
        <w:t xml:space="preserve">信号强度：★★★★</w:t>
      </w:r>
      <w:r>
        <w:rPr>
          <w:rFonts w:hint="eastAsia"/>
        </w:rPr>
        <w:t xml:space="preserve">；</w:t>
      </w:r>
      <w:r>
        <w:rPr>
          <w:rFonts w:hint="eastAsia"/>
          <w:b/>
          <w:bCs/>
        </w:rPr>
        <w:t xml:space="preserve">A股影响：中长期偏利好。</w:t>
      </w:r>
    </w:p>
    <w:p>
      <w:pPr>
        <w:pStyle w:val="Compact"/>
        <w:numPr>
          <w:ilvl w:val="0"/>
          <w:numId w:val="1015"/>
        </w:numPr>
      </w:pPr>
      <w:r>
        <w:rPr>
          <w:rFonts w:hint="eastAsia"/>
          <w:b/>
          <w:bCs/>
        </w:rPr>
        <w:t xml:space="preserve">受益板块：</w:t>
      </w:r>
      <w:r>
        <w:t xml:space="preserve"> </w:t>
      </w:r>
      <w:r>
        <w:rPr>
          <w:rFonts w:hint="eastAsia"/>
        </w:rPr>
        <w:t xml:space="preserve">生态修复、节水灌溉、林草种苗、治沙装备、环境监测和工程服务。</w:t>
      </w:r>
    </w:p>
    <w:p>
      <w:pPr>
        <w:pStyle w:val="Compact"/>
        <w:numPr>
          <w:ilvl w:val="0"/>
          <w:numId w:val="1015"/>
        </w:numPr>
      </w:pPr>
      <w:r>
        <w:rPr>
          <w:rFonts w:hint="eastAsia"/>
          <w:b/>
          <w:bCs/>
        </w:rPr>
        <w:t xml:space="preserve">原文事实：</w:t>
      </w:r>
      <w:r>
        <w:t xml:space="preserve"> </w:t>
      </w:r>
      <w:r>
        <w:rPr>
          <w:rFonts w:hint="eastAsia"/>
        </w:rPr>
        <w:t xml:space="preserve">“三北”工程攻坚战3年多来累计完成新造、改造、成果巩固等建设任务2.65亿亩；三大片区两年集中攻坚行动已启动，目标为2027年完成70%建设任务、2030年全面完成攻坚任务。</w:t>
      </w:r>
    </w:p>
    <w:p>
      <w:pPr>
        <w:pStyle w:val="Compact"/>
        <w:numPr>
          <w:ilvl w:val="0"/>
          <w:numId w:val="1015"/>
        </w:numPr>
      </w:pPr>
      <w:r>
        <w:rPr>
          <w:rFonts w:hint="eastAsia"/>
          <w:b/>
          <w:bCs/>
        </w:rPr>
        <w:t xml:space="preserve">解读：</w:t>
      </w:r>
      <w:r>
        <w:t xml:space="preserve"> </w:t>
      </w:r>
      <w:r>
        <w:rPr>
          <w:rFonts w:hint="eastAsia"/>
        </w:rPr>
        <w:t xml:space="preserve">明确时间节点有利于工程进度预期，但原文未披露新增投资额、项目清单和采购安排。产业受益取决于招投标、验收、回款及生态成效。</w:t>
      </w:r>
    </w:p>
    <w:bookmarkEnd w:id="24"/>
    <w:bookmarkStart w:id="25" w:name="立陶宛拟解禁部署核武器俄方称将采取措施"/>
    <w:p>
      <w:pPr>
        <w:pStyle w:val="Heading3"/>
      </w:pPr>
      <w:r>
        <w:t xml:space="preserve">10. </w:t>
      </w:r>
      <w:r>
        <w:rPr>
          <w:rFonts w:hint="eastAsia"/>
        </w:rPr>
        <w:t xml:space="preserve">立陶宛拟解禁部署核武器，俄方称将采取措施</w:t>
      </w:r>
    </w:p>
    <w:p>
      <w:pPr>
        <w:pStyle w:val="Compact"/>
        <w:numPr>
          <w:ilvl w:val="0"/>
          <w:numId w:val="1016"/>
        </w:numPr>
      </w:pPr>
      <w:r>
        <w:rPr>
          <w:rFonts w:hint="eastAsia"/>
          <w:b/>
          <w:bCs/>
        </w:rPr>
        <w:t xml:space="preserve">信号强度：★★★★</w:t>
      </w:r>
      <w:r>
        <w:rPr>
          <w:rFonts w:hint="eastAsia"/>
        </w:rPr>
        <w:t xml:space="preserve">；</w:t>
      </w:r>
      <w:r>
        <w:rPr>
          <w:rFonts w:hint="eastAsia"/>
          <w:b/>
          <w:bCs/>
        </w:rPr>
        <w:t xml:space="preserve">A股影响：风险偏好偏空；时效：短期至中期。</w:t>
      </w:r>
    </w:p>
    <w:p>
      <w:pPr>
        <w:pStyle w:val="Compact"/>
        <w:numPr>
          <w:ilvl w:val="0"/>
          <w:numId w:val="1016"/>
        </w:numPr>
      </w:pPr>
      <w:r>
        <w:rPr>
          <w:rFonts w:hint="eastAsia"/>
          <w:b/>
          <w:bCs/>
        </w:rPr>
        <w:t xml:space="preserve">相关方向：</w:t>
      </w:r>
      <w:r>
        <w:t xml:space="preserve"> </w:t>
      </w:r>
      <w:r>
        <w:rPr>
          <w:rFonts w:hint="eastAsia"/>
        </w:rPr>
        <w:t xml:space="preserve">黄金、安全防务和能源安全可能获得避险关注；对欧贸易与高贝塔资产可能受风险情绪扰动。</w:t>
      </w:r>
    </w:p>
    <w:p>
      <w:pPr>
        <w:pStyle w:val="Compact"/>
        <w:numPr>
          <w:ilvl w:val="0"/>
          <w:numId w:val="1016"/>
        </w:numPr>
      </w:pPr>
      <w:r>
        <w:rPr>
          <w:rFonts w:hint="eastAsia"/>
          <w:b/>
          <w:bCs/>
        </w:rPr>
        <w:t xml:space="preserve">原文事实：</w:t>
      </w:r>
      <w:r>
        <w:t xml:space="preserve"> </w:t>
      </w:r>
      <w:r>
        <w:rPr>
          <w:rFonts w:hint="eastAsia"/>
        </w:rPr>
        <w:t xml:space="preserve">立陶宛议会就相关宪法修正案完成首轮表决，法案仍需第二次表决；俄方称北约军事基础设施逼近及在俄邻国部署核武器会加剧紧张，将采取必要措施维护安全。</w:t>
      </w:r>
    </w:p>
    <w:p>
      <w:pPr>
        <w:pStyle w:val="Compact"/>
        <w:numPr>
          <w:ilvl w:val="0"/>
          <w:numId w:val="1016"/>
        </w:numPr>
      </w:pPr>
      <w:r>
        <w:rPr>
          <w:rFonts w:hint="eastAsia"/>
          <w:b/>
          <w:bCs/>
        </w:rPr>
        <w:t xml:space="preserve">解读：</w:t>
      </w:r>
      <w:r>
        <w:t xml:space="preserve"> </w:t>
      </w:r>
      <w:r>
        <w:rPr>
          <w:rFonts w:hint="eastAsia"/>
        </w:rPr>
        <w:t xml:space="preserve">法案尚未完成全部程序，俄方措施也未具体化。市场交易应等待正式表决、部署安排和反制措施，不能把首轮表决当成已经部署。</w:t>
      </w:r>
    </w:p>
    <w:bookmarkEnd w:id="25"/>
    <w:bookmarkStart w:id="26" w:name="法国试射未装载核弹头的m51.3潜射洲际导弹"/>
    <w:p>
      <w:pPr>
        <w:pStyle w:val="Heading3"/>
      </w:pPr>
      <w:r>
        <w:t xml:space="preserve">11. </w:t>
      </w:r>
      <w:r>
        <w:rPr>
          <w:rFonts w:hint="eastAsia"/>
        </w:rPr>
        <w:t xml:space="preserve">法国试射未装载核弹头的M51.3潜射洲际导弹</w:t>
      </w:r>
    </w:p>
    <w:p>
      <w:pPr>
        <w:pStyle w:val="Compact"/>
        <w:numPr>
          <w:ilvl w:val="0"/>
          <w:numId w:val="1017"/>
        </w:numPr>
      </w:pPr>
      <w:r>
        <w:rPr>
          <w:rFonts w:hint="eastAsia"/>
          <w:b/>
          <w:bCs/>
        </w:rPr>
        <w:t xml:space="preserve">信号强度：★★★</w:t>
      </w:r>
      <w:r>
        <w:rPr>
          <w:rFonts w:hint="eastAsia"/>
        </w:rPr>
        <w:t xml:space="preserve">；</w:t>
      </w:r>
      <w:r>
        <w:rPr>
          <w:rFonts w:hint="eastAsia"/>
          <w:b/>
          <w:bCs/>
        </w:rPr>
        <w:t xml:space="preserve">A股影响：中性偏风险；时效：短期。</w:t>
      </w:r>
    </w:p>
    <w:p>
      <w:pPr>
        <w:pStyle w:val="Compact"/>
        <w:numPr>
          <w:ilvl w:val="0"/>
          <w:numId w:val="1017"/>
        </w:numPr>
      </w:pPr>
      <w:r>
        <w:rPr>
          <w:rFonts w:hint="eastAsia"/>
          <w:b/>
          <w:bCs/>
        </w:rPr>
        <w:t xml:space="preserve">相关方向：</w:t>
      </w:r>
      <w:r>
        <w:t xml:space="preserve"> </w:t>
      </w:r>
      <w:r>
        <w:rPr>
          <w:rFonts w:hint="eastAsia"/>
        </w:rPr>
        <w:t xml:space="preserve">安全防务与避险资产可能受到情绪影响。</w:t>
      </w:r>
    </w:p>
    <w:p>
      <w:pPr>
        <w:pStyle w:val="Compact"/>
        <w:numPr>
          <w:ilvl w:val="0"/>
          <w:numId w:val="1017"/>
        </w:numPr>
      </w:pPr>
      <w:r>
        <w:rPr>
          <w:rFonts w:hint="eastAsia"/>
          <w:b/>
          <w:bCs/>
        </w:rPr>
        <w:t xml:space="preserve">原文事实：</w:t>
      </w:r>
      <w:r>
        <w:t xml:space="preserve"> </w:t>
      </w:r>
      <w:r>
        <w:rPr>
          <w:rFonts w:hint="eastAsia"/>
        </w:rPr>
        <w:t xml:space="preserve">法国一艘战略核潜艇成功试射M51.3潜射洲际导弹，为该型号首次从核潜艇试射；法国媒体称导弹未装载核弹头。报道还提及法国“前沿威慑”计划及俄方警告。</w:t>
      </w:r>
    </w:p>
    <w:p>
      <w:pPr>
        <w:pStyle w:val="Compact"/>
        <w:numPr>
          <w:ilvl w:val="0"/>
          <w:numId w:val="1017"/>
        </w:numPr>
      </w:pPr>
      <w:r>
        <w:rPr>
          <w:rFonts w:hint="eastAsia"/>
          <w:b/>
          <w:bCs/>
        </w:rPr>
        <w:t xml:space="preserve">解读：</w:t>
      </w:r>
      <w:r>
        <w:t xml:space="preserve"> </w:t>
      </w:r>
      <w:r>
        <w:rPr>
          <w:rFonts w:hint="eastAsia"/>
        </w:rPr>
        <w:t xml:space="preserve">该事件强化欧洲安全竞争叙事，但原文没有新的装备采购金额或与中国企业相关的订单信息，对A股主要是风险偏好传导。</w:t>
      </w:r>
    </w:p>
    <w:bookmarkEnd w:id="26"/>
    <w:bookmarkStart w:id="27" w:name="瑞典将向波兰部署爱国者防空系统"/>
    <w:p>
      <w:pPr>
        <w:pStyle w:val="Heading3"/>
      </w:pPr>
      <w:r>
        <w:t xml:space="preserve">12. </w:t>
      </w:r>
      <w:r>
        <w:rPr>
          <w:rFonts w:hint="eastAsia"/>
        </w:rPr>
        <w:t xml:space="preserve">瑞典将向波兰部署“爱国者”防空系统</w:t>
      </w:r>
    </w:p>
    <w:p>
      <w:pPr>
        <w:pStyle w:val="Compact"/>
        <w:numPr>
          <w:ilvl w:val="0"/>
          <w:numId w:val="1018"/>
        </w:numPr>
      </w:pPr>
      <w:r>
        <w:rPr>
          <w:rFonts w:hint="eastAsia"/>
          <w:b/>
          <w:bCs/>
        </w:rPr>
        <w:t xml:space="preserve">信号强度：★★★</w:t>
      </w:r>
      <w:r>
        <w:rPr>
          <w:rFonts w:hint="eastAsia"/>
        </w:rPr>
        <w:t xml:space="preserve">；</w:t>
      </w:r>
      <w:r>
        <w:rPr>
          <w:rFonts w:hint="eastAsia"/>
          <w:b/>
          <w:bCs/>
        </w:rPr>
        <w:t xml:space="preserve">A股影响：中性偏风险；时效：短期至中期。</w:t>
      </w:r>
    </w:p>
    <w:p>
      <w:pPr>
        <w:pStyle w:val="Compact"/>
        <w:numPr>
          <w:ilvl w:val="0"/>
          <w:numId w:val="1018"/>
        </w:numPr>
      </w:pPr>
      <w:r>
        <w:rPr>
          <w:rFonts w:hint="eastAsia"/>
          <w:b/>
          <w:bCs/>
        </w:rPr>
        <w:t xml:space="preserve">相关方向：</w:t>
      </w:r>
      <w:r>
        <w:t xml:space="preserve"> </w:t>
      </w:r>
      <w:r>
        <w:rPr>
          <w:rFonts w:hint="eastAsia"/>
        </w:rPr>
        <w:t xml:space="preserve">防空反导、安全防务和避险资产存在事件映射。</w:t>
      </w:r>
    </w:p>
    <w:p>
      <w:pPr>
        <w:pStyle w:val="Compact"/>
        <w:numPr>
          <w:ilvl w:val="0"/>
          <w:numId w:val="1018"/>
        </w:numPr>
      </w:pPr>
      <w:r>
        <w:rPr>
          <w:rFonts w:hint="eastAsia"/>
          <w:b/>
          <w:bCs/>
        </w:rPr>
        <w:t xml:space="preserve">原文事实：</w:t>
      </w:r>
      <w:r>
        <w:t xml:space="preserve"> </w:t>
      </w:r>
      <w:r>
        <w:rPr>
          <w:rFonts w:hint="eastAsia"/>
        </w:rPr>
        <w:t xml:space="preserve">瑞典政府称将首次向另一北约成员波兰部署“爱国者”系统，用于保护北约后勤基地并保障对乌装备支持，行动计划于12月开始。</w:t>
      </w:r>
    </w:p>
    <w:p>
      <w:pPr>
        <w:pStyle w:val="Compact"/>
        <w:numPr>
          <w:ilvl w:val="0"/>
          <w:numId w:val="1018"/>
        </w:numPr>
      </w:pPr>
      <w:r>
        <w:rPr>
          <w:rFonts w:hint="eastAsia"/>
          <w:b/>
          <w:bCs/>
        </w:rPr>
        <w:t xml:space="preserve">解读：</w:t>
      </w:r>
      <w:r>
        <w:t xml:space="preserve"> </w:t>
      </w:r>
      <w:r>
        <w:rPr>
          <w:rFonts w:hint="eastAsia"/>
        </w:rPr>
        <w:t xml:space="preserve">时间表明确，但事件属于欧洲安全部署，对A股缺少直接业绩链条，不宜据此推导国内公司订单。</w:t>
      </w:r>
    </w:p>
    <w:bookmarkEnd w:id="27"/>
    <w:bookmarkStart w:id="28" w:name="也门胡塞武装称打击沙特机场和空军基地"/>
    <w:p>
      <w:pPr>
        <w:pStyle w:val="Heading3"/>
      </w:pPr>
      <w:r>
        <w:t xml:space="preserve">13. </w:t>
      </w:r>
      <w:r>
        <w:rPr>
          <w:rFonts w:hint="eastAsia"/>
        </w:rPr>
        <w:t xml:space="preserve">也门胡塞武装称打击沙特机场和空军基地</w:t>
      </w:r>
    </w:p>
    <w:p>
      <w:pPr>
        <w:pStyle w:val="Compact"/>
        <w:numPr>
          <w:ilvl w:val="0"/>
          <w:numId w:val="1019"/>
        </w:numPr>
      </w:pPr>
      <w:r>
        <w:rPr>
          <w:rFonts w:hint="eastAsia"/>
          <w:b/>
          <w:bCs/>
        </w:rPr>
        <w:t xml:space="preserve">信号强度：★★★★</w:t>
      </w:r>
      <w:r>
        <w:rPr>
          <w:rFonts w:hint="eastAsia"/>
        </w:rPr>
        <w:t xml:space="preserve">；</w:t>
      </w:r>
      <w:r>
        <w:rPr>
          <w:rFonts w:hint="eastAsia"/>
          <w:b/>
          <w:bCs/>
        </w:rPr>
        <w:t xml:space="preserve">A股影响：风险偏好偏空，能源与航空方向分化；时效：短期。</w:t>
      </w:r>
    </w:p>
    <w:p>
      <w:pPr>
        <w:pStyle w:val="Compact"/>
        <w:numPr>
          <w:ilvl w:val="0"/>
          <w:numId w:val="1019"/>
        </w:numPr>
      </w:pPr>
      <w:r>
        <w:rPr>
          <w:rFonts w:hint="eastAsia"/>
          <w:b/>
          <w:bCs/>
        </w:rPr>
        <w:t xml:space="preserve">可能受益：</w:t>
      </w:r>
      <w:r>
        <w:t xml:space="preserve"> </w:t>
      </w:r>
      <w:r>
        <w:rPr>
          <w:rFonts w:hint="eastAsia"/>
        </w:rPr>
        <w:t xml:space="preserve">油气、油运、黄金和安全防务；</w:t>
      </w:r>
      <w:r>
        <w:rPr>
          <w:rFonts w:hint="eastAsia"/>
          <w:b/>
          <w:bCs/>
        </w:rPr>
        <w:t xml:space="preserve">可能承压：</w:t>
      </w:r>
      <w:r>
        <w:t xml:space="preserve"> </w:t>
      </w:r>
      <w:r>
        <w:rPr>
          <w:rFonts w:hint="eastAsia"/>
        </w:rPr>
        <w:t xml:space="preserve">航空、外贸运输链及能源成本敏感行业。</w:t>
      </w:r>
    </w:p>
    <w:p>
      <w:pPr>
        <w:pStyle w:val="Compact"/>
        <w:numPr>
          <w:ilvl w:val="0"/>
          <w:numId w:val="1019"/>
        </w:numPr>
      </w:pPr>
      <w:r>
        <w:rPr>
          <w:rFonts w:hint="eastAsia"/>
          <w:b/>
          <w:bCs/>
        </w:rPr>
        <w:t xml:space="preserve">原文事实：</w:t>
      </w:r>
      <w:r>
        <w:t xml:space="preserve"> </w:t>
      </w:r>
      <w:r>
        <w:rPr>
          <w:rFonts w:hint="eastAsia"/>
        </w:rPr>
        <w:t xml:space="preserve">胡塞武装称使用导弹和无人机打击沙特两个国际机场及海米斯穆谢特空军基地，并称在曼德海峡方向击退政府军；多国联军称在利雅得北部拦截一枚导弹。也门交通部称亚丁国际机场遭袭，也门政府称政府军在马里卜、塔伊兹等方向取得进展。</w:t>
      </w:r>
    </w:p>
    <w:p>
      <w:pPr>
        <w:pStyle w:val="Compact"/>
        <w:numPr>
          <w:ilvl w:val="0"/>
          <w:numId w:val="1019"/>
        </w:numPr>
      </w:pPr>
      <w:r>
        <w:rPr>
          <w:rFonts w:hint="eastAsia"/>
          <w:b/>
          <w:bCs/>
        </w:rPr>
        <w:t xml:space="preserve">解读：</w:t>
      </w:r>
      <w:r>
        <w:t xml:space="preserve"> </w:t>
      </w:r>
      <w:r>
        <w:rPr>
          <w:rFonts w:hint="eastAsia"/>
        </w:rPr>
        <w:t xml:space="preserve">各方表述需要保持来源边界，节目没有确认机场长期关闭、航道中断或能源供应受损。对油价、运价和航空成本的影响应以连续市场和运营数据验证。</w:t>
      </w:r>
    </w:p>
    <w:bookmarkEnd w:id="28"/>
    <w:bookmarkStart w:id="29" w:name="国际快讯多艘商船在黑海遭袭一艘沉没"/>
    <w:p>
      <w:pPr>
        <w:pStyle w:val="Heading3"/>
      </w:pPr>
      <w:r>
        <w:t xml:space="preserve">14. </w:t>
      </w:r>
      <w:r>
        <w:rPr>
          <w:rFonts w:hint="eastAsia"/>
        </w:rPr>
        <w:t xml:space="preserve">国际快讯：多艘商船在黑海遭袭，一艘沉没</w:t>
      </w:r>
    </w:p>
    <w:p>
      <w:pPr>
        <w:pStyle w:val="Compact"/>
        <w:numPr>
          <w:ilvl w:val="0"/>
          <w:numId w:val="1020"/>
        </w:numPr>
      </w:pPr>
      <w:r>
        <w:rPr>
          <w:rFonts w:hint="eastAsia"/>
          <w:b/>
          <w:bCs/>
        </w:rPr>
        <w:t xml:space="preserve">信号强度：★★★★</w:t>
      </w:r>
      <w:r>
        <w:rPr>
          <w:rFonts w:hint="eastAsia"/>
        </w:rPr>
        <w:t xml:space="preserve">；</w:t>
      </w:r>
      <w:r>
        <w:rPr>
          <w:rFonts w:hint="eastAsia"/>
          <w:b/>
          <w:bCs/>
        </w:rPr>
        <w:t xml:space="preserve">A股影响：航运风险上升；时效：短期。</w:t>
      </w:r>
    </w:p>
    <w:p>
      <w:pPr>
        <w:pStyle w:val="Compact"/>
        <w:numPr>
          <w:ilvl w:val="0"/>
          <w:numId w:val="1020"/>
        </w:numPr>
      </w:pPr>
      <w:r>
        <w:rPr>
          <w:rFonts w:hint="eastAsia"/>
          <w:b/>
          <w:bCs/>
        </w:rPr>
        <w:t xml:space="preserve">可能受益：</w:t>
      </w:r>
      <w:r>
        <w:t xml:space="preserve"> </w:t>
      </w:r>
      <w:r>
        <w:rPr>
          <w:rFonts w:hint="eastAsia"/>
        </w:rPr>
        <w:t xml:space="preserve">油运、黄金和安全防务；</w:t>
      </w:r>
      <w:r>
        <w:rPr>
          <w:rFonts w:hint="eastAsia"/>
          <w:b/>
          <w:bCs/>
        </w:rPr>
        <w:t xml:space="preserve">可能承压：</w:t>
      </w:r>
      <w:r>
        <w:t xml:space="preserve"> </w:t>
      </w:r>
      <w:r>
        <w:rPr>
          <w:rFonts w:hint="eastAsia"/>
        </w:rPr>
        <w:t xml:space="preserve">黑海相关贸易、航运保险和外贸运输链。</w:t>
      </w:r>
    </w:p>
    <w:p>
      <w:pPr>
        <w:pStyle w:val="Compact"/>
        <w:numPr>
          <w:ilvl w:val="0"/>
          <w:numId w:val="1020"/>
        </w:numPr>
      </w:pPr>
      <w:r>
        <w:rPr>
          <w:rFonts w:hint="eastAsia"/>
          <w:b/>
          <w:bCs/>
        </w:rPr>
        <w:t xml:space="preserve">原文事实：</w:t>
      </w:r>
      <w:r>
        <w:t xml:space="preserve"> </w:t>
      </w:r>
      <w:r>
        <w:rPr>
          <w:rFonts w:hint="eastAsia"/>
        </w:rPr>
        <w:t xml:space="preserve">一艘悬挂利比里亚旗帜的油轮在俄黑海沿岸遭无人艇袭击起火，船员获救；两艘外国旗商船在保加利亚黑海专属经济区遭无人机袭击，其中一艘沉没并有人员失踪；袭击来源尚未确认。</w:t>
      </w:r>
    </w:p>
    <w:p>
      <w:pPr>
        <w:pStyle w:val="Compact"/>
        <w:numPr>
          <w:ilvl w:val="0"/>
          <w:numId w:val="1020"/>
        </w:numPr>
      </w:pPr>
      <w:r>
        <w:rPr>
          <w:rFonts w:hint="eastAsia"/>
          <w:b/>
          <w:bCs/>
        </w:rPr>
        <w:t xml:space="preserve">解读：</w:t>
      </w:r>
      <w:r>
        <w:t xml:space="preserve"> </w:t>
      </w:r>
      <w:r>
        <w:rPr>
          <w:rFonts w:hint="eastAsia"/>
        </w:rPr>
        <w:t xml:space="preserve">事件提高航行安全不确定性，但不能在来源未明且无航道关闭证据时直接推导持续运价上涨。应观察航运通告、保险费率、绕行和实际货流。</w:t>
      </w:r>
    </w:p>
    <w:bookmarkEnd w:id="29"/>
    <w:bookmarkStart w:id="30" w:name="国际快讯加沙冲突满三年袭击继续造成人员伤亡"/>
    <w:p>
      <w:pPr>
        <w:pStyle w:val="Heading3"/>
      </w:pPr>
      <w:r>
        <w:t xml:space="preserve">15. </w:t>
      </w:r>
      <w:r>
        <w:rPr>
          <w:rFonts w:hint="eastAsia"/>
        </w:rPr>
        <w:t xml:space="preserve">国际快讯：加沙冲突满三年，袭击继续造成人员伤亡</w:t>
      </w:r>
    </w:p>
    <w:p>
      <w:pPr>
        <w:pStyle w:val="Compact"/>
        <w:numPr>
          <w:ilvl w:val="0"/>
          <w:numId w:val="1021"/>
        </w:numPr>
      </w:pPr>
      <w:r>
        <w:rPr>
          <w:rFonts w:hint="eastAsia"/>
          <w:b/>
          <w:bCs/>
        </w:rPr>
        <w:t xml:space="preserve">信号强度：★★★★</w:t>
      </w:r>
      <w:r>
        <w:rPr>
          <w:rFonts w:hint="eastAsia"/>
        </w:rPr>
        <w:t xml:space="preserve">；</w:t>
      </w:r>
      <w:r>
        <w:rPr>
          <w:rFonts w:hint="eastAsia"/>
          <w:b/>
          <w:bCs/>
        </w:rPr>
        <w:t xml:space="preserve">A股影响：风险偏好偏空；时效：短期。</w:t>
      </w:r>
    </w:p>
    <w:p>
      <w:pPr>
        <w:pStyle w:val="Compact"/>
        <w:numPr>
          <w:ilvl w:val="0"/>
          <w:numId w:val="1021"/>
        </w:numPr>
      </w:pPr>
      <w:r>
        <w:rPr>
          <w:rFonts w:hint="eastAsia"/>
          <w:b/>
          <w:bCs/>
        </w:rPr>
        <w:t xml:space="preserve">相关方向：</w:t>
      </w:r>
      <w:r>
        <w:t xml:space="preserve"> </w:t>
      </w:r>
      <w:r>
        <w:rPr>
          <w:rFonts w:hint="eastAsia"/>
        </w:rPr>
        <w:t xml:space="preserve">黄金、能源和航运可能受地缘情绪影响。</w:t>
      </w:r>
    </w:p>
    <w:p>
      <w:pPr>
        <w:pStyle w:val="Compact"/>
        <w:numPr>
          <w:ilvl w:val="0"/>
          <w:numId w:val="1021"/>
        </w:numPr>
      </w:pPr>
      <w:r>
        <w:rPr>
          <w:rFonts w:hint="eastAsia"/>
          <w:b/>
          <w:bCs/>
        </w:rPr>
        <w:t xml:space="preserve">原文事实：</w:t>
      </w:r>
      <w:r>
        <w:t xml:space="preserve"> </w:t>
      </w:r>
      <w:r>
        <w:rPr>
          <w:rFonts w:hint="eastAsia"/>
        </w:rPr>
        <w:t xml:space="preserve">6日晚至10月7日加沙多地再遭袭并造成人员死亡；哈马斯谴责以方违反停火协议，以方此前称不会停止打击。联合国相关机构数据称，三年来超过7万人死亡，约210万当地民众中的几乎所有人流离失所；2023年10月7日袭击造成1200多人死亡。</w:t>
      </w:r>
    </w:p>
    <w:p>
      <w:pPr>
        <w:pStyle w:val="Compact"/>
        <w:numPr>
          <w:ilvl w:val="0"/>
          <w:numId w:val="1021"/>
        </w:numPr>
      </w:pPr>
      <w:r>
        <w:rPr>
          <w:rFonts w:hint="eastAsia"/>
          <w:b/>
          <w:bCs/>
        </w:rPr>
        <w:t xml:space="preserve">解读：</w:t>
      </w:r>
      <w:r>
        <w:t xml:space="preserve"> </w:t>
      </w:r>
      <w:r>
        <w:rPr>
          <w:rFonts w:hint="eastAsia"/>
        </w:rPr>
        <w:t xml:space="preserve">冲突延续不利于风险偏好，但原文没有提供新的能源供应或航道中断信息，对A股主要体现为事件风险而非确定业绩变化。</w:t>
      </w:r>
    </w:p>
    <w:bookmarkEnd w:id="30"/>
    <w:bookmarkStart w:id="31" w:name="国际快讯美报告称对伊朗战事损失81架军机"/>
    <w:p>
      <w:pPr>
        <w:pStyle w:val="Heading3"/>
      </w:pPr>
      <w:r>
        <w:t xml:space="preserve">16. </w:t>
      </w:r>
      <w:r>
        <w:rPr>
          <w:rFonts w:hint="eastAsia"/>
        </w:rPr>
        <w:t xml:space="preserve">国际快讯：美报告称对伊朗战事损失81架军机</w:t>
      </w:r>
    </w:p>
    <w:p>
      <w:pPr>
        <w:pStyle w:val="Compact"/>
        <w:numPr>
          <w:ilvl w:val="0"/>
          <w:numId w:val="1022"/>
        </w:numPr>
      </w:pPr>
      <w:r>
        <w:rPr>
          <w:rFonts w:hint="eastAsia"/>
          <w:b/>
          <w:bCs/>
        </w:rPr>
        <w:t xml:space="preserve">信号强度：★★★★</w:t>
      </w:r>
      <w:r>
        <w:rPr>
          <w:rFonts w:hint="eastAsia"/>
        </w:rPr>
        <w:t xml:space="preserve">；</w:t>
      </w:r>
      <w:r>
        <w:rPr>
          <w:rFonts w:hint="eastAsia"/>
          <w:b/>
          <w:bCs/>
        </w:rPr>
        <w:t xml:space="preserve">A股影响：中性偏风险；时效：短期至中期。</w:t>
      </w:r>
    </w:p>
    <w:p>
      <w:pPr>
        <w:pStyle w:val="Compact"/>
        <w:numPr>
          <w:ilvl w:val="0"/>
          <w:numId w:val="1022"/>
        </w:numPr>
      </w:pPr>
      <w:r>
        <w:rPr>
          <w:rFonts w:hint="eastAsia"/>
          <w:b/>
          <w:bCs/>
        </w:rPr>
        <w:t xml:space="preserve">相关方向：</w:t>
      </w:r>
      <w:r>
        <w:t xml:space="preserve"> </w:t>
      </w:r>
      <w:r>
        <w:rPr>
          <w:rFonts w:hint="eastAsia"/>
        </w:rPr>
        <w:t xml:space="preserve">安全防务、无人系统、航空装备保障与避险资产存在主题映射。</w:t>
      </w:r>
    </w:p>
    <w:p>
      <w:pPr>
        <w:pStyle w:val="Compact"/>
        <w:numPr>
          <w:ilvl w:val="0"/>
          <w:numId w:val="1022"/>
        </w:numPr>
      </w:pPr>
      <w:r>
        <w:rPr>
          <w:rFonts w:hint="eastAsia"/>
          <w:b/>
          <w:bCs/>
        </w:rPr>
        <w:t xml:space="preserve">原文事实：</w:t>
      </w:r>
      <w:r>
        <w:t xml:space="preserve"> </w:t>
      </w:r>
      <w:r>
        <w:rPr>
          <w:rFonts w:hint="eastAsia"/>
        </w:rPr>
        <w:t xml:space="preserve">美国国会相关机构报告称，自2月28日美国和以色列对伊朗发起军事打击以来，共有81架美军飞机受损或被毁；美国国会将评估战争环境、敌方火力及是否调整装备、战术或基地部署。</w:t>
      </w:r>
    </w:p>
    <w:p>
      <w:pPr>
        <w:pStyle w:val="Compact"/>
        <w:numPr>
          <w:ilvl w:val="0"/>
          <w:numId w:val="1022"/>
        </w:numPr>
      </w:pPr>
      <w:r>
        <w:rPr>
          <w:rFonts w:hint="eastAsia"/>
          <w:b/>
          <w:bCs/>
        </w:rPr>
        <w:t xml:space="preserve">解读：</w:t>
      </w:r>
      <w:r>
        <w:t xml:space="preserve"> </w:t>
      </w:r>
      <w:r>
        <w:rPr>
          <w:rFonts w:hint="eastAsia"/>
        </w:rPr>
        <w:t xml:space="preserve">报告反映冲突成本及装备调整可能性，但没有涉及中国企业订单。A股映射主要是防务情绪，不能将海外损失数量直接转换为国内业绩。</w:t>
      </w:r>
    </w:p>
    <w:bookmarkEnd w:id="31"/>
    <w:bookmarkStart w:id="32" w:name="国际快讯赴美大熊猫将于11月6日在亚特兰大亮相"/>
    <w:p>
      <w:pPr>
        <w:pStyle w:val="Heading3"/>
      </w:pPr>
      <w:r>
        <w:t xml:space="preserve">17. </w:t>
      </w:r>
      <w:r>
        <w:rPr>
          <w:rFonts w:hint="eastAsia"/>
        </w:rPr>
        <w:t xml:space="preserve">国际快讯：赴美大熊猫将于11月6日在亚特兰大亮相</w:t>
      </w:r>
    </w:p>
    <w:p>
      <w:pPr>
        <w:pStyle w:val="Compact"/>
        <w:numPr>
          <w:ilvl w:val="0"/>
          <w:numId w:val="1023"/>
        </w:numPr>
      </w:pPr>
      <w:r>
        <w:rPr>
          <w:rFonts w:hint="eastAsia"/>
          <w:b/>
          <w:bCs/>
        </w:rPr>
        <w:t xml:space="preserve">信号强度：★★</w:t>
      </w:r>
      <w:r>
        <w:rPr>
          <w:rFonts w:hint="eastAsia"/>
        </w:rPr>
        <w:t xml:space="preserve">；</w:t>
      </w:r>
      <w:r>
        <w:rPr>
          <w:rFonts w:hint="eastAsia"/>
          <w:b/>
          <w:bCs/>
        </w:rPr>
        <w:t xml:space="preserve">A股影响：总体中性；时效：长期。</w:t>
      </w:r>
    </w:p>
    <w:p>
      <w:pPr>
        <w:pStyle w:val="Compact"/>
        <w:numPr>
          <w:ilvl w:val="0"/>
          <w:numId w:val="1023"/>
        </w:numPr>
      </w:pPr>
      <w:r>
        <w:rPr>
          <w:rFonts w:hint="eastAsia"/>
          <w:b/>
          <w:bCs/>
        </w:rPr>
        <w:t xml:space="preserve">相关方向：</w:t>
      </w:r>
      <w:r>
        <w:t xml:space="preserve"> </w:t>
      </w:r>
      <w:r>
        <w:rPr>
          <w:rFonts w:hint="eastAsia"/>
        </w:rPr>
        <w:t xml:space="preserve">文化交流、动物园文旅和国际人文交流仅有弱映射。</w:t>
      </w:r>
    </w:p>
    <w:p>
      <w:pPr>
        <w:pStyle w:val="Compact"/>
        <w:numPr>
          <w:ilvl w:val="0"/>
          <w:numId w:val="1023"/>
        </w:numPr>
      </w:pPr>
      <w:r>
        <w:rPr>
          <w:rFonts w:hint="eastAsia"/>
          <w:b/>
          <w:bCs/>
        </w:rPr>
        <w:t xml:space="preserve">原文事实：</w:t>
      </w:r>
      <w:r>
        <w:t xml:space="preserve"> </w:t>
      </w:r>
      <w:r>
        <w:rPr>
          <w:rFonts w:hint="eastAsia"/>
        </w:rPr>
        <w:t xml:space="preserve">大熊猫“平平”和“福双”9月27日抵达亚特兰大，处于隔离适应期，计划11月6日在翻新后的馆舍亮相。</w:t>
      </w:r>
    </w:p>
    <w:p>
      <w:pPr>
        <w:pStyle w:val="Compact"/>
        <w:numPr>
          <w:ilvl w:val="0"/>
          <w:numId w:val="1023"/>
        </w:numPr>
      </w:pPr>
      <w:r>
        <w:rPr>
          <w:rFonts w:hint="eastAsia"/>
          <w:b/>
          <w:bCs/>
        </w:rPr>
        <w:t xml:space="preserve">解读：</w:t>
      </w:r>
      <w:r>
        <w:t xml:space="preserve"> </w:t>
      </w:r>
      <w:r>
        <w:rPr>
          <w:rFonts w:hint="eastAsia"/>
        </w:rPr>
        <w:t xml:space="preserve">该条体现人文交流，不包含产业政策、投资规模或可量化的A股业绩催化。</w:t>
      </w:r>
    </w:p>
    <w:bookmarkEnd w:id="32"/>
    <w:bookmarkStart w:id="33" w:name="神州锦绣"/>
    <w:p>
      <w:pPr>
        <w:pStyle w:val="Heading3"/>
      </w:pPr>
      <w:r>
        <w:t xml:space="preserve">18. </w:t>
      </w:r>
      <w:r>
        <w:rPr>
          <w:rFonts w:hint="eastAsia"/>
        </w:rPr>
        <w:t xml:space="preserve">神州锦绣</w:t>
      </w:r>
    </w:p>
    <w:p>
      <w:pPr>
        <w:pStyle w:val="Compact"/>
        <w:numPr>
          <w:ilvl w:val="0"/>
          <w:numId w:val="1024"/>
        </w:numPr>
      </w:pPr>
      <w:r>
        <w:rPr>
          <w:rFonts w:hint="eastAsia"/>
          <w:b/>
          <w:bCs/>
        </w:rPr>
        <w:t xml:space="preserve">信号强度：★</w:t>
      </w:r>
      <w:r>
        <w:rPr>
          <w:rFonts w:hint="eastAsia"/>
        </w:rPr>
        <w:t xml:space="preserve">；</w:t>
      </w:r>
      <w:r>
        <w:rPr>
          <w:rFonts w:hint="eastAsia"/>
          <w:b/>
          <w:bCs/>
        </w:rPr>
        <w:t xml:space="preserve">A股影响：中性。</w:t>
      </w:r>
    </w:p>
    <w:p>
      <w:pPr>
        <w:pStyle w:val="Compact"/>
        <w:numPr>
          <w:ilvl w:val="0"/>
          <w:numId w:val="1024"/>
        </w:numPr>
      </w:pPr>
      <w:r>
        <w:rPr>
          <w:rFonts w:hint="eastAsia"/>
          <w:b/>
          <w:bCs/>
        </w:rPr>
        <w:t xml:space="preserve">相关方向：</w:t>
      </w:r>
      <w:r>
        <w:t xml:space="preserve"> </w:t>
      </w:r>
      <w:r>
        <w:rPr>
          <w:rFonts w:hint="eastAsia"/>
        </w:rPr>
        <w:t xml:space="preserve">生态文旅和生态文明仅作长期观察。</w:t>
      </w:r>
    </w:p>
    <w:p>
      <w:pPr>
        <w:pStyle w:val="Compact"/>
        <w:numPr>
          <w:ilvl w:val="0"/>
          <w:numId w:val="1024"/>
        </w:numPr>
      </w:pPr>
      <w:r>
        <w:rPr>
          <w:rFonts w:hint="eastAsia"/>
          <w:b/>
          <w:bCs/>
        </w:rPr>
        <w:t xml:space="preserve">原文事实：</w:t>
      </w:r>
      <w:r>
        <w:t xml:space="preserve"> </w:t>
      </w:r>
      <w:r>
        <w:rPr>
          <w:rFonts w:hint="eastAsia"/>
        </w:rPr>
        <w:t xml:space="preserve">节目以绿水青山、层林尽染和禽鸟景观收尾，未提供新增政策、项目或数据。</w:t>
      </w:r>
    </w:p>
    <w:p>
      <w:pPr>
        <w:pStyle w:val="Compact"/>
        <w:numPr>
          <w:ilvl w:val="0"/>
          <w:numId w:val="1024"/>
        </w:numPr>
      </w:pPr>
      <w:r>
        <w:rPr>
          <w:rFonts w:hint="eastAsia"/>
          <w:b/>
          <w:bCs/>
        </w:rPr>
        <w:t xml:space="preserve">解读：</w:t>
      </w:r>
      <w:r>
        <w:t xml:space="preserve"> </w:t>
      </w:r>
      <w:r>
        <w:rPr>
          <w:rFonts w:hint="eastAsia"/>
        </w:rPr>
        <w:t xml:space="preserve">属于生态形象展示，不构成独立、可量化的资本市场催化。</w:t>
      </w:r>
    </w:p>
    <w:bookmarkEnd w:id="33"/>
    <w:bookmarkEnd w:id="34"/>
    <w:bookmarkStart w:id="35" w:name="四板块影响汇总"/>
    <w:p>
      <w:pPr>
        <w:pStyle w:val="Heading2"/>
      </w:pPr>
      <w:r>
        <w:rPr>
          <w:rFonts w:hint="eastAsia"/>
        </w:rPr>
        <w:t xml:space="preserve">四、板块影响汇总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板块方向</w:t>
            </w:r>
          </w:p>
        </w:tc>
        <w:tc>
          <w:tcPr/>
          <w:p>
            <w:pPr>
              <w:pStyle w:val="Compact"/>
            </w:pPr>
            <w:r>
              <w:rPr>
                <w:rFonts w:hint="eastAsia"/>
              </w:rPr>
              <w:t xml:space="preserve">影响判断</w:t>
            </w:r>
          </w:p>
        </w:tc>
        <w:tc>
          <w:tcPr/>
          <w:p>
            <w:pPr>
              <w:pStyle w:val="Compact"/>
            </w:pPr>
            <w:r>
              <w:rPr>
                <w:rFonts w:hint="eastAsia"/>
              </w:rPr>
              <w:t xml:space="preserve">驱动新闻</w:t>
            </w:r>
          </w:p>
        </w:tc>
        <w:tc>
          <w:tcPr/>
          <w:p>
            <w:pPr>
              <w:pStyle w:val="Compact"/>
            </w:pPr>
            <w:r>
              <w:rPr>
                <w:rFonts w:hint="eastAsia"/>
              </w:rPr>
              <w:t xml:space="preserve">信号强度</w:t>
            </w:r>
          </w:p>
        </w:tc>
        <w:tc>
          <w:tcPr/>
          <w:p>
            <w:pPr>
              <w:pStyle w:val="Compact"/>
            </w:pPr>
            <w:r>
              <w:rPr>
                <w:rFonts w:hint="eastAsia"/>
              </w:rPr>
              <w:t xml:space="preserve">主要验证点</w:t>
            </w:r>
          </w:p>
        </w:tc>
      </w:tr>
      <w:tr>
        <w:tc>
          <w:tcPr/>
          <w:p>
            <w:pPr>
              <w:pStyle w:val="Compact"/>
            </w:pPr>
            <w:r>
              <w:rPr>
                <w:rFonts w:hint="eastAsia"/>
              </w:rPr>
              <w:t xml:space="preserve">智慧物流/供应链软件</w:t>
            </w:r>
          </w:p>
        </w:tc>
        <w:tc>
          <w:tcPr/>
          <w:p>
            <w:pPr>
              <w:pStyle w:val="Compact"/>
            </w:pPr>
            <w:r>
              <w:rPr>
                <w:rFonts w:hint="eastAsia"/>
              </w:rPr>
              <w:t xml:space="preserve">中期利好</w:t>
            </w:r>
          </w:p>
        </w:tc>
        <w:tc>
          <w:tcPr/>
          <w:p>
            <w:pPr>
              <w:pStyle w:val="Compact"/>
            </w:pPr>
            <w:r>
              <w:rPr>
                <w:rFonts w:hint="eastAsia"/>
              </w:rPr>
              <w:t xml:space="preserve">物流网由“布点畅线”转向“成链成网”</w:t>
            </w:r>
          </w:p>
        </w:tc>
        <w:tc>
          <w:tcPr/>
          <w:p>
            <w:pPr>
              <w:pStyle w:val="Compact"/>
            </w:pPr>
            <w:r>
              <w:t xml:space="preserve">★★★★★</w:t>
            </w:r>
          </w:p>
        </w:tc>
        <w:tc>
          <w:tcPr/>
          <w:p>
            <w:pPr>
              <w:pStyle w:val="Compact"/>
            </w:pPr>
            <w:r>
              <w:rPr>
                <w:rFonts w:hint="eastAsia"/>
              </w:rPr>
              <w:t xml:space="preserve">项目、订单、系统使用率、降本效果</w:t>
            </w:r>
          </w:p>
        </w:tc>
      </w:tr>
      <w:tr>
        <w:tc>
          <w:tcPr/>
          <w:p>
            <w:pPr>
              <w:pStyle w:val="Compact"/>
            </w:pPr>
            <w:r>
              <w:rPr>
                <w:rFonts w:hint="eastAsia"/>
              </w:rPr>
              <w:t xml:space="preserve">多式联运/国家物流枢纽</w:t>
            </w:r>
          </w:p>
        </w:tc>
        <w:tc>
          <w:tcPr/>
          <w:p>
            <w:pPr>
              <w:pStyle w:val="Compact"/>
            </w:pPr>
            <w:r>
              <w:rPr>
                <w:rFonts w:hint="eastAsia"/>
              </w:rPr>
              <w:t xml:space="preserve">中长期利好</w:t>
            </w:r>
          </w:p>
        </w:tc>
        <w:tc>
          <w:tcPr/>
          <w:p>
            <w:pPr>
              <w:pStyle w:val="Compact"/>
            </w:pPr>
            <w:r>
              <w:rPr>
                <w:rFonts w:hint="eastAsia"/>
              </w:rPr>
              <w:t xml:space="preserve">181个枢纽互联、约1000个货运节点提升</w:t>
            </w:r>
          </w:p>
        </w:tc>
        <w:tc>
          <w:tcPr/>
          <w:p>
            <w:pPr>
              <w:pStyle w:val="Compact"/>
            </w:pPr>
            <w:r>
              <w:t xml:space="preserve">★★★★★</w:t>
            </w:r>
          </w:p>
        </w:tc>
        <w:tc>
          <w:tcPr/>
          <w:p>
            <w:pPr>
              <w:pStyle w:val="Compact"/>
            </w:pPr>
            <w:r>
              <w:rPr>
                <w:rFonts w:hint="eastAsia"/>
              </w:rPr>
              <w:t xml:space="preserve">节点改造、货量、周转效率、回款</w:t>
            </w:r>
          </w:p>
        </w:tc>
      </w:tr>
      <w:tr>
        <w:tc>
          <w:tcPr/>
          <w:p>
            <w:pPr>
              <w:pStyle w:val="Compact"/>
            </w:pPr>
            <w:r>
              <w:rPr>
                <w:rFonts w:hint="eastAsia"/>
              </w:rPr>
              <w:t xml:space="preserve">智能仓储/新能源物流装备</w:t>
            </w:r>
          </w:p>
        </w:tc>
        <w:tc>
          <w:tcPr/>
          <w:p>
            <w:pPr>
              <w:pStyle w:val="Compact"/>
            </w:pPr>
            <w:r>
              <w:rPr>
                <w:rFonts w:hint="eastAsia"/>
              </w:rPr>
              <w:t xml:space="preserve">中长期利好</w:t>
            </w:r>
          </w:p>
        </w:tc>
        <w:tc>
          <w:tcPr/>
          <w:p>
            <w:pPr>
              <w:pStyle w:val="Compact"/>
            </w:pPr>
            <w:r>
              <w:rPr>
                <w:rFonts w:hint="eastAsia"/>
              </w:rPr>
              <w:t xml:space="preserve">物流网带动新需求</w:t>
            </w:r>
          </w:p>
        </w:tc>
        <w:tc>
          <w:tcPr/>
          <w:p>
            <w:pPr>
              <w:pStyle w:val="Compact"/>
            </w:pPr>
            <w:r>
              <w:t xml:space="preserve">★★★★</w:t>
            </w:r>
          </w:p>
        </w:tc>
        <w:tc>
          <w:tcPr/>
          <w:p>
            <w:pPr>
              <w:pStyle w:val="Compact"/>
            </w:pPr>
            <w:r>
              <w:rPr>
                <w:rFonts w:hint="eastAsia"/>
              </w:rPr>
              <w:t xml:space="preserve">设备订单、利用率、成本与现金流</w:t>
            </w:r>
          </w:p>
        </w:tc>
      </w:tr>
      <w:tr>
        <w:tc>
          <w:tcPr/>
          <w:p>
            <w:pPr>
              <w:pStyle w:val="Compact"/>
            </w:pPr>
            <w:r>
              <w:rPr>
                <w:rFonts w:hint="eastAsia"/>
              </w:rPr>
              <w:t xml:space="preserve">网络文学/网络影视剧/游戏出海</w:t>
            </w:r>
          </w:p>
        </w:tc>
        <w:tc>
          <w:tcPr/>
          <w:p>
            <w:pPr>
              <w:pStyle w:val="Compact"/>
            </w:pPr>
            <w:r>
              <w:rPr>
                <w:rFonts w:hint="eastAsia"/>
              </w:rPr>
              <w:t xml:space="preserve">中长期利好</w:t>
            </w:r>
          </w:p>
        </w:tc>
        <w:tc>
          <w:tcPr/>
          <w:p>
            <w:pPr>
              <w:pStyle w:val="Compact"/>
            </w:pPr>
            <w:r>
              <w:rPr>
                <w:rFonts w:hint="eastAsia"/>
              </w:rPr>
              <w:t xml:space="preserve">文化出海“新三样”</w:t>
            </w:r>
          </w:p>
        </w:tc>
        <w:tc>
          <w:tcPr/>
          <w:p>
            <w:pPr>
              <w:pStyle w:val="Compact"/>
            </w:pPr>
            <w:r>
              <w:t xml:space="preserve">★★★★</w:t>
            </w:r>
          </w:p>
        </w:tc>
        <w:tc>
          <w:tcPr/>
          <w:p>
            <w:pPr>
              <w:pStyle w:val="Compact"/>
            </w:pPr>
            <w:r>
              <w:rPr>
                <w:rFonts w:hint="eastAsia"/>
              </w:rPr>
              <w:t xml:space="preserve">海外用户、流水、版权与合规</w:t>
            </w:r>
          </w:p>
        </w:tc>
      </w:tr>
      <w:tr>
        <w:tc>
          <w:tcPr/>
          <w:p>
            <w:pPr>
              <w:pStyle w:val="Compact"/>
            </w:pPr>
            <w:r>
              <w:rPr>
                <w:rFonts w:hint="eastAsia"/>
              </w:rPr>
              <w:t xml:space="preserve">文博文创/文物数字化</w:t>
            </w:r>
          </w:p>
        </w:tc>
        <w:tc>
          <w:tcPr/>
          <w:p>
            <w:pPr>
              <w:pStyle w:val="Compact"/>
            </w:pPr>
            <w:r>
              <w:rPr>
                <w:rFonts w:hint="eastAsia"/>
              </w:rPr>
              <w:t xml:space="preserve">中长期偏利好</w:t>
            </w:r>
          </w:p>
        </w:tc>
        <w:tc>
          <w:tcPr/>
          <w:p>
            <w:pPr>
              <w:pStyle w:val="Compact"/>
            </w:pPr>
            <w:r>
              <w:rPr>
                <w:rFonts w:hint="eastAsia"/>
              </w:rPr>
              <w:t xml:space="preserve">文物普查、文保法及“十五五”规划</w:t>
            </w:r>
          </w:p>
        </w:tc>
        <w:tc>
          <w:tcPr/>
          <w:p>
            <w:pPr>
              <w:pStyle w:val="Compact"/>
            </w:pPr>
            <w:r>
              <w:t xml:space="preserve">★★★★</w:t>
            </w:r>
          </w:p>
        </w:tc>
        <w:tc>
          <w:tcPr/>
          <w:p>
            <w:pPr>
              <w:pStyle w:val="Compact"/>
            </w:pPr>
            <w:r>
              <w:rPr>
                <w:rFonts w:hint="eastAsia"/>
              </w:rPr>
              <w:t xml:space="preserve">预算、招标、项目验收与回款</w:t>
            </w:r>
          </w:p>
        </w:tc>
      </w:tr>
      <w:tr>
        <w:tc>
          <w:tcPr/>
          <w:p>
            <w:pPr>
              <w:pStyle w:val="Compact"/>
            </w:pPr>
            <w:r>
              <w:rPr>
                <w:rFonts w:hint="eastAsia"/>
              </w:rPr>
              <w:t xml:space="preserve">入境游/酒店/景区</w:t>
            </w:r>
          </w:p>
        </w:tc>
        <w:tc>
          <w:tcPr/>
          <w:p>
            <w:pPr>
              <w:pStyle w:val="Compact"/>
            </w:pPr>
            <w:r>
              <w:rPr>
                <w:rFonts w:hint="eastAsia"/>
              </w:rPr>
              <w:t xml:space="preserve">短中期偏利好</w:t>
            </w:r>
          </w:p>
        </w:tc>
        <w:tc>
          <w:tcPr/>
          <w:p>
            <w:pPr>
              <w:pStyle w:val="Compact"/>
            </w:pPr>
            <w:r>
              <w:rPr>
                <w:rFonts w:hint="eastAsia"/>
              </w:rPr>
              <w:t xml:space="preserve">入境客流增长、停留时长提升</w:t>
            </w:r>
          </w:p>
        </w:tc>
        <w:tc>
          <w:tcPr/>
          <w:p>
            <w:pPr>
              <w:pStyle w:val="Compact"/>
            </w:pPr>
            <w:r>
              <w:t xml:space="preserve">★★★★</w:t>
            </w:r>
          </w:p>
        </w:tc>
        <w:tc>
          <w:tcPr/>
          <w:p>
            <w:pPr>
              <w:pStyle w:val="Compact"/>
            </w:pPr>
            <w:r>
              <w:rPr>
                <w:rFonts w:hint="eastAsia"/>
              </w:rPr>
              <w:t xml:space="preserve">客单价、入住率、国际运力</w:t>
            </w:r>
          </w:p>
        </w:tc>
      </w:tr>
      <w:tr>
        <w:tc>
          <w:tcPr/>
          <w:p>
            <w:pPr>
              <w:pStyle w:val="Compact"/>
            </w:pPr>
            <w:r>
              <w:rPr>
                <w:rFonts w:hint="eastAsia"/>
              </w:rPr>
              <w:t xml:space="preserve">跨境支付/智慧文旅/离境退税</w:t>
            </w:r>
          </w:p>
        </w:tc>
        <w:tc>
          <w:tcPr/>
          <w:p>
            <w:pPr>
              <w:pStyle w:val="Compact"/>
            </w:pPr>
            <w:r>
              <w:rPr>
                <w:rFonts w:hint="eastAsia"/>
              </w:rPr>
              <w:t xml:space="preserve">中期偏利好</w:t>
            </w:r>
          </w:p>
        </w:tc>
        <w:tc>
          <w:tcPr/>
          <w:p>
            <w:pPr>
              <w:pStyle w:val="Compact"/>
            </w:pPr>
            <w:r>
              <w:rPr>
                <w:rFonts w:hint="eastAsia"/>
              </w:rPr>
              <w:t xml:space="preserve">上海、浙江服务平台升级</w:t>
            </w:r>
          </w:p>
        </w:tc>
        <w:tc>
          <w:tcPr/>
          <w:p>
            <w:pPr>
              <w:pStyle w:val="Compact"/>
            </w:pPr>
            <w:r>
              <w:t xml:space="preserve">★★★★</w:t>
            </w:r>
          </w:p>
        </w:tc>
        <w:tc>
          <w:tcPr/>
          <w:p>
            <w:pPr>
              <w:pStyle w:val="Compact"/>
            </w:pPr>
            <w:r>
              <w:rPr>
                <w:rFonts w:hint="eastAsia"/>
              </w:rPr>
              <w:t xml:space="preserve">用户量、交易量、服务收入</w:t>
            </w:r>
          </w:p>
        </w:tc>
      </w:tr>
      <w:tr>
        <w:tc>
          <w:tcPr/>
          <w:p>
            <w:pPr>
              <w:pStyle w:val="Compact"/>
            </w:pPr>
            <w:r>
              <w:rPr>
                <w:rFonts w:hint="eastAsia"/>
              </w:rPr>
              <w:t xml:space="preserve">公园夜游/本地生活</w:t>
            </w:r>
          </w:p>
        </w:tc>
        <w:tc>
          <w:tcPr/>
          <w:p>
            <w:pPr>
              <w:pStyle w:val="Compact"/>
            </w:pPr>
            <w:r>
              <w:rPr>
                <w:rFonts w:hint="eastAsia"/>
              </w:rPr>
              <w:t xml:space="preserve">短期偏利好</w:t>
            </w:r>
          </w:p>
        </w:tc>
        <w:tc>
          <w:tcPr/>
          <w:p>
            <w:pPr>
              <w:pStyle w:val="Compact"/>
            </w:pPr>
            <w:r>
              <w:rPr>
                <w:rFonts w:hint="eastAsia"/>
              </w:rPr>
              <w:t xml:space="preserve">2.1亿人次、消费超52亿元</w:t>
            </w:r>
          </w:p>
        </w:tc>
        <w:tc>
          <w:tcPr/>
          <w:p>
            <w:pPr>
              <w:pStyle w:val="Compact"/>
            </w:pPr>
            <w:r>
              <w:t xml:space="preserve">★★★</w:t>
            </w:r>
          </w:p>
        </w:tc>
        <w:tc>
          <w:tcPr/>
          <w:p>
            <w:pPr>
              <w:pStyle w:val="Compact"/>
            </w:pPr>
            <w:r>
              <w:rPr>
                <w:rFonts w:hint="eastAsia"/>
              </w:rPr>
              <w:t xml:space="preserve">客单价、付费转化、淡季运营</w:t>
            </w:r>
          </w:p>
        </w:tc>
      </w:tr>
      <w:tr>
        <w:tc>
          <w:tcPr/>
          <w:p>
            <w:pPr>
              <w:pStyle w:val="Compact"/>
            </w:pPr>
            <w:r>
              <w:rPr>
                <w:rFonts w:hint="eastAsia"/>
              </w:rPr>
              <w:t xml:space="preserve">养老设施/适老化改造</w:t>
            </w:r>
          </w:p>
        </w:tc>
        <w:tc>
          <w:tcPr/>
          <w:p>
            <w:pPr>
              <w:pStyle w:val="Compact"/>
            </w:pPr>
            <w:r>
              <w:rPr>
                <w:rFonts w:hint="eastAsia"/>
              </w:rPr>
              <w:t xml:space="preserve">中长期偏利好</w:t>
            </w:r>
          </w:p>
        </w:tc>
        <w:tc>
          <w:tcPr/>
          <w:p>
            <w:pPr>
              <w:pStyle w:val="Compact"/>
            </w:pPr>
            <w:r>
              <w:rPr>
                <w:rFonts w:hint="eastAsia"/>
              </w:rPr>
              <w:t xml:space="preserve">建筑设计标准修订，2027年实施</w:t>
            </w:r>
          </w:p>
        </w:tc>
        <w:tc>
          <w:tcPr/>
          <w:p>
            <w:pPr>
              <w:pStyle w:val="Compact"/>
            </w:pPr>
            <w:r>
              <w:t xml:space="preserve">★★★★</w:t>
            </w:r>
          </w:p>
        </w:tc>
        <w:tc>
          <w:tcPr/>
          <w:p>
            <w:pPr>
              <w:pStyle w:val="Compact"/>
            </w:pPr>
            <w:r>
              <w:rPr>
                <w:rFonts w:hint="eastAsia"/>
              </w:rPr>
              <w:t xml:space="preserve">配套细则、改造范围、项目预算</w:t>
            </w:r>
          </w:p>
        </w:tc>
      </w:tr>
      <w:tr>
        <w:tc>
          <w:tcPr/>
          <w:p>
            <w:pPr>
              <w:pStyle w:val="Compact"/>
            </w:pPr>
            <w:r>
              <w:rPr>
                <w:rFonts w:hint="eastAsia"/>
              </w:rPr>
              <w:t xml:space="preserve">中老铁路/跨境物流</w:t>
            </w:r>
          </w:p>
        </w:tc>
        <w:tc>
          <w:tcPr/>
          <w:p>
            <w:pPr>
              <w:pStyle w:val="Compact"/>
            </w:pPr>
            <w:r>
              <w:rPr>
                <w:rFonts w:hint="eastAsia"/>
              </w:rPr>
              <w:t xml:space="preserve">中期偏利好</w:t>
            </w:r>
          </w:p>
        </w:tc>
        <w:tc>
          <w:tcPr/>
          <w:p>
            <w:pPr>
              <w:pStyle w:val="Compact"/>
            </w:pPr>
            <w:r>
              <w:rPr>
                <w:rFonts w:hint="eastAsia"/>
              </w:rPr>
              <w:t xml:space="preserve">货值超1004亿元、货量超2077万吨</w:t>
            </w:r>
          </w:p>
        </w:tc>
        <w:tc>
          <w:tcPr/>
          <w:p>
            <w:pPr>
              <w:pStyle w:val="Compact"/>
            </w:pPr>
            <w:r>
              <w:t xml:space="preserve">★★★</w:t>
            </w:r>
          </w:p>
        </w:tc>
        <w:tc>
          <w:tcPr/>
          <w:p>
            <w:pPr>
              <w:pStyle w:val="Compact"/>
            </w:pPr>
            <w:r>
              <w:rPr>
                <w:rFonts w:hint="eastAsia"/>
              </w:rPr>
              <w:t xml:space="preserve">货量、运价、运营份额和利润率</w:t>
            </w:r>
          </w:p>
        </w:tc>
      </w:tr>
      <w:tr>
        <w:tc>
          <w:tcPr/>
          <w:p>
            <w:pPr>
              <w:pStyle w:val="Compact"/>
            </w:pPr>
            <w:r>
              <w:rPr>
                <w:rFonts w:hint="eastAsia"/>
              </w:rPr>
              <w:t xml:space="preserve">生态修复/节水治沙</w:t>
            </w:r>
          </w:p>
        </w:tc>
        <w:tc>
          <w:tcPr/>
          <w:p>
            <w:pPr>
              <w:pStyle w:val="Compact"/>
            </w:pPr>
            <w:r>
              <w:rPr>
                <w:rFonts w:hint="eastAsia"/>
              </w:rPr>
              <w:t xml:space="preserve">中长期偏利好</w:t>
            </w:r>
          </w:p>
        </w:tc>
        <w:tc>
          <w:tcPr/>
          <w:p>
            <w:pPr>
              <w:pStyle w:val="Compact"/>
            </w:pPr>
            <w:r>
              <w:rPr>
                <w:rFonts w:hint="eastAsia"/>
              </w:rPr>
              <w:t xml:space="preserve">“三北”工程节点明确</w:t>
            </w:r>
          </w:p>
        </w:tc>
        <w:tc>
          <w:tcPr/>
          <w:p>
            <w:pPr>
              <w:pStyle w:val="Compact"/>
            </w:pPr>
            <w:r>
              <w:t xml:space="preserve">★★★★</w:t>
            </w:r>
          </w:p>
        </w:tc>
        <w:tc>
          <w:tcPr/>
          <w:p>
            <w:pPr>
              <w:pStyle w:val="Compact"/>
            </w:pPr>
            <w:r>
              <w:rPr>
                <w:rFonts w:hint="eastAsia"/>
              </w:rPr>
              <w:t xml:space="preserve">招投标、施工、验收和回款</w:t>
            </w:r>
          </w:p>
        </w:tc>
      </w:tr>
      <w:tr>
        <w:tc>
          <w:tcPr/>
          <w:p>
            <w:pPr>
              <w:pStyle w:val="Compact"/>
            </w:pPr>
            <w:r>
              <w:rPr>
                <w:rFonts w:hint="eastAsia"/>
              </w:rPr>
              <w:t xml:space="preserve">油气/油运/黄金</w:t>
            </w:r>
          </w:p>
        </w:tc>
        <w:tc>
          <w:tcPr/>
          <w:p>
            <w:pPr>
              <w:pStyle w:val="Compact"/>
            </w:pPr>
            <w:r>
              <w:rPr>
                <w:rFonts w:hint="eastAsia"/>
              </w:rPr>
              <w:t xml:space="preserve">事件驱动偏利好</w:t>
            </w:r>
          </w:p>
        </w:tc>
        <w:tc>
          <w:tcPr/>
          <w:p>
            <w:pPr>
              <w:pStyle w:val="Compact"/>
            </w:pPr>
            <w:r>
              <w:rPr>
                <w:rFonts w:hint="eastAsia"/>
              </w:rPr>
              <w:t xml:space="preserve">中东、曼德海峡及黑海安全风险</w:t>
            </w:r>
          </w:p>
        </w:tc>
        <w:tc>
          <w:tcPr/>
          <w:p>
            <w:pPr>
              <w:pStyle w:val="Compact"/>
            </w:pPr>
            <w:r>
              <w:t xml:space="preserve">★★★★</w:t>
            </w:r>
          </w:p>
        </w:tc>
        <w:tc>
          <w:tcPr/>
          <w:p>
            <w:pPr>
              <w:pStyle w:val="Compact"/>
            </w:pPr>
            <w:r>
              <w:rPr>
                <w:rFonts w:hint="eastAsia"/>
              </w:rPr>
              <w:t xml:space="preserve">通航、油价、运价、保险费率</w:t>
            </w:r>
          </w:p>
        </w:tc>
      </w:tr>
      <w:tr>
        <w:tc>
          <w:tcPr/>
          <w:p>
            <w:pPr>
              <w:pStyle w:val="Compact"/>
            </w:pPr>
            <w:r>
              <w:rPr>
                <w:rFonts w:hint="eastAsia"/>
              </w:rPr>
              <w:t xml:space="preserve">航空/外贸运输链</w:t>
            </w:r>
          </w:p>
        </w:tc>
        <w:tc>
          <w:tcPr/>
          <w:p>
            <w:pPr>
              <w:pStyle w:val="Compact"/>
            </w:pPr>
            <w:r>
              <w:rPr>
                <w:rFonts w:hint="eastAsia"/>
              </w:rPr>
              <w:t xml:space="preserve">潜在承压</w:t>
            </w:r>
          </w:p>
        </w:tc>
        <w:tc>
          <w:tcPr/>
          <w:p>
            <w:pPr>
              <w:pStyle w:val="Compact"/>
            </w:pPr>
            <w:r>
              <w:rPr>
                <w:rFonts w:hint="eastAsia"/>
              </w:rPr>
              <w:t xml:space="preserve">机场遇袭与航运安全风险</w:t>
            </w:r>
          </w:p>
        </w:tc>
        <w:tc>
          <w:tcPr/>
          <w:p>
            <w:pPr>
              <w:pStyle w:val="Compact"/>
            </w:pPr>
            <w:r>
              <w:t xml:space="preserve">★★★★</w:t>
            </w:r>
          </w:p>
        </w:tc>
        <w:tc>
          <w:tcPr/>
          <w:p>
            <w:pPr>
              <w:pStyle w:val="Compact"/>
            </w:pPr>
            <w:r>
              <w:rPr>
                <w:rFonts w:hint="eastAsia"/>
              </w:rPr>
              <w:t xml:space="preserve">航线、燃油成本、绕行与保险</w:t>
            </w:r>
          </w:p>
        </w:tc>
      </w:tr>
    </w:tbl>
    <w:bookmarkEnd w:id="35"/>
    <w:bookmarkStart w:id="39" w:name="五操作建议"/>
    <w:p>
      <w:pPr>
        <w:pStyle w:val="Heading2"/>
      </w:pPr>
      <w:r>
        <w:rPr>
          <w:rFonts w:hint="eastAsia"/>
        </w:rPr>
        <w:t xml:space="preserve">五、操作建议</w:t>
      </w:r>
    </w:p>
    <w:bookmarkStart w:id="36" w:name="短线观察"/>
    <w:p>
      <w:pPr>
        <w:pStyle w:val="Heading3"/>
      </w:pPr>
      <w:r>
        <w:rPr>
          <w:rFonts w:hint="eastAsia"/>
        </w:rPr>
        <w:t xml:space="preserve">短线观察</w:t>
      </w:r>
    </w:p>
    <w:p>
      <w:pPr>
        <w:pStyle w:val="Compact"/>
        <w:numPr>
          <w:ilvl w:val="0"/>
          <w:numId w:val="1025"/>
        </w:numPr>
      </w:pPr>
      <w:r>
        <w:rPr>
          <w:rFonts w:hint="eastAsia"/>
          <w:b/>
          <w:bCs/>
        </w:rPr>
        <w:t xml:space="preserve">物流网先看项目与订单。</w:t>
      </w:r>
      <w:r>
        <w:t xml:space="preserve"> </w:t>
      </w:r>
      <w:r>
        <w:rPr>
          <w:rFonts w:hint="eastAsia"/>
        </w:rPr>
        <w:t xml:space="preserve">181个枢纽和约1000个节点是“十五五”方向，不等于单日收入；只有招标、设备订单、软件部署和回款形成证据，才提高交易置信度。</w:t>
      </w:r>
    </w:p>
    <w:p>
      <w:pPr>
        <w:pStyle w:val="Compact"/>
        <w:numPr>
          <w:ilvl w:val="0"/>
          <w:numId w:val="1025"/>
        </w:numPr>
      </w:pPr>
      <w:r>
        <w:rPr>
          <w:rFonts w:hint="eastAsia"/>
          <w:b/>
          <w:bCs/>
        </w:rPr>
        <w:t xml:space="preserve">文旅消费防止节后兑现。</w:t>
      </w:r>
      <w:r>
        <w:t xml:space="preserve"> </w:t>
      </w:r>
      <w:r>
        <w:rPr>
          <w:rFonts w:hint="eastAsia"/>
        </w:rPr>
        <w:t xml:space="preserve">公园、交通和入境游数据偏暖，但客流并不自动等于利润。优先观察客单价、酒店入住率、国际航线和企业经营数据，不追逐单一人次指标。</w:t>
      </w:r>
    </w:p>
    <w:p>
      <w:pPr>
        <w:pStyle w:val="Compact"/>
        <w:numPr>
          <w:ilvl w:val="0"/>
          <w:numId w:val="1025"/>
        </w:numPr>
      </w:pPr>
      <w:r>
        <w:rPr>
          <w:rFonts w:hint="eastAsia"/>
          <w:b/>
          <w:bCs/>
        </w:rPr>
        <w:t xml:space="preserve">文化出海重视经营质量。</w:t>
      </w:r>
      <w:r>
        <w:t xml:space="preserve"> </w:t>
      </w:r>
      <w:r>
        <w:rPr>
          <w:rFonts w:hint="eastAsia"/>
        </w:rPr>
        <w:t xml:space="preserve">网络文学、网络影视剧和网络游戏方向，重点验证海外用户、付费、版权、合规和现金流，回避只靠“文化强国”标签的泛化炒作。</w:t>
      </w:r>
    </w:p>
    <w:p>
      <w:pPr>
        <w:pStyle w:val="Compact"/>
        <w:numPr>
          <w:ilvl w:val="0"/>
          <w:numId w:val="1025"/>
        </w:numPr>
      </w:pPr>
      <w:r>
        <w:rPr>
          <w:rFonts w:hint="eastAsia"/>
          <w:b/>
          <w:bCs/>
        </w:rPr>
        <w:t xml:space="preserve">地缘线等待硬证据。</w:t>
      </w:r>
      <w:r>
        <w:t xml:space="preserve"> </w:t>
      </w:r>
      <w:r>
        <w:rPr>
          <w:rFonts w:hint="eastAsia"/>
        </w:rPr>
        <w:t xml:space="preserve">黑海、曼德海峡、沙特机场和欧洲核威慑消息，只有通航、油价、运价和保险费率出现连续变化，才构成更高置信度的市场线索。</w:t>
      </w:r>
    </w:p>
    <w:bookmarkEnd w:id="36"/>
    <w:bookmarkStart w:id="37" w:name="中线布局"/>
    <w:p>
      <w:pPr>
        <w:pStyle w:val="Heading3"/>
      </w:pPr>
      <w:r>
        <w:rPr>
          <w:rFonts w:hint="eastAsia"/>
        </w:rPr>
        <w:t xml:space="preserve">中线布局</w:t>
      </w:r>
    </w:p>
    <w:p>
      <w:pPr>
        <w:pStyle w:val="Compact"/>
        <w:numPr>
          <w:ilvl w:val="0"/>
          <w:numId w:val="1026"/>
        </w:numPr>
      </w:pPr>
      <w:r>
        <w:rPr>
          <w:rFonts w:hint="eastAsia"/>
        </w:rPr>
        <w:t xml:space="preserve">物流网围绕供应链软件、智能仓储、冷链、多式联运和新能源物流装备分层跟踪，核心是效率提升能否转化为订单和现金流。</w:t>
      </w:r>
    </w:p>
    <w:p>
      <w:pPr>
        <w:pStyle w:val="Compact"/>
        <w:numPr>
          <w:ilvl w:val="0"/>
          <w:numId w:val="1026"/>
        </w:numPr>
      </w:pPr>
      <w:r>
        <w:rPr>
          <w:rFonts w:hint="eastAsia"/>
        </w:rPr>
        <w:t xml:space="preserve">入境游围绕国际航线、酒店景区、跨境支付、智慧服务和离境退税观察，核心是停留时长和客单价能否持续提高。</w:t>
      </w:r>
    </w:p>
    <w:p>
      <w:pPr>
        <w:pStyle w:val="Compact"/>
        <w:numPr>
          <w:ilvl w:val="0"/>
          <w:numId w:val="1026"/>
        </w:numPr>
      </w:pPr>
      <w:r>
        <w:rPr>
          <w:rFonts w:hint="eastAsia"/>
        </w:rPr>
        <w:t xml:space="preserve">文化产业优先关注具备原创内容、版权运营和真实海外收入的环节；文保与公共文化空间则等待财政预算、招标和项目验收。</w:t>
      </w:r>
    </w:p>
    <w:p>
      <w:pPr>
        <w:pStyle w:val="Compact"/>
        <w:numPr>
          <w:ilvl w:val="0"/>
          <w:numId w:val="1026"/>
        </w:numPr>
      </w:pPr>
      <w:r>
        <w:rPr>
          <w:rFonts w:hint="eastAsia"/>
        </w:rPr>
        <w:t xml:space="preserve">养老设施与“三北”工程有明确实施节点，适合作为中长期政策跟踪方向，但必须等待配套细则与项目落地。</w:t>
      </w:r>
    </w:p>
    <w:bookmarkEnd w:id="37"/>
    <w:bookmarkStart w:id="38" w:name="风险提示"/>
    <w:p>
      <w:pPr>
        <w:pStyle w:val="Heading3"/>
      </w:pPr>
      <w:r>
        <w:rPr>
          <w:rFonts w:hint="eastAsia"/>
        </w:rPr>
        <w:t xml:space="preserve">风险提示</w:t>
      </w:r>
    </w:p>
    <w:p>
      <w:pPr>
        <w:pStyle w:val="Compact"/>
        <w:numPr>
          <w:ilvl w:val="0"/>
          <w:numId w:val="1027"/>
        </w:numPr>
      </w:pPr>
      <w:r>
        <w:rPr>
          <w:rFonts w:hint="eastAsia"/>
        </w:rPr>
        <w:t xml:space="preserve">本期“十五五”规划、枢纽数量、工程进度和标准实施日期均不等于上市公司利润已经兑现。</w:t>
      </w:r>
    </w:p>
    <w:p>
      <w:pPr>
        <w:pStyle w:val="Compact"/>
        <w:numPr>
          <w:ilvl w:val="0"/>
          <w:numId w:val="1027"/>
        </w:numPr>
      </w:pPr>
      <w:r>
        <w:rPr>
          <w:rFonts w:hint="eastAsia"/>
        </w:rPr>
        <w:t xml:space="preserve">假日客流和消费为阶段性数据，可能受到节日集中出行影响，不能直接外推全年需求。</w:t>
      </w:r>
    </w:p>
    <w:p>
      <w:pPr>
        <w:pStyle w:val="Compact"/>
        <w:numPr>
          <w:ilvl w:val="0"/>
          <w:numId w:val="1027"/>
        </w:numPr>
      </w:pPr>
      <w:r>
        <w:rPr>
          <w:rFonts w:hint="eastAsia"/>
        </w:rPr>
        <w:t xml:space="preserve">文化内容出海面临版权、内容合规、用户付费和汇率等经营风险；原文未提供企业层面的业绩数据。</w:t>
      </w:r>
    </w:p>
    <w:p>
      <w:pPr>
        <w:pStyle w:val="Compact"/>
        <w:numPr>
          <w:ilvl w:val="0"/>
          <w:numId w:val="1027"/>
        </w:numPr>
      </w:pPr>
      <w:r>
        <w:rPr>
          <w:rFonts w:hint="eastAsia"/>
        </w:rPr>
        <w:t xml:space="preserve">物流网建设可能存在资本开支、项目周期、价格竞争和回款风险。</w:t>
      </w:r>
    </w:p>
    <w:p>
      <w:pPr>
        <w:pStyle w:val="Compact"/>
        <w:numPr>
          <w:ilvl w:val="0"/>
          <w:numId w:val="1027"/>
        </w:numPr>
      </w:pPr>
      <w:r>
        <w:rPr>
          <w:rFonts w:hint="eastAsia"/>
        </w:rPr>
        <w:t xml:space="preserve">欧洲、中东和黑海相关消息含程序未完成、单方表述或来源未明的情况，局势与市场影响可能快速变化。</w:t>
      </w:r>
    </w:p>
    <w:p>
      <w:pPr>
        <w:pStyle w:val="Compact"/>
        <w:numPr>
          <w:ilvl w:val="0"/>
          <w:numId w:val="1027"/>
        </w:numPr>
      </w:pPr>
      <w:r>
        <w:rPr>
          <w:rFonts w:hint="eastAsia"/>
        </w:rPr>
        <w:t xml:space="preserve">本期没有直接面向A股指数的资本市场政策，不应把结构性利好解释为指数全面上涨保证。</w:t>
      </w:r>
    </w:p>
    <w:bookmarkEnd w:id="38"/>
    <w:bookmarkEnd w:id="39"/>
    <w:bookmarkStart w:id="43" w:name="六事实核验与完整性审计"/>
    <w:p>
      <w:pPr>
        <w:pStyle w:val="Heading2"/>
      </w:pPr>
      <w:r>
        <w:rPr>
          <w:rFonts w:hint="eastAsia"/>
        </w:rPr>
        <w:t xml:space="preserve">六、事实核验与完整性审计</w:t>
      </w:r>
    </w:p>
    <w:bookmarkStart w:id="40" w:name="原文覆盖"/>
    <w:p>
      <w:pPr>
        <w:pStyle w:val="Heading3"/>
      </w:pPr>
      <w:r>
        <w:t xml:space="preserve">6.1 </w:t>
      </w:r>
      <w:r>
        <w:rPr>
          <w:rFonts w:hint="eastAsia"/>
        </w:rPr>
        <w:t xml:space="preserve">原文覆盖</w:t>
      </w:r>
    </w:p>
    <w:p>
      <w:pPr>
        <w:pStyle w:val="FirstParagraph"/>
      </w:pPr>
      <w:r>
        <w:rPr>
          <w:rFonts w:hint="eastAsia"/>
        </w:rPr>
        <w:t xml:space="preserve">指定存档包含11个一级新闻栏目。其中“国内联播快讯”含3个独立分项，欧洲安全新闻含立陶宛、法国、瑞典3项，也门新闻同时覆盖胡塞武装与也门政府两方进展，“国际联播快讯”含4个独立分项。按可核验内容单元拆分后，本稿逐项覆盖18个分析条目；也门同一栏目内双方表述合并在第13条完整覆盖，未遗漏原文一级栏目或内部快讯。</w:t>
      </w:r>
    </w:p>
    <w:bookmarkEnd w:id="40"/>
    <w:bookmarkStart w:id="41" w:name="数字核验"/>
    <w:p>
      <w:pPr>
        <w:pStyle w:val="Heading3"/>
      </w:pPr>
      <w:r>
        <w:t xml:space="preserve">6.2 </w:t>
      </w:r>
      <w:r>
        <w:rPr>
          <w:rFonts w:hint="eastAsia"/>
        </w:rPr>
        <w:t xml:space="preserve">数字核验</w:t>
      </w:r>
    </w:p>
    <w:p>
      <w:pPr>
        <w:pStyle w:val="FirstParagraph"/>
      </w:pPr>
      <w:r>
        <w:rPr>
          <w:rFonts w:hint="eastAsia"/>
        </w:rPr>
        <w:t xml:space="preserve">本稿引用的关键数字均可在指定原文中定位，包括：世界遗产61项、联合国教科文组织非遗名录名册45项、4万多个新型公共文化空间；城市公园1.1万场活动、超过2.1亿人次和消费超过52亿元；跨区域人员流动21.44亿人次、同比0.7%，公路超过19.6亿人次、新能源车流量同比35%、严重拥堵路段同比下降70%、日均租车率同比增长25%、民航日均约240万人次；北京入境游客11.2万人次和同比24.6%、四川47903人次和同比9.2%、前8个月出入境外国人6128.7万人次和同比19.5%、平均停留5.1天和同比提升11%；陕西图书馆9.5万人次和同比22.5%、江西日均超1万人次和较平日增长43%；农产品市场日交易超1.5万吨、31个省区市、340座城市、最快3分钟、20万斤猕猴桃、181个枢纽和约1000个节点；中老铁路超2077万吨、超1004亿元、年均增长超24%、19个国家和地区及3900余种品类；“三北”工程2.65亿亩、2027年70%和2030年全面完成；美军飞机81架。</w:t>
      </w:r>
    </w:p>
    <w:bookmarkEnd w:id="41"/>
    <w:bookmarkStart w:id="42" w:name="事实边界核验"/>
    <w:p>
      <w:pPr>
        <w:pStyle w:val="Heading3"/>
      </w:pPr>
      <w:r>
        <w:t xml:space="preserve">6.3 </w:t>
      </w:r>
      <w:r>
        <w:rPr>
          <w:rFonts w:hint="eastAsia"/>
        </w:rPr>
        <w:t xml:space="preserve">事实边界核验</w:t>
      </w:r>
    </w:p>
    <w:p>
      <w:pPr>
        <w:pStyle w:val="Compact"/>
        <w:numPr>
          <w:ilvl w:val="0"/>
          <w:numId w:val="1028"/>
        </w:numPr>
      </w:pPr>
      <w:r>
        <w:rPr>
          <w:rFonts w:hint="eastAsia"/>
        </w:rPr>
        <w:t xml:space="preserve">所有联播事实、数字、地名和事件均取自唯一指定存档，未使用外部新闻补写联播事实。</w:t>
      </w:r>
    </w:p>
    <w:p>
      <w:pPr>
        <w:pStyle w:val="Compact"/>
        <w:numPr>
          <w:ilvl w:val="0"/>
          <w:numId w:val="1028"/>
        </w:numPr>
      </w:pPr>
      <w:r>
        <w:rPr>
          <w:rFonts w:hint="eastAsia"/>
        </w:rPr>
        <w:t xml:space="preserve">“受益板块”“承压方向”“市场含义”“验证重点”均明确属于分析推演，不冒充原文表述。</w:t>
      </w:r>
    </w:p>
    <w:p>
      <w:pPr>
        <w:pStyle w:val="Compact"/>
        <w:numPr>
          <w:ilvl w:val="0"/>
          <w:numId w:val="1028"/>
        </w:numPr>
      </w:pPr>
      <w:r>
        <w:rPr>
          <w:rFonts w:hint="eastAsia"/>
        </w:rPr>
        <w:t xml:space="preserve">未写入原文未提供的上市公司订单、利润、估值、股价表现、航道关闭、能源供应中断或袭击来源结论。</w:t>
      </w:r>
    </w:p>
    <w:p>
      <w:pPr>
        <w:pStyle w:val="Compact"/>
        <w:numPr>
          <w:ilvl w:val="0"/>
          <w:numId w:val="1028"/>
        </w:numPr>
      </w:pPr>
      <w:r>
        <w:rPr>
          <w:rFonts w:hint="eastAsia"/>
        </w:rPr>
        <w:t xml:space="preserve">对立陶宛修宪明确保留“仍需第二次表决”的程序边界；对也门各方消息保留各自表述；对黑海商船遇袭明确来源尚未确认。</w:t>
      </w:r>
    </w:p>
    <w:p>
      <w:pPr>
        <w:pStyle w:val="Compact"/>
        <w:numPr>
          <w:ilvl w:val="0"/>
          <w:numId w:val="1028"/>
        </w:numPr>
      </w:pPr>
      <w:r>
        <w:rPr>
          <w:rFonts w:hint="eastAsia"/>
        </w:rPr>
        <w:t xml:space="preserve">不推荐具体个股，不承诺收益。</w:t>
      </w:r>
    </w:p>
    <w:p>
      <w:r>
        <w:pict>
          <v:rect style="width:0;height:1.5pt" o:hralign="center" o:hrstd="t" o:hr="t"/>
        </w:pict>
      </w:r>
    </w:p>
    <w:p>
      <w:pPr>
        <w:pStyle w:val="FirstParagraph"/>
      </w:pPr>
      <w:r>
        <w:rPr>
          <w:rFonts w:hint="eastAsia"/>
          <w:b/>
          <w:bCs/>
        </w:rPr>
        <w:t xml:space="preserve">事实来源：</w:t>
      </w:r>
      <w:r>
        <w:t xml:space="preserve"> </w:t>
      </w:r>
      <w:r>
        <w:rPr>
          <w:rStyle w:val="VerbatimChar"/>
        </w:rPr>
        <w:t xml:space="preserve">/Users/qiji/.hermes/skills/finance/qiji-morning-know/memory/xinwenlianbo/2026-10-07.md</w:t>
      </w:r>
      <w:r>
        <w:br/>
      </w:r>
      <w:r>
        <w:rPr>
          <w:rFonts w:hint="eastAsia"/>
          <w:b/>
          <w:bCs/>
        </w:rPr>
        <w:t xml:space="preserve">分析和写稿模型：</w:t>
      </w:r>
      <w:r>
        <w:t xml:space="preserve"> </w:t>
      </w:r>
      <w:r>
        <w:t xml:space="preserve">GPT-5.6 Sol (openai-codex)</w:t>
      </w:r>
      <w:r>
        <w:br/>
      </w:r>
      <w:r>
        <w:rPr>
          <w:rFonts w:hint="eastAsia"/>
          <w:b/>
          <w:bCs/>
        </w:rPr>
        <w:t xml:space="preserve">免责声明：</w:t>
      </w:r>
      <w:r>
        <w:t xml:space="preserve"> </w:t>
      </w:r>
      <w:r>
        <w:rPr>
          <w:rFonts w:hint="eastAsia"/>
        </w:rPr>
        <w:t xml:space="preserve">本报告仅作新闻信息解读和政策研究，不构成任何投资建议。市场有风险，投资需谨慎。</w:t>
      </w:r>
    </w:p>
    <w:bookmarkEnd w:id="42"/>
    <w:bookmarkEnd w:id="43"/>
    <w:bookmarkEnd w:id="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2026-10-07T12:36:21Z</dcterms:created>
  <dcterms:modified xsi:type="dcterms:W3CDTF">2026-10-07T12:36:21Z</dcterms:modified>
</cp:coreProperties>
</file>

<file path=docProps/custom.xml><?xml version="1.0" encoding="utf-8"?>
<Properties xmlns="http://schemas.openxmlformats.org/officeDocument/2006/custom-properties" xmlns:vt="http://schemas.openxmlformats.org/officeDocument/2006/docPropsVTypes"/>
</file>