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44" w:name="Xc45904ea0dc9d2afcff7e91a54ff3b078b9f8ab"/>
    <w:p>
      <w:pPr>
        <w:pStyle w:val="Heading1"/>
      </w:pPr>
      <w:r>
        <w:rPr>
          <w:rFonts w:hint="eastAsia"/>
        </w:rPr>
        <w:t xml:space="preserve">2026年10月6日《新闻联播》A股影响深度解读</w:t>
      </w:r>
    </w:p>
    <w:bookmarkStart w:id="9" w:name="一今日联播总评"/>
    <w:p>
      <w:pPr>
        <w:pStyle w:val="Heading2"/>
      </w:pPr>
      <w:r>
        <w:rPr>
          <w:rFonts w:hint="eastAsia"/>
        </w:rPr>
        <w:t xml:space="preserve">一、今日联播总评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整体基调：积极，产业政策与民间投资信号突出。</w:t>
      </w:r>
      <w:r>
        <w:t xml:space="preserve"> </w:t>
      </w:r>
      <w:r>
        <w:rPr>
          <w:rFonts w:hint="eastAsia"/>
        </w:rPr>
        <w:t xml:space="preserve">头条以“大食物观”和多元化食物供给体系定调，随后“六张网”明确向民间资本打开投资、建设、运营全链条空间，新型电池“十五五”规划给出到2030年的技术和应用目标。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政策信号强度：中强。</w:t>
      </w:r>
      <w:r>
        <w:t xml:space="preserve"> </w:t>
      </w:r>
      <w:r>
        <w:rPr>
          <w:rFonts w:hint="eastAsia"/>
        </w:rPr>
        <w:t xml:space="preserve">最高层长期战略、国家专项、七部门联合规划与“六张网”项目库共同构成中长期产业催化，其中算力网新增直接投资4万亿元、全固态电池初步规模化应用等表述最具可跟踪性。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对A股总体影响：结构性利好为主，外部风险明显上升。</w:t>
      </w:r>
      <w:r>
        <w:t xml:space="preserve"> </w:t>
      </w:r>
      <w:r>
        <w:rPr>
          <w:rFonts w:hint="eastAsia"/>
        </w:rPr>
        <w:t xml:space="preserve">农业科技、设施农业、林下经济、深远海养殖、水网、算力网、绿电直连、新型电池及适老化具备产业映射；也门及红海方向冲突、沙特能源设施遇袭说法、俄日摩擦和法国财政担忧可能压制风险偏好。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编排观察：</w:t>
      </w:r>
      <w:r>
        <w:t xml:space="preserve"> </w:t>
      </w:r>
      <w:r>
        <w:rPr>
          <w:rFonts w:hint="eastAsia"/>
        </w:rPr>
        <w:t xml:space="preserve">头条把粮食安全从耕地和主粮扩展为“农林牧渔并举、科技与装备驱动的多元供给”；中段连续给出民间投资和新型电池规划，政策落地色彩强于一般节庆报道；国际部分的能源与航道安全是主要风险项。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一句话结论：</w:t>
      </w:r>
      <w:r>
        <w:t xml:space="preserve"> </w:t>
      </w:r>
      <w:r>
        <w:rPr>
          <w:rFonts w:hint="eastAsia"/>
        </w:rPr>
        <w:t xml:space="preserve">节后优先跟踪“算力网与水网民资参与—新型电池技术升级—多元食物供给装备化”三条中期主线，文旅与交通只作假期数据线索，地缘题材必须等待油价、运价和实际通航验证。</w:t>
      </w:r>
    </w:p>
    <w:p>
      <w:pPr>
        <w:pStyle w:val="BlockText"/>
      </w:pPr>
      <w:r>
        <w:rPr>
          <w:rFonts w:hint="eastAsia"/>
          <w:b/>
          <w:bCs/>
        </w:rPr>
        <w:t xml:space="preserve">口径说明：</w:t>
      </w:r>
      <w:r>
        <w:t xml:space="preserve"> </w:t>
      </w:r>
      <w:r>
        <w:rPr>
          <w:rFonts w:hint="eastAsia"/>
        </w:rPr>
        <w:t xml:space="preserve">本稿唯一联播事实来源为指定的2026年10月6日《新闻联播》存档。受益板块、承压方向、验证指标和操作框架均为基于原文的A股影响推演，不是联播原话，不构成个股推荐或收益承诺。</w:t>
      </w:r>
    </w:p>
    <w:bookmarkEnd w:id="9"/>
    <w:bookmarkStart w:id="15" w:name="二核心政策与市场信号"/>
    <w:p>
      <w:pPr>
        <w:pStyle w:val="Heading2"/>
      </w:pPr>
      <w:r>
        <w:rPr>
          <w:rFonts w:hint="eastAsia"/>
        </w:rPr>
        <w:t xml:space="preserve">二、核心政策与市场信号</w:t>
      </w:r>
    </w:p>
    <w:bookmarkStart w:id="10" w:name="X2af8e97f3ea87cbb8001ceb2984d7ed11b3f933"/>
    <w:p>
      <w:pPr>
        <w:pStyle w:val="Heading3"/>
      </w:pPr>
      <w:r>
        <w:t xml:space="preserve">1. </w:t>
      </w:r>
      <w:r>
        <w:rPr>
          <w:rFonts w:hint="eastAsia"/>
        </w:rPr>
        <w:t xml:space="preserve">“大食物观”进入国家专项与工程化推进阶段（★★★★★）</w:t>
      </w:r>
    </w:p>
    <w:p>
      <w:pPr>
        <w:pStyle w:val="FirstParagraph"/>
      </w:pPr>
      <w:r>
        <w:rPr>
          <w:rFonts w:hint="eastAsia"/>
        </w:rPr>
        <w:t xml:space="preserve">头条重申习近平总书记关于树立大食物观的要求，并称党的二十大已将“大食物观”写入报告，“十五五”规划把“大食物开发工程”列为国家专项。报道给出种质资源、设施农业、林下经济和深远海养殖四条扩供路径，并提出到2030年设施蔬菜产量占比由目前三成多提高到四成左右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A股影响：中长期利好。</w:t>
      </w:r>
      <w:r>
        <w:t xml:space="preserve"> </w:t>
      </w:r>
      <w:r>
        <w:rPr>
          <w:rFonts w:hint="eastAsia"/>
        </w:rPr>
        <w:t xml:space="preserve">方向包括种业与种质资源保护、设施农业、节水灌溉、农业自动化、林下经济、海洋牧场、深远海养殖平台及养殖工船。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产业逻辑：</w:t>
      </w:r>
      <w:r>
        <w:t xml:space="preserve"> </w:t>
      </w:r>
      <w:r>
        <w:rPr>
          <w:rFonts w:hint="eastAsia"/>
        </w:rPr>
        <w:t xml:space="preserve">政策目标由“保主粮”扩展为全品类、全空间、全技术链供给，增长点不仅在农产品本身，也在种源、装备、工程和运营效率。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事实边界：</w:t>
      </w:r>
      <w:r>
        <w:t xml:space="preserve"> </w:t>
      </w:r>
      <w:r>
        <w:rPr>
          <w:rFonts w:hint="eastAsia"/>
        </w:rPr>
        <w:t xml:space="preserve">原文没有披露新增财政金额、具体项目清单、上市公司订单或产品价格，国家专项方向不能直接折算为当期利润。</w:t>
      </w:r>
    </w:p>
    <w:bookmarkEnd w:id="10"/>
    <w:bookmarkStart w:id="11" w:name="X7e35a0de6771e12accb63172f9acb07fedea532"/>
    <w:p>
      <w:pPr>
        <w:pStyle w:val="Heading3"/>
      </w:pPr>
      <w:r>
        <w:t xml:space="preserve">2. </w:t>
      </w:r>
      <w:r>
        <w:rPr>
          <w:rFonts w:hint="eastAsia"/>
        </w:rPr>
        <w:t xml:space="preserve">“六张网”向民间资本开放，算力网给出4万亿元新增直接投资（★★★★★）</w:t>
      </w:r>
    </w:p>
    <w:p>
      <w:pPr>
        <w:pStyle w:val="FirstParagraph"/>
      </w:pPr>
      <w:r>
        <w:rPr>
          <w:rFonts w:hint="eastAsia"/>
        </w:rPr>
        <w:t xml:space="preserve">“一线调研”称“六张网”建设全面铺开，带来数万亿元投资机遇。滇中引水二期骨干工程将于年底前正式开工，国家发展改革委已向民营企业公开推介36个投资项目；“十五五”时期算力网建设将新增直接投资4万亿元，国家层面正在专题研究加快建设“六张网”项目库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A股影响：中期利好，政策确定性较高。</w:t>
      </w:r>
      <w:r>
        <w:t xml:space="preserve"> </w:t>
      </w:r>
      <w:r>
        <w:rPr>
          <w:rFonts w:hint="eastAsia"/>
        </w:rPr>
        <w:t xml:space="preserve">水网工程、智慧施工与运维、算力租赁、算电协同、跨区域算力调度、绿电直连及民营基础设施运营具备直接映射。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关键变化：</w:t>
      </w:r>
      <w:r>
        <w:t xml:space="preserve"> </w:t>
      </w:r>
      <w:r>
        <w:rPr>
          <w:rFonts w:hint="eastAsia"/>
        </w:rPr>
        <w:t xml:space="preserve">民企参与水网由设备供货、施工环节延伸至投资、建设、运营全链条；同时明确“投资不能捆绑施工”，意味着收益能力、资本成本和运营管理比单纯施工资质更重要。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验证重点：</w:t>
      </w:r>
      <w:r>
        <w:t xml:space="preserve"> </w:t>
      </w:r>
      <w:r>
        <w:rPr>
          <w:rFonts w:hint="eastAsia"/>
        </w:rPr>
        <w:t xml:space="preserve">项目库发布时间、投资回报机制、资本金要求、招投标、算力利用率、绿电成本、项目回款和民企实际中标份额。</w:t>
      </w:r>
    </w:p>
    <w:bookmarkEnd w:id="11"/>
    <w:bookmarkStart w:id="12" w:name="X7cf2cf3d664678a2ee6b3d5c306366c05d6de0e"/>
    <w:p>
      <w:pPr>
        <w:pStyle w:val="Heading3"/>
      </w:pPr>
      <w:r>
        <w:t xml:space="preserve">3. </w:t>
      </w:r>
      <w:r>
        <w:rPr>
          <w:rFonts w:hint="eastAsia"/>
        </w:rPr>
        <w:t xml:space="preserve">新型电池“十五五”规划锁定全固态、长寿命与多场景电动化（★★★★★）</w:t>
      </w:r>
    </w:p>
    <w:p>
      <w:pPr>
        <w:pStyle w:val="FirstParagraph"/>
      </w:pPr>
      <w:r>
        <w:rPr>
          <w:rFonts w:hint="eastAsia"/>
        </w:rPr>
        <w:t xml:space="preserve">工业和信息化部、国家发展改革委等七部门联合印发《新型电池产业发展“十五五”规划》。规划提出，到2030年产业规模稳步增长、全链条创新能力持续增强、全固态电池初步实现规模化应用、长寿命锂电池循环寿命达到15000次，并服务智能终端、汽车、船舶、航空和智能机器人等领域电动化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A股影响：中长期利好，但产业链分化。</w:t>
      </w:r>
      <w:r>
        <w:t xml:space="preserve"> </w:t>
      </w:r>
      <w:r>
        <w:rPr>
          <w:rFonts w:hint="eastAsia"/>
        </w:rPr>
        <w:t xml:space="preserve">可关注固态电池材料与设备、锂电池寿命提升、钠电池、液流电池、储能系统及终端电动化配套。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市场含义：</w:t>
      </w:r>
      <w:r>
        <w:t xml:space="preserve"> </w:t>
      </w:r>
      <w:r>
        <w:rPr>
          <w:rFonts w:hint="eastAsia"/>
        </w:rPr>
        <w:t xml:space="preserve">七部门联合规划与2030年技术目标强化研发和产业化预期，应用边界从汽车、储能扩展到船舶、航空、机器人及智能终端。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风险：</w:t>
      </w:r>
      <w:r>
        <w:t xml:space="preserve"> </w:t>
      </w:r>
      <w:r>
        <w:rPr>
          <w:rFonts w:hint="eastAsia"/>
        </w:rPr>
        <w:t xml:space="preserve">“初步实现规模化应用”是目标，不是当前量产事实；技术路线、良率、成本、安全验证和客户认证仍可能造成公司间显著分化。</w:t>
      </w:r>
    </w:p>
    <w:bookmarkEnd w:id="12"/>
    <w:bookmarkStart w:id="13" w:name="X9d5a80807eb9bd39952d2b603a704ce216310c1"/>
    <w:p>
      <w:pPr>
        <w:pStyle w:val="Heading3"/>
      </w:pPr>
      <w:r>
        <w:t xml:space="preserve">4. </w:t>
      </w:r>
      <w:r>
        <w:rPr>
          <w:rFonts w:hint="eastAsia"/>
        </w:rPr>
        <w:t xml:space="preserve">假期文旅、交通和电影数据偏暖，但主要属于短期验证（★★★）</w:t>
      </w:r>
    </w:p>
    <w:p>
      <w:pPr>
        <w:pStyle w:val="FirstParagraph"/>
      </w:pPr>
      <w:r>
        <w:rPr>
          <w:rFonts w:hint="eastAsia"/>
        </w:rPr>
        <w:t xml:space="preserve">报道给出茶卡盐湖假期前五天接待游客近15万人次、北京14家市属公园接待游客超过385万人次、10月6日跨区域人员流动量超过3亿人次、铁路预计发送旅客2210万人次、民航预计运输旅客250万人次，以及国庆档票房突破10亿元、观影场次和人次创同期新高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A股影响：短期偏利好。</w:t>
      </w:r>
      <w:r>
        <w:t xml:space="preserve"> </w:t>
      </w:r>
      <w:r>
        <w:rPr>
          <w:rFonts w:hint="eastAsia"/>
        </w:rPr>
        <w:t xml:space="preserve">景区运营、酒店餐饮、铁路民航服务、院线影视和“电影+文旅”存在情绪催化。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事实边界：</w:t>
      </w:r>
      <w:r>
        <w:t xml:space="preserve"> </w:t>
      </w:r>
      <w:r>
        <w:rPr>
          <w:rFonts w:hint="eastAsia"/>
        </w:rPr>
        <w:t xml:space="preserve">数据来自特定景区、特定公园、单日运输和国庆档，截至报道时点不代表整个假期或全国文旅企业利润全面改善。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验证重点：</w:t>
      </w:r>
      <w:r>
        <w:t xml:space="preserve"> </w:t>
      </w:r>
      <w:r>
        <w:rPr>
          <w:rFonts w:hint="eastAsia"/>
        </w:rPr>
        <w:t xml:space="preserve">客单价、票价、上座率、同店收入、成本费用、航司客座率和后续经营数据。</w:t>
      </w:r>
    </w:p>
    <w:bookmarkEnd w:id="13"/>
    <w:bookmarkStart w:id="14" w:name="Xde3b52f17f82b37d340981a15c4d0464d9f8eec"/>
    <w:p>
      <w:pPr>
        <w:pStyle w:val="Heading3"/>
      </w:pPr>
      <w:r>
        <w:t xml:space="preserve">5. </w:t>
      </w:r>
      <w:r>
        <w:rPr>
          <w:rFonts w:hint="eastAsia"/>
        </w:rPr>
        <w:t xml:space="preserve">红海—沙特安全风险与欧洲财政担忧叠加（★★★★，风险信号）</w:t>
      </w:r>
    </w:p>
    <w:p>
      <w:pPr>
        <w:pStyle w:val="FirstParagraph"/>
      </w:pPr>
      <w:r>
        <w:rPr>
          <w:rFonts w:hint="eastAsia"/>
        </w:rPr>
        <w:t xml:space="preserve">也门媒体称政府军在多地推进，胡塞武装称仍控制近期攻下区域；多国联军称打击胡塞目标并挫败针对红海南部水道的袭击企图。胡塞武装称打击沙特机场、炼油厂等目标，沙特、巴基斯坦、土耳其同意立即在沙特部署军事力量。与此同时，欧元因法国财政状况和政治不确定性担忧大幅走低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A股影响：风险偏好承压，板块方向分化。</w:t>
      </w:r>
      <w:r>
        <w:t xml:space="preserve"> </w:t>
      </w:r>
      <w:r>
        <w:rPr>
          <w:rFonts w:hint="eastAsia"/>
        </w:rPr>
        <w:t xml:space="preserve">若能源设施或航道安全恶化，油气、油运、黄金和能源安全可能获得风险溢价；航空、化工下游和外贸运输链可能受燃油或运费压力。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事实边界：</w:t>
      </w:r>
      <w:r>
        <w:t xml:space="preserve"> </w:t>
      </w:r>
      <w:r>
        <w:rPr>
          <w:rFonts w:hint="eastAsia"/>
        </w:rPr>
        <w:t xml:space="preserve">多项内容来自交战方或相关媒体表述，原文没有确认实际损失、供应中断、航道关闭或运价变化。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操作约束：</w:t>
      </w:r>
      <w:r>
        <w:t xml:space="preserve"> </w:t>
      </w:r>
      <w:r>
        <w:rPr>
          <w:rFonts w:hint="eastAsia"/>
        </w:rPr>
        <w:t xml:space="preserve">不以单方战报追涨；必须等待实际通航、航运通告、保险费率、油价和运价形成连续证据。</w:t>
      </w:r>
    </w:p>
    <w:bookmarkEnd w:id="14"/>
    <w:bookmarkEnd w:id="15"/>
    <w:bookmarkStart w:id="34" w:name="三分条a股影响分析"/>
    <w:p>
      <w:pPr>
        <w:pStyle w:val="Heading2"/>
      </w:pPr>
      <w:r>
        <w:rPr>
          <w:rFonts w:hint="eastAsia"/>
        </w:rPr>
        <w:t xml:space="preserve">三、分条A股影响分析</w:t>
      </w:r>
    </w:p>
    <w:bookmarkStart w:id="16" w:name="Xdca0bdc69f4f375fe2c37f42fbcb0deca9d21e9"/>
    <w:p>
      <w:pPr>
        <w:pStyle w:val="Heading3"/>
      </w:pPr>
      <w:r>
        <w:t xml:space="preserve">1. </w:t>
      </w:r>
      <w:r>
        <w:rPr>
          <w:rFonts w:hint="eastAsia"/>
        </w:rPr>
        <w:t xml:space="preserve">【新思想引领新征程】大食物观里的中国味道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信号强度：★★★★★</w:t>
      </w:r>
      <w:r>
        <w:rPr>
          <w:rFonts w:hint="eastAsia"/>
        </w:rPr>
        <w:t xml:space="preserve">（头条位置、最高层长期战略与国家专项叠加）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A股影响：利好；时效：中期至长期。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受益板块：</w:t>
      </w:r>
      <w:r>
        <w:t xml:space="preserve"> </w:t>
      </w:r>
      <w:r>
        <w:rPr>
          <w:rFonts w:hint="eastAsia"/>
        </w:rPr>
        <w:t xml:space="preserve">种业、设施农业、节水灌溉、农业装备、林下经济、海洋牧场、深远海养殖平台、养殖工船。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粮食产量超过1.4万亿斤，蔬菜超过8.9亿吨，水果超过3.5亿吨，肉类超过1亿吨，水产品超过7600万吨；全国农业种质资源普查新增农作物种质资源13.9万份、畜禽遗传材料107万份、水产12万份；设施农业贡献蔬菜总产量三成以上；林下经济利用林地超6亿亩、年产值突破1万亿元；深远海养殖产量57万吨、养殖水体7868万立方米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解读：</w:t>
      </w:r>
      <w:r>
        <w:t xml:space="preserve"> </w:t>
      </w:r>
      <w:r>
        <w:rPr>
          <w:rFonts w:hint="eastAsia"/>
        </w:rPr>
        <w:t xml:space="preserve">“从耕地向整个国土拓展”把农业科技、空间开发和装备升级连接起来。优先观察有明确项目、产品验证和现金流的种源、设施和海工环节，避免将所有农业概念等同于政策受益。</w:t>
      </w:r>
    </w:p>
    <w:bookmarkEnd w:id="16"/>
    <w:bookmarkStart w:id="17" w:name="Xe5b050ffb9223bfecea8ca109c8e2935b2b8d1d"/>
    <w:p>
      <w:pPr>
        <w:pStyle w:val="Heading3"/>
      </w:pPr>
      <w:r>
        <w:t xml:space="preserve">2. </w:t>
      </w:r>
      <w:r>
        <w:rPr>
          <w:rFonts w:hint="eastAsia"/>
        </w:rPr>
        <w:t xml:space="preserve">欢度假期</w:t>
      </w:r>
      <w:r>
        <w:t xml:space="preserve"> </w:t>
      </w:r>
      <w:r>
        <w:rPr>
          <w:rFonts w:hint="eastAsia"/>
        </w:rPr>
        <w:t xml:space="preserve">乐享幸福生活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信号强度：★★</w:t>
      </w:r>
      <w:r>
        <w:rPr>
          <w:rFonts w:hint="eastAsia"/>
        </w:rPr>
        <w:t xml:space="preserve">；</w:t>
      </w:r>
      <w:r>
        <w:rPr>
          <w:rFonts w:hint="eastAsia"/>
          <w:b/>
          <w:bCs/>
        </w:rPr>
        <w:t xml:space="preserve">A股影响：短期偏利好。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受益板块：</w:t>
      </w:r>
      <w:r>
        <w:t xml:space="preserve"> </w:t>
      </w:r>
      <w:r>
        <w:rPr>
          <w:rFonts w:hint="eastAsia"/>
        </w:rPr>
        <w:t xml:space="preserve">景区运营、旅游演艺、夜游经济、非遗文创、酒店餐饮和区域交通服务。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茶卡盐湖假期前五天接待游客近15万人次，北京14家市属公园接待游客超过385万人次；报道展示太白山、额尔古纳、丹霞山、沙坡头、都江堰、上海老街、秦淮河和徽州古村等多样化日夜文旅场景。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解读：</w:t>
      </w:r>
      <w:r>
        <w:t xml:space="preserve"> </w:t>
      </w:r>
      <w:r>
        <w:rPr>
          <w:rFonts w:hint="eastAsia"/>
        </w:rPr>
        <w:t xml:space="preserve">假期客流与沉浸式内容对文旅情绪有支撑，但节目未披露各项目收入、客单价和利润率。持续性取决于内容复购、淡季经营和成本控制。</w:t>
      </w:r>
    </w:p>
    <w:bookmarkEnd w:id="17"/>
    <w:bookmarkStart w:id="18" w:name="X94ead938b2f4b72a80887a3da92608f3a7295fe"/>
    <w:p>
      <w:pPr>
        <w:pStyle w:val="Heading3"/>
      </w:pPr>
      <w:r>
        <w:t xml:space="preserve">3. </w:t>
      </w:r>
      <w:r>
        <w:rPr>
          <w:rFonts w:hint="eastAsia"/>
        </w:rPr>
        <w:t xml:space="preserve">假期客流集中返程</w:t>
      </w:r>
      <w:r>
        <w:t xml:space="preserve"> </w:t>
      </w:r>
      <w:r>
        <w:rPr>
          <w:rFonts w:hint="eastAsia"/>
        </w:rPr>
        <w:t xml:space="preserve">多措并举保有序出行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信号强度：★★</w:t>
      </w:r>
      <w:r>
        <w:rPr>
          <w:rFonts w:hint="eastAsia"/>
        </w:rPr>
        <w:t xml:space="preserve">；</w:t>
      </w:r>
      <w:r>
        <w:rPr>
          <w:rFonts w:hint="eastAsia"/>
          <w:b/>
          <w:bCs/>
        </w:rPr>
        <w:t xml:space="preserve">A股影响：总体中性偏积极；时效：短期。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受益板块：</w:t>
      </w:r>
      <w:r>
        <w:t xml:space="preserve"> </w:t>
      </w:r>
      <w:r>
        <w:rPr>
          <w:rFonts w:hint="eastAsia"/>
        </w:rPr>
        <w:t xml:space="preserve">铁路客运、民航服务、交通调度、智慧车站和高速公路运营。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10月6日全社会跨区域人员流动量超过3亿人次；铁路预计发送旅客2210万人次、计划加开旅客列车2199列；民航预计运输旅客250万人次；高速免费通行延续至次日24时前。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解读：</w:t>
      </w:r>
      <w:r>
        <w:t xml:space="preserve"> </w:t>
      </w:r>
      <w:r>
        <w:rPr>
          <w:rFonts w:hint="eastAsia"/>
        </w:rPr>
        <w:t xml:space="preserve">该条确认返程需求强和运力加投，主要是节日运营数据，不构成新的长期资本开支承诺。交通企业收益仍需看票价、客座率、油价及运维成本。</w:t>
      </w:r>
    </w:p>
    <w:bookmarkEnd w:id="18"/>
    <w:bookmarkStart w:id="19" w:name="X66e8c5b7577f109d52b6bcb69b998d7897b3146"/>
    <w:p>
      <w:pPr>
        <w:pStyle w:val="Heading3"/>
      </w:pPr>
      <w:r>
        <w:t xml:space="preserve">4. </w:t>
      </w:r>
      <w:r>
        <w:rPr>
          <w:rFonts w:hint="eastAsia"/>
        </w:rPr>
        <w:t xml:space="preserve">【一线调研】激活民间投资</w:t>
      </w:r>
      <w:r>
        <w:t xml:space="preserve"> </w:t>
      </w:r>
      <w:r>
        <w:rPr>
          <w:rFonts w:hint="eastAsia"/>
        </w:rPr>
        <w:t xml:space="preserve">打开“六张网”建设新空间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信号强度：★★★★★</w:t>
      </w:r>
      <w:r>
        <w:rPr>
          <w:rFonts w:hint="eastAsia"/>
        </w:rPr>
        <w:t xml:space="preserve">；</w:t>
      </w:r>
      <w:r>
        <w:rPr>
          <w:rFonts w:hint="eastAsia"/>
          <w:b/>
          <w:bCs/>
        </w:rPr>
        <w:t xml:space="preserve">A股影响：利好；时效：中期至长期。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受益板块：</w:t>
      </w:r>
      <w:r>
        <w:t xml:space="preserve"> </w:t>
      </w:r>
      <w:r>
        <w:rPr>
          <w:rFonts w:hint="eastAsia"/>
        </w:rPr>
        <w:t xml:space="preserve">水利工程、智慧水务、工程数字化、算力租赁、数据中心、算力调度、绿电直连及基础设施运营。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滇中引水一期工程已完成93%以上，二期骨干工程将于年底前正式开工；国家发展改革委向民企推介36个投资项目；“十五五”算力网建设将新增直接投资4万亿元；今年1—8月水网建设引入民间投资134.3亿元、同比增长80.1%；已审批绿电直连项目中民资参与占约50%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解读：</w:t>
      </w:r>
      <w:r>
        <w:t xml:space="preserve"> </w:t>
      </w:r>
      <w:r>
        <w:rPr>
          <w:rFonts w:hint="eastAsia"/>
        </w:rPr>
        <w:t xml:space="preserve">当日最强的投资信号是民资从承包商转向投资运营者，以及算力网明确的大额直接投资目标。真正受益者需同时具备融资能力、技术能力、运营效率和回款纪律。</w:t>
      </w:r>
    </w:p>
    <w:bookmarkEnd w:id="19"/>
    <w:bookmarkStart w:id="20" w:name="X908291c792054e897d1384c03601305b9ea7102"/>
    <w:p>
      <w:pPr>
        <w:pStyle w:val="Heading3"/>
      </w:pPr>
      <w:r>
        <w:t xml:space="preserve">5. </w:t>
      </w:r>
      <w:r>
        <w:rPr>
          <w:rFonts w:hint="eastAsia"/>
        </w:rPr>
        <w:t xml:space="preserve">2030年我国新型电池产业规模将实现稳步增长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信号强度：★★★★★</w:t>
      </w:r>
      <w:r>
        <w:rPr>
          <w:rFonts w:hint="eastAsia"/>
        </w:rPr>
        <w:t xml:space="preserve">；</w:t>
      </w:r>
      <w:r>
        <w:rPr>
          <w:rFonts w:hint="eastAsia"/>
          <w:b/>
          <w:bCs/>
        </w:rPr>
        <w:t xml:space="preserve">A股影响：中长期利好。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受益板块：</w:t>
      </w:r>
      <w:r>
        <w:t xml:space="preserve"> </w:t>
      </w:r>
      <w:r>
        <w:rPr>
          <w:rFonts w:hint="eastAsia"/>
        </w:rPr>
        <w:t xml:space="preserve">全固态电池、锂电材料与设备、钠电池、液流电池、储能、汽车电动化、船舶电动化、航空电动化、机器人电源。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七部门联合规划提出，到2030年全固态电池初步实现规模化应用，长寿命锂电池循环寿命达到15000次，并赋能智能终端、汽车、船舶、航空和智能机器人等领域。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解读：</w:t>
      </w:r>
      <w:r>
        <w:t xml:space="preserve"> </w:t>
      </w:r>
      <w:r>
        <w:rPr>
          <w:rFonts w:hint="eastAsia"/>
        </w:rPr>
        <w:t xml:space="preserve">规划明确了技术指标和应用面，利于中长期研发与产线投入预期。但尚未披露补贴、产能或采购规模，短线交易应防止把远期目标当作现有业绩。</w:t>
      </w:r>
    </w:p>
    <w:bookmarkEnd w:id="20"/>
    <w:bookmarkStart w:id="21" w:name="X111b28926c869de5b61d8e2152b3ddb2903e21b"/>
    <w:p>
      <w:pPr>
        <w:pStyle w:val="Heading3"/>
      </w:pPr>
      <w:r>
        <w:t xml:space="preserve">6. </w:t>
      </w:r>
      <w:r>
        <w:rPr>
          <w:rFonts w:hint="eastAsia"/>
        </w:rPr>
        <w:t xml:space="preserve">2026年“外媒看中国”采访走进7省区市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信号强度：★★</w:t>
      </w:r>
      <w:r>
        <w:rPr>
          <w:rFonts w:hint="eastAsia"/>
        </w:rPr>
        <w:t xml:space="preserve">；</w:t>
      </w:r>
      <w:r>
        <w:rPr>
          <w:rFonts w:hint="eastAsia"/>
          <w:b/>
          <w:bCs/>
        </w:rPr>
        <w:t xml:space="preserve">A股影响：中性偏积极；时效：中长期。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相关方向：</w:t>
      </w:r>
      <w:r>
        <w:t xml:space="preserve"> </w:t>
      </w:r>
      <w:r>
        <w:rPr>
          <w:rFonts w:hint="eastAsia"/>
        </w:rPr>
        <w:t xml:space="preserve">高水平开放、跨境数据服务、粤港澳大湾区、人工智能、人形机器人、现代农业和绿色转型。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来自18个国家的记者走进7省区市，采访虹桥国际中央商务区、临港新片区数据跨境服务中心、粤港澳大湾区、安徽现代产业体系，以及北京、浙江的人工智能和人形机器人等内容。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解读：</w:t>
      </w:r>
      <w:r>
        <w:t xml:space="preserve"> </w:t>
      </w:r>
      <w:r>
        <w:rPr>
          <w:rFonts w:hint="eastAsia"/>
        </w:rPr>
        <w:t xml:space="preserve">该条重在对外展示开放与高质量发展成果，没有新增产业政策、项目金额或公司订单。板块映射属于长期形象与合作预期，不宜作为独立强催化。</w:t>
      </w:r>
    </w:p>
    <w:bookmarkEnd w:id="21"/>
    <w:bookmarkStart w:id="22" w:name="Xf038aad8be48d331112e7cb711ae2a859beb523"/>
    <w:p>
      <w:pPr>
        <w:pStyle w:val="Heading3"/>
      </w:pPr>
      <w:r>
        <w:t xml:space="preserve">7. </w:t>
      </w:r>
      <w:r>
        <w:rPr>
          <w:rFonts w:hint="eastAsia"/>
        </w:rPr>
        <w:t xml:space="preserve">【文化中国行·校馆弦歌】南开大学图书馆：知中国</w:t>
      </w:r>
      <w:r>
        <w:t xml:space="preserve"> </w:t>
      </w:r>
      <w:r>
        <w:rPr>
          <w:rFonts w:hint="eastAsia"/>
        </w:rPr>
        <w:t xml:space="preserve">服务中国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信号强度：★★</w:t>
      </w:r>
      <w:r>
        <w:rPr>
          <w:rFonts w:hint="eastAsia"/>
        </w:rPr>
        <w:t xml:space="preserve">；</w:t>
      </w:r>
      <w:r>
        <w:rPr>
          <w:rFonts w:hint="eastAsia"/>
          <w:b/>
          <w:bCs/>
        </w:rPr>
        <w:t xml:space="preserve">A股影响：中性偏积极；时效：长期。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相关方向：</w:t>
      </w:r>
      <w:r>
        <w:t xml:space="preserve"> </w:t>
      </w:r>
      <w:r>
        <w:rPr>
          <w:rFonts w:hint="eastAsia"/>
        </w:rPr>
        <w:t xml:space="preserve">高校科研成果转化、新能源材料、创新药、精细化工和乡村技术服务。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南开相关原创成果可降低高端新药、精细化工产品研发成本，多项新能源材料、抗肿瘤新药成果落地转化；数万名师生在31个省区市建成114个乡村工作站，三年间成果和服务项目已在27个省份落地。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解读：</w:t>
      </w:r>
      <w:r>
        <w:t xml:space="preserve"> </w:t>
      </w:r>
      <w:r>
        <w:rPr>
          <w:rFonts w:hint="eastAsia"/>
        </w:rPr>
        <w:t xml:space="preserve">信号指向科研报国和成果转化，但节目未披露具体专利许可、企业合作金额和商业收入。对A股更多是科研转化方向观察，而非可立即量化的业绩催化。</w:t>
      </w:r>
    </w:p>
    <w:bookmarkEnd w:id="22"/>
    <w:bookmarkStart w:id="23" w:name="X5e3ff0eab25d15fcdb9ca811901088a578db0a4"/>
    <w:p>
      <w:pPr>
        <w:pStyle w:val="Heading3"/>
      </w:pPr>
      <w:r>
        <w:t xml:space="preserve">8. </w:t>
      </w:r>
      <w:r>
        <w:rPr>
          <w:rFonts w:hint="eastAsia"/>
        </w:rPr>
        <w:t xml:space="preserve">国内快讯：国务院安委办调度国庆假期安全防范工作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信号强度：★★★</w:t>
      </w:r>
      <w:r>
        <w:rPr>
          <w:rFonts w:hint="eastAsia"/>
        </w:rPr>
        <w:t xml:space="preserve">；</w:t>
      </w:r>
      <w:r>
        <w:rPr>
          <w:rFonts w:hint="eastAsia"/>
          <w:b/>
          <w:bCs/>
        </w:rPr>
        <w:t xml:space="preserve">A股影响：中性偏积极；时效：短期。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相关方向：</w:t>
      </w:r>
      <w:r>
        <w:t xml:space="preserve"> </w:t>
      </w:r>
      <w:r>
        <w:rPr>
          <w:rFonts w:hint="eastAsia"/>
        </w:rPr>
        <w:t xml:space="preserve">应急装备、气象监测、地质灾害预警、森林草原防火、交通安全和客流监测。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国务院安委办、应急管理部要求关注云南、海南强降雨灾害影响，加强内蒙古、华北森林草原火源管控，并针对返程高峰加强值守检查。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解读：</w:t>
      </w:r>
      <w:r>
        <w:t xml:space="preserve"> </w:t>
      </w:r>
      <w:r>
        <w:rPr>
          <w:rFonts w:hint="eastAsia"/>
        </w:rPr>
        <w:t xml:space="preserve">属于明确的安全防范部署，但没有新增采购和预算信息。应急方向只有在后续项目、招标或设备更新落地时才具备更强基本面支撑。</w:t>
      </w:r>
    </w:p>
    <w:bookmarkEnd w:id="23"/>
    <w:bookmarkStart w:id="24" w:name="X4ed421fdd08e5d96aee9bcede3e657fcdea4612"/>
    <w:p>
      <w:pPr>
        <w:pStyle w:val="Heading3"/>
      </w:pPr>
      <w:r>
        <w:t xml:space="preserve">9. </w:t>
      </w:r>
      <w:r>
        <w:rPr>
          <w:rFonts w:hint="eastAsia"/>
        </w:rPr>
        <w:t xml:space="preserve">国内快讯：西部陆海新通道铁海联运运输量突破100万标箱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信号强度：★★★</w:t>
      </w:r>
      <w:r>
        <w:rPr>
          <w:rFonts w:hint="eastAsia"/>
        </w:rPr>
        <w:t xml:space="preserve">；</w:t>
      </w:r>
      <w:r>
        <w:rPr>
          <w:rFonts w:hint="eastAsia"/>
          <w:b/>
          <w:bCs/>
        </w:rPr>
        <w:t xml:space="preserve">A股影响：中期偏利好。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受益板块：</w:t>
      </w:r>
      <w:r>
        <w:t xml:space="preserve"> </w:t>
      </w:r>
      <w:r>
        <w:rPr>
          <w:rFonts w:hint="eastAsia"/>
        </w:rPr>
        <w:t xml:space="preserve">铁路物流、港口、集装箱运输、多式联运和西南外贸服务。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截至10月6日，今年西部陆海新通道铁海联运班列集装箱运输量突破100万标箱；全国铁路第四季度调图后将新增2条图定班列运行线路。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解读：</w:t>
      </w:r>
      <w:r>
        <w:t xml:space="preserve"> </w:t>
      </w:r>
      <w:r>
        <w:rPr>
          <w:rFonts w:hint="eastAsia"/>
        </w:rPr>
        <w:t xml:space="preserve">运输量和线路扩容支持通道景气判断，但节目未披露运价、利润率及各运营主体份额。后续需跟踪货量持续性、港站效率和外贸需求。</w:t>
      </w:r>
    </w:p>
    <w:bookmarkEnd w:id="24"/>
    <w:bookmarkStart w:id="25" w:name="X561fa933416cb413a62411f848d19712d2f9e79"/>
    <w:p>
      <w:pPr>
        <w:pStyle w:val="Heading3"/>
      </w:pPr>
      <w:r>
        <w:t xml:space="preserve">10. </w:t>
      </w:r>
      <w:r>
        <w:rPr>
          <w:rFonts w:hint="eastAsia"/>
        </w:rPr>
        <w:t xml:space="preserve">国内快讯：“港车北上”“澳车北上”超8万辆次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信号强度：★★</w:t>
      </w:r>
      <w:r>
        <w:rPr>
          <w:rFonts w:hint="eastAsia"/>
        </w:rPr>
        <w:t xml:space="preserve">；</w:t>
      </w:r>
      <w:r>
        <w:rPr>
          <w:rFonts w:hint="eastAsia"/>
          <w:b/>
          <w:bCs/>
        </w:rPr>
        <w:t xml:space="preserve">A股影响：中性偏利好；时效：短期至中期。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受益板块：</w:t>
      </w:r>
      <w:r>
        <w:t xml:space="preserve"> </w:t>
      </w:r>
      <w:r>
        <w:rPr>
          <w:rFonts w:hint="eastAsia"/>
        </w:rPr>
        <w:t xml:space="preserve">粤港澳交通服务、口岸服务、区域文旅、商业零售和停车充电配套。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10月1日至5日，经港珠澳大桥口岸通行车辆8.04万辆次，同比增长11.1%；其中“港车北上”6.01万辆次，同比增长24%，创历年国庆同期新高。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解读：</w:t>
      </w:r>
      <w:r>
        <w:t xml:space="preserve"> </w:t>
      </w:r>
      <w:r>
        <w:rPr>
          <w:rFonts w:hint="eastAsia"/>
        </w:rPr>
        <w:t xml:space="preserve">跨境车流增长反映区域往来活跃，但流量不直接等于消费额或上市公司收入。需结合口岸客流、商圈消费和交通服务经营数据判断兑现。</w:t>
      </w:r>
    </w:p>
    <w:bookmarkEnd w:id="25"/>
    <w:bookmarkStart w:id="26" w:name="X76c9e8d74f23d07daecd3da870ccbb24c814875"/>
    <w:p>
      <w:pPr>
        <w:pStyle w:val="Heading3"/>
      </w:pPr>
      <w:r>
        <w:t xml:space="preserve">11. </w:t>
      </w:r>
      <w:r>
        <w:rPr>
          <w:rFonts w:hint="eastAsia"/>
        </w:rPr>
        <w:t xml:space="preserve">国内快讯：国庆档票房突破10亿元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信号强度：★★★</w:t>
      </w:r>
      <w:r>
        <w:rPr>
          <w:rFonts w:hint="eastAsia"/>
        </w:rPr>
        <w:t xml:space="preserve">；</w:t>
      </w:r>
      <w:r>
        <w:rPr>
          <w:rFonts w:hint="eastAsia"/>
          <w:b/>
          <w:bCs/>
        </w:rPr>
        <w:t xml:space="preserve">A股影响：短期偏利好。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受益板块：</w:t>
      </w:r>
      <w:r>
        <w:t xml:space="preserve"> </w:t>
      </w:r>
      <w:r>
        <w:rPr>
          <w:rFonts w:hint="eastAsia"/>
        </w:rPr>
        <w:t xml:space="preserve">影视制作发行、院线、票务平台、电影衍生和“电影+文旅”。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国庆档票房在10月6日突破10亿元，《神探之痕迹》以近4亿元领跑；国庆档观影场次和人次均创同期新高，多地开展“电影+”及主题放映活动。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解读：</w:t>
      </w:r>
      <w:r>
        <w:t xml:space="preserve"> </w:t>
      </w:r>
      <w:r>
        <w:rPr>
          <w:rFonts w:hint="eastAsia"/>
        </w:rPr>
        <w:t xml:space="preserve">票房和人次是正面需求信号，但影片分账、宣发成本、院线经营费用和后续排片决定利润分配，不能从大盘票房直接推导全部影视公司受益。</w:t>
      </w:r>
    </w:p>
    <w:bookmarkEnd w:id="26"/>
    <w:bookmarkStart w:id="27" w:name="Xcca6fc82f4ed9e36eb2f9b5ee4d134e56484edb"/>
    <w:p>
      <w:pPr>
        <w:pStyle w:val="Heading3"/>
      </w:pPr>
      <w:r>
        <w:t xml:space="preserve">12. </w:t>
      </w:r>
      <w:r>
        <w:rPr>
          <w:rFonts w:hint="eastAsia"/>
        </w:rPr>
        <w:t xml:space="preserve">联合国人权理事会通过中国提出的人人享有无障碍决议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信号强度：★★★</w:t>
      </w:r>
      <w:r>
        <w:rPr>
          <w:rFonts w:hint="eastAsia"/>
        </w:rPr>
        <w:t xml:space="preserve">；</w:t>
      </w:r>
      <w:r>
        <w:rPr>
          <w:rFonts w:hint="eastAsia"/>
          <w:b/>
          <w:bCs/>
        </w:rPr>
        <w:t xml:space="preserve">A股影响：中长期偏利好。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受益板块：</w:t>
      </w:r>
      <w:r>
        <w:t xml:space="preserve"> </w:t>
      </w:r>
      <w:r>
        <w:rPr>
          <w:rFonts w:hint="eastAsia"/>
        </w:rPr>
        <w:t xml:space="preserve">适老化改造、无障碍设施、康复辅具、智慧养老、无障碍数字产品和AI辅助技术。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联合国人权理事会第63届会议协商一致通过中国代表47国提出的相关决议，决议聚焦人口老龄化、无障碍和适老化建设，并关注人工智能等新兴技术带来的机遇和挑战。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解读：</w:t>
      </w:r>
      <w:r>
        <w:t xml:space="preserve"> </w:t>
      </w:r>
      <w:r>
        <w:rPr>
          <w:rFonts w:hint="eastAsia"/>
        </w:rPr>
        <w:t xml:space="preserve">决议强化国际合作与标准议题，但不是中国国内新增采购政策。产业兑现仍取决于国内标准、改造项目、财政投入和产品可及性。</w:t>
      </w:r>
    </w:p>
    <w:bookmarkEnd w:id="27"/>
    <w:bookmarkStart w:id="28" w:name="X5b7c12feafe5cc56ab20ef78b8cb657258aaff0"/>
    <w:p>
      <w:pPr>
        <w:pStyle w:val="Heading3"/>
      </w:pPr>
      <w:r>
        <w:t xml:space="preserve">13. </w:t>
      </w:r>
      <w:r>
        <w:rPr>
          <w:rFonts w:hint="eastAsia"/>
        </w:rPr>
        <w:t xml:space="preserve">也门多地战事与沙特方向军事部署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  <w:b/>
          <w:bCs/>
        </w:rPr>
        <w:t xml:space="preserve">信号强度：★★★★</w:t>
      </w:r>
      <w:r>
        <w:rPr>
          <w:rFonts w:hint="eastAsia"/>
        </w:rPr>
        <w:t xml:space="preserve">；</w:t>
      </w:r>
      <w:r>
        <w:rPr>
          <w:rFonts w:hint="eastAsia"/>
          <w:b/>
          <w:bCs/>
        </w:rPr>
        <w:t xml:space="preserve">A股影响：风险偏好偏空，能源与航运方向分化；时效：短期。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  <w:b/>
          <w:bCs/>
        </w:rPr>
        <w:t xml:space="preserve">可能受益：</w:t>
      </w:r>
      <w:r>
        <w:t xml:space="preserve"> </w:t>
      </w:r>
      <w:r>
        <w:rPr>
          <w:rFonts w:hint="eastAsia"/>
        </w:rPr>
        <w:t xml:space="preserve">油气、油运、黄金和能源安全；</w:t>
      </w:r>
      <w:r>
        <w:rPr>
          <w:rFonts w:hint="eastAsia"/>
          <w:b/>
          <w:bCs/>
        </w:rPr>
        <w:t xml:space="preserve">可能承压：</w:t>
      </w:r>
      <w:r>
        <w:t xml:space="preserve"> </w:t>
      </w:r>
      <w:r>
        <w:rPr>
          <w:rFonts w:hint="eastAsia"/>
        </w:rPr>
        <w:t xml:space="preserve">航空、部分化工下游、外贸运输链和高估值风险资产。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也门媒体称政府军在曼德海峡地区、祖巴卜机场和穆哈等地推进，胡塞武装称仍控制近期攻下区域；多国联军称在荷台达省打击目标；胡塞武装称使用导弹、无人机打击沙特机场、炼油厂等目标；沙特、巴基斯坦、土耳其同意立即在沙特部署军事力量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  <w:b/>
          <w:bCs/>
        </w:rPr>
        <w:t xml:space="preserve">解读：</w:t>
      </w:r>
      <w:r>
        <w:t xml:space="preserve"> </w:t>
      </w:r>
      <w:r>
        <w:rPr>
          <w:rFonts w:hint="eastAsia"/>
        </w:rPr>
        <w:t xml:space="preserve">各方说法存在对立，节目没有证实航道关闭、设施受损程度或能源供应中断。市场映射应以通航、油价、运价和保险成本为证据，不把战报当成确定事实。</w:t>
      </w:r>
    </w:p>
    <w:bookmarkEnd w:id="28"/>
    <w:bookmarkStart w:id="29" w:name="Xdbd58c5e66f5113a4f71e95bab4089bae0c9a49"/>
    <w:p>
      <w:pPr>
        <w:pStyle w:val="Heading3"/>
      </w:pPr>
      <w:r>
        <w:t xml:space="preserve">14. </w:t>
      </w:r>
      <w:r>
        <w:rPr>
          <w:rFonts w:hint="eastAsia"/>
        </w:rPr>
        <w:t xml:space="preserve">俄称必对日本反俄措施进行对等反制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信号强度：★★★</w:t>
      </w:r>
      <w:r>
        <w:rPr>
          <w:rFonts w:hint="eastAsia"/>
        </w:rPr>
        <w:t xml:space="preserve">；</w:t>
      </w:r>
      <w:r>
        <w:rPr>
          <w:rFonts w:hint="eastAsia"/>
          <w:b/>
          <w:bCs/>
        </w:rPr>
        <w:t xml:space="preserve">A股影响：总体中性偏风险；时效：短期至中期。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相关方向：</w:t>
      </w:r>
      <w:r>
        <w:t xml:space="preserve"> </w:t>
      </w:r>
      <w:r>
        <w:rPr>
          <w:rFonts w:hint="eastAsia"/>
        </w:rPr>
        <w:t xml:space="preserve">东北亚航运、能源贸易、避险资产及对日俄业务敞口企业。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俄罗斯外交部发言人称，日本因乌克兰局势对俄制裁并首次涉及航运领域，俄方将采取对等反制，且措施将首先针对日本有重要利益的领域。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解读：</w:t>
      </w:r>
      <w:r>
        <w:t xml:space="preserve"> </w:t>
      </w:r>
      <w:r>
        <w:rPr>
          <w:rFonts w:hint="eastAsia"/>
        </w:rPr>
        <w:t xml:space="preserve">反制对象和具体措施尚未公布，不能提前推断某一商品、航线或行业必然受影响。后续应等待正式政策及贸易流变化。</w:t>
      </w:r>
    </w:p>
    <w:bookmarkEnd w:id="29"/>
    <w:bookmarkStart w:id="30" w:name="X5f32a4e202bf0338d51574890013c41adbe8a52"/>
    <w:p>
      <w:pPr>
        <w:pStyle w:val="Heading3"/>
      </w:pPr>
      <w:r>
        <w:t xml:space="preserve">15. </w:t>
      </w:r>
      <w:r>
        <w:rPr>
          <w:rFonts w:hint="eastAsia"/>
        </w:rPr>
        <w:t xml:space="preserve">国际快讯：联合国秘书长呼吁加沙实现持久和平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信号强度：★★★</w:t>
      </w:r>
      <w:r>
        <w:rPr>
          <w:rFonts w:hint="eastAsia"/>
        </w:rPr>
        <w:t xml:space="preserve">；</w:t>
      </w:r>
      <w:r>
        <w:rPr>
          <w:rFonts w:hint="eastAsia"/>
          <w:b/>
          <w:bCs/>
        </w:rPr>
        <w:t xml:space="preserve">A股影响：中性偏风险；时效：短期。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相关方向：</w:t>
      </w:r>
      <w:r>
        <w:t xml:space="preserve"> </w:t>
      </w:r>
      <w:r>
        <w:rPr>
          <w:rFonts w:hint="eastAsia"/>
        </w:rPr>
        <w:t xml:space="preserve">能源、航运、黄金和军工可能受地缘情绪影响。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联合国秘书长呼吁落实停火承诺并推进下一阶段停火；以色列总理称将继续在加沙地带和黎巴嫩采取军事行动。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解读：</w:t>
      </w:r>
      <w:r>
        <w:t xml:space="preserve"> </w:t>
      </w:r>
      <w:r>
        <w:rPr>
          <w:rFonts w:hint="eastAsia"/>
        </w:rPr>
        <w:t xml:space="preserve">和平呼吁与继续行动的表态并存，说明不确定性尚未消除。原文没有提供新的停火协议或供应中断事实，对A股主要是风险偏好扰动。</w:t>
      </w:r>
    </w:p>
    <w:bookmarkEnd w:id="30"/>
    <w:bookmarkStart w:id="31" w:name="Xceae3755a5efd238de8b8880660c8364f355341"/>
    <w:p>
      <w:pPr>
        <w:pStyle w:val="Heading3"/>
      </w:pPr>
      <w:r>
        <w:t xml:space="preserve">16. </w:t>
      </w:r>
      <w:r>
        <w:rPr>
          <w:rFonts w:hint="eastAsia"/>
        </w:rPr>
        <w:t xml:space="preserve">国际快讯：法国财政状况引担忧，欧元大幅走低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  <w:b/>
          <w:bCs/>
        </w:rPr>
        <w:t xml:space="preserve">信号强度：★★★</w:t>
      </w:r>
      <w:r>
        <w:rPr>
          <w:rFonts w:hint="eastAsia"/>
        </w:rPr>
        <w:t xml:space="preserve">；</w:t>
      </w:r>
      <w:r>
        <w:rPr>
          <w:rFonts w:hint="eastAsia"/>
          <w:b/>
          <w:bCs/>
        </w:rPr>
        <w:t xml:space="preserve">A股影响：外需与风险偏好中性偏空；时效：短期至中期。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  <w:b/>
          <w:bCs/>
        </w:rPr>
        <w:t xml:space="preserve">可能承压：</w:t>
      </w:r>
      <w:r>
        <w:t xml:space="preserve"> </w:t>
      </w:r>
      <w:r>
        <w:rPr>
          <w:rFonts w:hint="eastAsia"/>
        </w:rPr>
        <w:t xml:space="preserve">对欧出口、欧洲收入占比较高的企业及高贝塔风险资产；</w:t>
      </w:r>
      <w:r>
        <w:rPr>
          <w:rFonts w:hint="eastAsia"/>
          <w:b/>
          <w:bCs/>
        </w:rPr>
        <w:t xml:space="preserve">观察方向：</w:t>
      </w:r>
      <w:r>
        <w:t xml:space="preserve"> </w:t>
      </w:r>
      <w:r>
        <w:rPr>
          <w:rFonts w:hint="eastAsia"/>
        </w:rPr>
        <w:t xml:space="preserve">外汇套保和避险资产。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欧元对美元一度跌至1欧元兑1.1161美元，为2025年5月以来最低；欧元此前连续4周下跌。报道将主要原因指向法国高债务、高赤字及总统选举前政治僵局担忧。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  <w:b/>
          <w:bCs/>
        </w:rPr>
        <w:t xml:space="preserve">解读：</w:t>
      </w:r>
      <w:r>
        <w:t xml:space="preserve"> </w:t>
      </w:r>
      <w:r>
        <w:rPr>
          <w:rFonts w:hint="eastAsia"/>
        </w:rPr>
        <w:t xml:space="preserve">汇率变化可能影响出口换算和欧洲需求预期，但节目没有披露中国企业订单变化。企业实际影响取决于收入币种、成本结构和套保安排。</w:t>
      </w:r>
    </w:p>
    <w:bookmarkEnd w:id="31"/>
    <w:bookmarkStart w:id="32" w:name="X38ff1b7ea62905bca6681855bca972ab2069eba"/>
    <w:p>
      <w:pPr>
        <w:pStyle w:val="Heading3"/>
      </w:pPr>
      <w:r>
        <w:t xml:space="preserve">17. </w:t>
      </w:r>
      <w:r>
        <w:rPr>
          <w:rFonts w:hint="eastAsia"/>
        </w:rPr>
        <w:t xml:space="preserve">国际快讯：英航波音777客机急降并返航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  <w:b/>
          <w:bCs/>
        </w:rPr>
        <w:t xml:space="preserve">信号强度：★★</w:t>
      </w:r>
      <w:r>
        <w:rPr>
          <w:rFonts w:hint="eastAsia"/>
        </w:rPr>
        <w:t xml:space="preserve">；</w:t>
      </w:r>
      <w:r>
        <w:rPr>
          <w:rFonts w:hint="eastAsia"/>
          <w:b/>
          <w:bCs/>
        </w:rPr>
        <w:t xml:space="preserve">A股影响：总体中性；时效：短期。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  <w:b/>
          <w:bCs/>
        </w:rPr>
        <w:t xml:space="preserve">相关方向：</w:t>
      </w:r>
      <w:r>
        <w:t xml:space="preserve"> </w:t>
      </w:r>
      <w:r>
        <w:rPr>
          <w:rFonts w:hint="eastAsia"/>
        </w:rPr>
        <w:t xml:space="preserve">航空安全、飞机维修和检测仅有弱主题映射。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英航一架波音777客机因技术问题紧急返航，数分钟内从11200多米降至2700多米，最终在伦敦希思罗机场降落；更多原因尚未公布。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  <w:b/>
          <w:bCs/>
        </w:rPr>
        <w:t xml:space="preserve">解读：</w:t>
      </w:r>
      <w:r>
        <w:t xml:space="preserve"> </w:t>
      </w:r>
      <w:r>
        <w:rPr>
          <w:rFonts w:hint="eastAsia"/>
        </w:rPr>
        <w:t xml:space="preserve">这是单一航空事件，原文没有人员伤亡、机型停飞、监管措施或供应链结论，不应外推为全球航空制造产业趋势。</w:t>
      </w:r>
    </w:p>
    <w:bookmarkEnd w:id="32"/>
    <w:bookmarkStart w:id="33" w:name="Xa508596952bf93a24fac72a8c2c5349e1519ec8"/>
    <w:p>
      <w:pPr>
        <w:pStyle w:val="Heading3"/>
      </w:pPr>
      <w:r>
        <w:t xml:space="preserve">18. </w:t>
      </w:r>
      <w:r>
        <w:rPr>
          <w:rFonts w:hint="eastAsia"/>
        </w:rPr>
        <w:t xml:space="preserve">神州锦绣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  <w:b/>
          <w:bCs/>
        </w:rPr>
        <w:t xml:space="preserve">信号强度：★</w:t>
      </w:r>
      <w:r>
        <w:rPr>
          <w:rFonts w:hint="eastAsia"/>
        </w:rPr>
        <w:t xml:space="preserve">；</w:t>
      </w:r>
      <w:r>
        <w:rPr>
          <w:rFonts w:hint="eastAsia"/>
          <w:b/>
          <w:bCs/>
        </w:rPr>
        <w:t xml:space="preserve">A股影响：中性。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  <w:b/>
          <w:bCs/>
        </w:rPr>
        <w:t xml:space="preserve">相关方向：</w:t>
      </w:r>
      <w:r>
        <w:t xml:space="preserve"> </w:t>
      </w:r>
      <w:r>
        <w:rPr>
          <w:rFonts w:hint="eastAsia"/>
        </w:rPr>
        <w:t xml:space="preserve">农业丰收和乡村文旅仅作长期观察。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节目以金秋五谷丰登和希望田野的丰收图景收尾，未提供新增政策、项目或数据。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  <w:b/>
          <w:bCs/>
        </w:rPr>
        <w:t xml:space="preserve">解读：</w:t>
      </w:r>
      <w:r>
        <w:t xml:space="preserve"> </w:t>
      </w:r>
      <w:r>
        <w:rPr>
          <w:rFonts w:hint="eastAsia"/>
        </w:rPr>
        <w:t xml:space="preserve">属于形象展示，与头条农业主题呼应，但不构成独立、可量化的新增资本市场催化。</w:t>
      </w:r>
    </w:p>
    <w:bookmarkEnd w:id="33"/>
    <w:bookmarkEnd w:id="34"/>
    <w:bookmarkStart w:id="35" w:name="四板块影响汇总"/>
    <w:p>
      <w:pPr>
        <w:pStyle w:val="Heading2"/>
      </w:pPr>
      <w:r>
        <w:rPr>
          <w:rFonts w:hint="eastAsia"/>
        </w:rPr>
        <w:t xml:space="preserve">四、板块影响汇总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板块方向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影响判断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驱动新闻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信号强度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主要验证点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算力网/数据中心/算力调度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中期利好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“十五五”新增直接投资4万亿元、民企参与</w:t>
            </w:r>
          </w:p>
        </w:tc>
        <w:tc>
          <w:tcPr/>
          <w:p>
            <w:pPr>
              <w:pStyle w:val="Compact"/>
            </w:pPr>
            <w:r>
              <w:t xml:space="preserve">★★★★★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项目库、资本开支、利用率、供电与回款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水网/智慧水务/工程数字化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中期利好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滇中引水二期、民资全链条参与</w:t>
            </w:r>
          </w:p>
        </w:tc>
        <w:tc>
          <w:tcPr/>
          <w:p>
            <w:pPr>
              <w:pStyle w:val="Compact"/>
            </w:pPr>
            <w:r>
              <w:t xml:space="preserve">★★★★★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开工、中标、收益机制、运营现金流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固态电池/锂电设备与材料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中长期利好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七部门规划、2030年规模化目标</w:t>
            </w:r>
          </w:p>
        </w:tc>
        <w:tc>
          <w:tcPr/>
          <w:p>
            <w:pPr>
              <w:pStyle w:val="Compact"/>
            </w:pPr>
            <w:r>
              <w:t xml:space="preserve">★★★★★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良率、成本、认证、量产和订单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钠电池/液流电池/长寿命储能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中长期利好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新型电池技术路线与15000次目标</w:t>
            </w:r>
          </w:p>
        </w:tc>
        <w:tc>
          <w:tcPr/>
          <w:p>
            <w:pPr>
              <w:pStyle w:val="Compact"/>
            </w:pPr>
            <w:r>
              <w:t xml:space="preserve">★★★★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技术验证、循环寿命、度电成本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种业/种质资源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中长期利好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大食物观、种质普查和新品种推广</w:t>
            </w:r>
          </w:p>
        </w:tc>
        <w:tc>
          <w:tcPr/>
          <w:p>
            <w:pPr>
              <w:pStyle w:val="Compact"/>
            </w:pPr>
            <w:r>
              <w:t xml:space="preserve">★★★★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品种审定、推广面积、价格与盈利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设施农业/节水灌溉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中长期利好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2030年设施蔬菜占比目标</w:t>
            </w:r>
          </w:p>
        </w:tc>
        <w:tc>
          <w:tcPr/>
          <w:p>
            <w:pPr>
              <w:pStyle w:val="Compact"/>
            </w:pPr>
            <w:r>
              <w:t xml:space="preserve">★★★★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项目投资、设备订单、运营效率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海洋牧场/深远海养殖装备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中长期利好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57万吨产量及平台、工船布局</w:t>
            </w:r>
          </w:p>
        </w:tc>
        <w:tc>
          <w:tcPr/>
          <w:p>
            <w:pPr>
              <w:pStyle w:val="Compact"/>
            </w:pPr>
            <w:r>
              <w:t xml:space="preserve">★★★★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建造订单、养殖成活率、成本与回款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林下经济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中长期偏利好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超6亿亩、年产值突破1万亿元</w:t>
            </w:r>
          </w:p>
        </w:tc>
        <w:tc>
          <w:tcPr/>
          <w:p>
            <w:pPr>
              <w:pStyle w:val="Compact"/>
            </w:pPr>
            <w:r>
              <w:t xml:space="preserve">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标准化、渠道、生态约束和盈利质量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西部陆海新通道/港口物流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中期偏利好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铁海联运突破100万标箱、新增线路</w:t>
            </w:r>
          </w:p>
        </w:tc>
        <w:tc>
          <w:tcPr/>
          <w:p>
            <w:pPr>
              <w:pStyle w:val="Compact"/>
            </w:pPr>
            <w:r>
              <w:t xml:space="preserve">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货量、运价、周转效率、外贸需求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文旅/院线影视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短期偏利好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假期客流和国庆档票房</w:t>
            </w:r>
          </w:p>
        </w:tc>
        <w:tc>
          <w:tcPr/>
          <w:p>
            <w:pPr>
              <w:pStyle w:val="Compact"/>
            </w:pPr>
            <w:r>
              <w:t xml:space="preserve">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客单价、分账、上座率、毛利率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适老化/无障碍/康复辅具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中长期偏利好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联合国无障碍决议</w:t>
            </w:r>
          </w:p>
        </w:tc>
        <w:tc>
          <w:tcPr/>
          <w:p>
            <w:pPr>
              <w:pStyle w:val="Compact"/>
            </w:pPr>
            <w:r>
              <w:t xml:space="preserve">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国内标准、项目预算、订单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油气/油运/黄金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事件驱动偏利好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红海、沙特及加沙风险</w:t>
            </w:r>
          </w:p>
        </w:tc>
        <w:tc>
          <w:tcPr/>
          <w:p>
            <w:pPr>
              <w:pStyle w:val="Compact"/>
            </w:pPr>
            <w:r>
              <w:t xml:space="preserve">★★★★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实际通航、油价、运价、保险费率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航空/化工下游/外贸链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潜在承压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能源与航道风险、欧元走弱</w:t>
            </w:r>
          </w:p>
        </w:tc>
        <w:tc>
          <w:tcPr/>
          <w:p>
            <w:pPr>
              <w:pStyle w:val="Compact"/>
            </w:pPr>
            <w:r>
              <w:t xml:space="preserve">★★★★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燃油成本、绕行、汇率与订单</w:t>
            </w:r>
          </w:p>
        </w:tc>
      </w:tr>
    </w:tbl>
    <w:bookmarkEnd w:id="35"/>
    <w:bookmarkStart w:id="39" w:name="五操作建议"/>
    <w:p>
      <w:pPr>
        <w:pStyle w:val="Heading2"/>
      </w:pPr>
      <w:r>
        <w:rPr>
          <w:rFonts w:hint="eastAsia"/>
        </w:rPr>
        <w:t xml:space="preserve">五、操作建议</w:t>
      </w:r>
    </w:p>
    <w:bookmarkStart w:id="36" w:name="短线观察"/>
    <w:p>
      <w:pPr>
        <w:pStyle w:val="Heading3"/>
      </w:pPr>
      <w:r>
        <w:rPr>
          <w:rFonts w:hint="eastAsia"/>
        </w:rPr>
        <w:t xml:space="preserve">短线观察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  <w:b/>
          <w:bCs/>
        </w:rPr>
        <w:t xml:space="preserve">先看新型电池规划能否获得量价确认。</w:t>
      </w:r>
      <w:r>
        <w:t xml:space="preserve"> </w:t>
      </w:r>
      <w:r>
        <w:rPr>
          <w:rFonts w:hint="eastAsia"/>
        </w:rPr>
        <w:t xml:space="preserve">若固态电池、长寿命储能及设备材料形成板块共振，可视为政策催化被市场认可；若仅少数高位概念股脉冲，不追涨。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  <w:b/>
          <w:bCs/>
        </w:rPr>
        <w:t xml:space="preserve">六张网优先看订单与融资能力。</w:t>
      </w:r>
      <w:r>
        <w:t xml:space="preserve"> </w:t>
      </w:r>
      <w:r>
        <w:rPr>
          <w:rFonts w:hint="eastAsia"/>
        </w:rPr>
        <w:t xml:space="preserve">4万亿元是“十五五”算力网新增直接投资目标，不等于单日或单家公司收入。短线关注项目库、招标和中标，回避只讲空间、不讲现金流的标的。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  <w:b/>
          <w:bCs/>
        </w:rPr>
        <w:t xml:space="preserve">假期消费防止数据兑现。</w:t>
      </w:r>
      <w:r>
        <w:t xml:space="preserve"> </w:t>
      </w:r>
      <w:r>
        <w:rPr>
          <w:rFonts w:hint="eastAsia"/>
        </w:rPr>
        <w:t xml:space="preserve">客流、票房和交通数据偏暖，但节后需要收入、客单价、上座率和毛利率接力，否则容易出现利好兑现。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  <w:b/>
          <w:bCs/>
        </w:rPr>
        <w:t xml:space="preserve">地缘线等待硬证据。</w:t>
      </w:r>
      <w:r>
        <w:t xml:space="preserve"> </w:t>
      </w:r>
      <w:r>
        <w:rPr>
          <w:rFonts w:hint="eastAsia"/>
        </w:rPr>
        <w:t xml:space="preserve">对红海、沙特能源设施和加沙消息，只有实际通航、油价、运价及保险费率连续变化，才支持更高置信度交易。</w:t>
      </w:r>
    </w:p>
    <w:bookmarkEnd w:id="36"/>
    <w:bookmarkStart w:id="37" w:name="中线布局"/>
    <w:p>
      <w:pPr>
        <w:pStyle w:val="Heading3"/>
      </w:pPr>
      <w:r>
        <w:rPr>
          <w:rFonts w:hint="eastAsia"/>
        </w:rPr>
        <w:t xml:space="preserve">中线布局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多元食物供给优先关注种质资源、设施农业、节水灌溉和深远海养殖装备等具备工程化与技术壁垒的环节，验证品种推广、设备订单和运营效率。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算力网关注算电协同、调度平台、供电配套和利用率；水网关注项目收益机制、民资资本成本和运营回款，不以总投资空间替代盈利质量。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新型电池围绕固态、长寿命、钠电和液流路线分层跟踪，核心证据是量产良率、度电成本、安全验证、客户认证与真实订单。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适老化、无障碍和科研转化属于长期方向，等待国内标准、预算及商业项目落地后再提高权重。</w:t>
      </w:r>
    </w:p>
    <w:bookmarkEnd w:id="37"/>
    <w:bookmarkStart w:id="38" w:name="风险提示"/>
    <w:p>
      <w:pPr>
        <w:pStyle w:val="Heading3"/>
      </w:pPr>
      <w:r>
        <w:rPr>
          <w:rFonts w:hint="eastAsia"/>
        </w:rPr>
        <w:t xml:space="preserve">风险提示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本期规划目标、国家专项、投资空间和工程进度均不等于上市公司利润已经兑现。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民间资本参与基础设施可能同时带来资本开支、融资成本、建设周期和回款风险；“不能捆绑施工”会提高运营能力门槛。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新型电池存在技术路线、量产良率、成本下降和客户验证不及预期风险。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假日客流和票房为阶段性数据，不能外推全年需求或所有企业盈利。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也门、沙特、加沙和俄日相关消息含单方表述或未公布措施，局势及市场影响可能快速变化。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本期没有直接面向A股指数的资本市场政策，不应把结构性产业利好解读为指数全面上涨保证。</w:t>
      </w:r>
    </w:p>
    <w:bookmarkEnd w:id="38"/>
    <w:bookmarkEnd w:id="39"/>
    <w:bookmarkStart w:id="43" w:name="六事实核验与完整性审计"/>
    <w:p>
      <w:pPr>
        <w:pStyle w:val="Heading2"/>
      </w:pPr>
      <w:r>
        <w:rPr>
          <w:rFonts w:hint="eastAsia"/>
        </w:rPr>
        <w:t xml:space="preserve">六、事实核验与完整性审计</w:t>
      </w:r>
    </w:p>
    <w:bookmarkStart w:id="40" w:name="Xd6838d759bd83d20d0843765aee2e7a5b109e48"/>
    <w:p>
      <w:pPr>
        <w:pStyle w:val="Heading3"/>
      </w:pPr>
      <w:r>
        <w:t xml:space="preserve">6.1 </w:t>
      </w:r>
      <w:r>
        <w:rPr>
          <w:rFonts w:hint="eastAsia"/>
        </w:rPr>
        <w:t xml:space="preserve">原文覆盖</w:t>
      </w:r>
    </w:p>
    <w:p>
      <w:pPr>
        <w:pStyle w:val="FirstParagraph"/>
      </w:pPr>
      <w:r>
        <w:rPr>
          <w:rFonts w:hint="eastAsia"/>
        </w:rPr>
        <w:t xml:space="preserve">指定存档包含13个一级新闻栏目。其中“国内联播快讯”含4个独立分项，“国际联播快讯”含3个独立分项。将两组快讯拆分后，共18个可核验内容单元；本稿“分条A股影响分析”逐项覆盖18/18，无遗漏。</w:t>
      </w:r>
    </w:p>
    <w:bookmarkEnd w:id="40"/>
    <w:bookmarkStart w:id="41" w:name="X6168d406d7506a0d34b82966c1e0f8bec8f8e8d"/>
    <w:p>
      <w:pPr>
        <w:pStyle w:val="Heading3"/>
      </w:pPr>
      <w:r>
        <w:t xml:space="preserve">6.2 </w:t>
      </w:r>
      <w:r>
        <w:rPr>
          <w:rFonts w:hint="eastAsia"/>
        </w:rPr>
        <w:t xml:space="preserve">数字核验</w:t>
      </w:r>
    </w:p>
    <w:p>
      <w:pPr>
        <w:pStyle w:val="FirstParagraph"/>
      </w:pPr>
      <w:r>
        <w:rPr>
          <w:rFonts w:hint="eastAsia"/>
        </w:rPr>
        <w:t xml:space="preserve">本稿引用的关键数字均可在指定原文中定位，包括：粮食超过1.4万亿斤、蔬菜超过8.9亿吨、水果超过3.5亿吨、肉类超过1亿吨、水产品超过7600万吨；新增农作物种质资源13.9万份、畜禽遗传材料107万份、水产12万份；林下经济超6亿亩和年产值突破1万亿元；深远海养殖57万吨和7868万立方米；茶卡盐湖近15万人次、北京14家公园超385万人次；跨区域流动超3亿人次、铁路2210万人次和2199列、民航250万人次；滇中引水一期超93%、36个项目、算力网4万亿元、水网民资134.3亿元和同比80.1%、绿电直连民资约50%；长寿命锂电池15000次；铁海联运100万标箱；港澳车辆8.04万辆次、同比11.1%及“港车北上”同比24%；国庆档10亿元与影片近4亿元；欧元1.1161美元；英航客机11200多米降至2700多米。</w:t>
      </w:r>
    </w:p>
    <w:bookmarkEnd w:id="41"/>
    <w:bookmarkStart w:id="42" w:name="X9c42fd9701a1b1ffd93cdb1298d739729799eb3"/>
    <w:p>
      <w:pPr>
        <w:pStyle w:val="Heading3"/>
      </w:pPr>
      <w:r>
        <w:t xml:space="preserve">6.3 </w:t>
      </w:r>
      <w:r>
        <w:rPr>
          <w:rFonts w:hint="eastAsia"/>
        </w:rPr>
        <w:t xml:space="preserve">事实边界核验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所有联播事实、数字、地名和事件均取自唯一指定存档，未用其他新闻正文补写或改写联播事实。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“受益板块”“承压方向”“市场含义”“验证重点”均明确属于分析推演，不冒充原文表述。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未写入原文未提供的上市公司订单、利润、估值、股价表现、航道关闭、能源供应中断或事故原因。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对也门、胡塞武装、联军及沙特方向消息保留各方表述边界；对俄方反制未推测具体措施；对英航事件未推断机型系统性问题。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不推荐具体个股，不承诺收益。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  <w:b/>
          <w:bCs/>
        </w:rPr>
        <w:t xml:space="preserve">事实来源：</w:t>
      </w:r>
      <w:r>
        <w:t xml:space="preserve"> </w:t>
      </w:r>
      <w:r>
        <w:rPr>
          <w:rStyle w:val="VerbatimChar"/>
        </w:rPr>
        <w:t xml:space="preserve">/Users/qiji/.hermes/skills/finance/qiji-morning-know/memory/xinwenlianbo/2026-10-06.md</w:t>
      </w:r>
      <w:r>
        <w:br/>
      </w:r>
      <w:r>
        <w:rPr>
          <w:rFonts w:hint="eastAsia"/>
          <w:b/>
          <w:bCs/>
        </w:rPr>
        <w:t xml:space="preserve">分析与写稿模型：</w:t>
      </w:r>
      <w:r>
        <w:t xml:space="preserve"> </w:t>
      </w:r>
      <w:r>
        <w:t xml:space="preserve">GPT-5.6 Sol (openai-codex)</w:t>
      </w:r>
      <w:r>
        <w:br/>
      </w:r>
      <w:r>
        <w:rPr>
          <w:rFonts w:hint="eastAsia"/>
          <w:b/>
          <w:bCs/>
        </w:rPr>
        <w:t xml:space="preserve">免责声明：</w:t>
      </w:r>
      <w:r>
        <w:t xml:space="preserve"> </w:t>
      </w:r>
      <w:r>
        <w:rPr>
          <w:rFonts w:hint="eastAsia"/>
        </w:rPr>
        <w:t xml:space="preserve">本报告仅作新闻信息解读和政策研究，不构成任何投资建议。市场有风险，投资需谨慎。</w:t>
      </w:r>
    </w:p>
    <w:bookmarkEnd w:id="42"/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6">
    <w:abstractNumId w:val="991"/>
  </w:num>
  <w:num w:numId="1027">
    <w:abstractNumId w:val="991"/>
  </w:num>
  <w:num w:numId="102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off"/>
    </w:pPr>
  </w:style>
  <w:style w:customStyle="1" w:styleId="KeywordTok" w:type="character">
    <w:name w:val="KeywordTok"/>
    <w:basedOn w:val="VerbatimChar"/>
    <w:rPr>
      <w:b/>
      <w:color w:val="007020"/>
    </w:rPr>
  </w:style>
  <w:style w:customStyle="1" w:styleId="DataTypeTok" w:type="character">
    <w:name w:val="DataTypeTok"/>
    <w:basedOn w:val="VerbatimChar"/>
    <w:rPr>
      <w:color w:val="902000"/>
    </w:rPr>
  </w:style>
  <w:style w:customStyle="1" w:styleId="DecValTok" w:type="character">
    <w:name w:val="DecValTok"/>
    <w:basedOn w:val="VerbatimChar"/>
    <w:rPr>
      <w:color w:val="40a070"/>
    </w:rPr>
  </w:style>
  <w:style w:customStyle="1" w:styleId="BaseNTok" w:type="character">
    <w:name w:val="BaseNTok"/>
    <w:basedOn w:val="VerbatimChar"/>
    <w:rPr>
      <w:color w:val="40a070"/>
    </w:rPr>
  </w:style>
  <w:style w:customStyle="1" w:styleId="FloatTok" w:type="character">
    <w:name w:val="FloatTok"/>
    <w:basedOn w:val="VerbatimChar"/>
    <w:rPr>
      <w:color w:val="40a070"/>
    </w:rPr>
  </w:style>
  <w:style w:customStyle="1" w:styleId="ConstantTok" w:type="character">
    <w:name w:val="ConstantTok"/>
    <w:basedOn w:val="VerbatimChar"/>
    <w:rPr>
      <w:color w:val="880000"/>
    </w:rPr>
  </w:style>
  <w:style w:customStyle="1" w:styleId="CharTok" w:type="character">
    <w:name w:val="CharTok"/>
    <w:basedOn w:val="VerbatimChar"/>
    <w:rPr>
      <w:color w:val="4070a0"/>
    </w:rPr>
  </w:style>
  <w:style w:customStyle="1" w:styleId="SpecialCharTok" w:type="character">
    <w:name w:val="SpecialCharTok"/>
    <w:basedOn w:val="VerbatimChar"/>
    <w:rPr>
      <w:color w:val="4070a0"/>
    </w:rPr>
  </w:style>
  <w:style w:customStyle="1" w:styleId="StringTok" w:type="character">
    <w:name w:val="StringTok"/>
    <w:basedOn w:val="VerbatimChar"/>
    <w:rPr>
      <w:color w:val="4070a0"/>
    </w:rPr>
  </w:style>
  <w:style w:customStyle="1" w:styleId="VerbatimStringTok" w:type="character">
    <w:name w:val="VerbatimStringTok"/>
    <w:basedOn w:val="VerbatimChar"/>
    <w:rPr>
      <w:color w:val="4070a0"/>
    </w:rPr>
  </w:style>
  <w:style w:customStyle="1" w:styleId="SpecialStringTok" w:type="character">
    <w:name w:val="SpecialStringTok"/>
    <w:basedOn w:val="VerbatimChar"/>
    <w:rPr>
      <w:color w:val="bb6688"/>
    </w:rPr>
  </w:style>
  <w:style w:customStyle="1" w:styleId="ImportTok" w:type="character">
    <w:name w:val="ImportTok"/>
    <w:basedOn w:val="VerbatimChar"/>
    <w:rPr>
      <w:b/>
      <w:color w:val="008000"/>
    </w:rPr>
  </w:style>
  <w:style w:customStyle="1" w:styleId="CommentTok" w:type="character">
    <w:name w:val="CommentTok"/>
    <w:basedOn w:val="VerbatimChar"/>
    <w:rPr>
      <w:i/>
      <w:color w:val="60a0b0"/>
    </w:rPr>
  </w:style>
  <w:style w:customStyle="1" w:styleId="DocumentationTok" w:type="character">
    <w:name w:val="DocumentationTok"/>
    <w:basedOn w:val="VerbatimChar"/>
    <w:rPr>
      <w:i/>
      <w:color w:val="ba2121"/>
    </w:rPr>
  </w:style>
  <w:style w:customStyle="1" w:styleId="AnnotationTok" w:type="character">
    <w:name w:val="AnnotationTok"/>
    <w:basedOn w:val="VerbatimChar"/>
    <w:rPr>
      <w:b/>
      <w:i/>
      <w:color w:val="60a0b0"/>
    </w:rPr>
  </w:style>
  <w:style w:customStyle="1" w:styleId="CommentVarTok" w:type="character">
    <w:name w:val="CommentVarTok"/>
    <w:basedOn w:val="VerbatimChar"/>
    <w:rPr>
      <w:b/>
      <w:i/>
      <w:color w:val="60a0b0"/>
    </w:rPr>
  </w:style>
  <w:style w:customStyle="1" w:styleId="OtherTok" w:type="character">
    <w:name w:val="OtherTok"/>
    <w:basedOn w:val="VerbatimChar"/>
    <w:rPr>
      <w:color w:val="007020"/>
    </w:rPr>
  </w:style>
  <w:style w:customStyle="1" w:styleId="FunctionTok" w:type="character">
    <w:name w:val="FunctionTok"/>
    <w:basedOn w:val="VerbatimChar"/>
    <w:rPr>
      <w:color w:val="06287e"/>
    </w:rPr>
  </w:style>
  <w:style w:customStyle="1" w:styleId="VariableTok" w:type="character">
    <w:name w:val="VariableTok"/>
    <w:basedOn w:val="VerbatimChar"/>
    <w:rPr>
      <w:color w:val="19177c"/>
    </w:rPr>
  </w:style>
  <w:style w:customStyle="1" w:styleId="ControlFlowTok" w:type="character">
    <w:name w:val="ControlFlowTok"/>
    <w:basedOn w:val="VerbatimChar"/>
    <w:rPr>
      <w:b/>
      <w:color w:val="007020"/>
    </w:rPr>
  </w:style>
  <w:style w:customStyle="1" w:styleId="OperatorTok" w:type="character">
    <w:name w:val="OperatorTok"/>
    <w:basedOn w:val="VerbatimChar"/>
    <w:rPr>
      <w:color w:val="666666"/>
    </w:rPr>
  </w:style>
  <w:style w:customStyle="1" w:styleId="BuiltInTok" w:type="character">
    <w:name w:val="BuiltInTok"/>
    <w:basedOn w:val="VerbatimChar"/>
    <w:rPr>
      <w:color w:val="008000"/>
    </w:rPr>
  </w:style>
  <w:style w:customStyle="1" w:styleId="ExtensionTok" w:type="character">
    <w:name w:val="ExtensionTok"/>
    <w:basedOn w:val="VerbatimChar"/>
    <w:rPr/>
  </w:style>
  <w:style w:customStyle="1" w:styleId="PreprocessorTok" w:type="character">
    <w:name w:val="PreprocessorTok"/>
    <w:basedOn w:val="VerbatimChar"/>
    <w:rPr>
      <w:color w:val="bc7a00"/>
    </w:rPr>
  </w:style>
  <w:style w:customStyle="1" w:styleId="AttributeTok" w:type="character">
    <w:name w:val="AttributeTok"/>
    <w:basedOn w:val="VerbatimChar"/>
    <w:rPr>
      <w:color w:val="7d9029"/>
    </w:rPr>
  </w:style>
  <w:style w:customStyle="1" w:styleId="RegionMarkerTok" w:type="character">
    <w:name w:val="RegionMarkerTok"/>
    <w:basedOn w:val="VerbatimChar"/>
    <w:rPr/>
  </w:style>
  <w:style w:customStyle="1" w:styleId="InformationTok" w:type="character">
    <w:name w:val="InformationTok"/>
    <w:basedOn w:val="VerbatimChar"/>
    <w:rPr>
      <w:b/>
      <w:i/>
      <w:color w:val="60a0b0"/>
    </w:rPr>
  </w:style>
  <w:style w:customStyle="1" w:styleId="WarningTok" w:type="character">
    <w:name w:val="WarningTok"/>
    <w:basedOn w:val="VerbatimChar"/>
    <w:rPr>
      <w:b/>
      <w:i/>
      <w:color w:val="60a0b0"/>
    </w:rPr>
  </w:style>
  <w:style w:customStyle="1" w:styleId="AlertTok" w:type="character">
    <w:name w:val="AlertTok"/>
    <w:basedOn w:val="VerbatimChar"/>
    <w:rPr>
      <w:b/>
      <w:color w:val="ff0000"/>
    </w:rPr>
  </w:style>
  <w:style w:customStyle="1" w:styleId="ErrorTok" w:type="character">
    <w:name w:val="ErrorTok"/>
    <w:basedOn w:val="VerbatimChar"/>
    <w:rPr>
      <w:b/>
      <w:color w:val="ff0000"/>
    </w:rPr>
  </w:style>
  <w:style w:customStyle="1" w:styleId="NormalTok" w:type="character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2026-10-06T12:22:30Z</dcterms:created>
  <dcterms:modified xsi:type="dcterms:W3CDTF">2026-10-06T12:22:30Z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