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5" w:name="年10月5日新闻联播a股影响深度解读"/>
    <w:p>
      <w:pPr>
        <w:pStyle w:val="Heading1"/>
      </w:pPr>
      <w:r>
        <w:rPr>
          <w:rFonts w:hint="eastAsia"/>
        </w:rPr>
        <w:t xml:space="preserve">2026年10月5日《新闻联播》A股影响深度解读</w:t>
      </w:r>
    </w:p>
    <w:bookmarkStart w:id="9" w:name="一今日联播总评"/>
    <w:p>
      <w:pPr>
        <w:pStyle w:val="Heading2"/>
      </w:pPr>
      <w:r>
        <w:rPr>
          <w:rFonts w:hint="eastAsia"/>
        </w:rPr>
        <w:t xml:space="preserve">一、今日联播总评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整体基调：积极，结构性产业信号较强。</w:t>
      </w:r>
      <w:r>
        <w:t xml:space="preserve"> </w:t>
      </w:r>
      <w:r>
        <w:rPr>
          <w:rFonts w:hint="eastAsia"/>
        </w:rPr>
        <w:t xml:space="preserve">国内部分把“完成全年目标任务、实现‘十五五’良好开局”与基础设施、科技自立自强、消费升级和民生保障相连，形成稳增长与产业升级并举的叙事。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政策信号强度：中强。</w:t>
      </w:r>
      <w:r>
        <w:t xml:space="preserve"> </w:t>
      </w:r>
      <w:r>
        <w:rPr>
          <w:rFonts w:hint="eastAsia"/>
        </w:rPr>
        <w:t xml:space="preserve">头条集中展示水运、水网、智能电网、5G-A、万兆光网、算力枢纽和大科学装置；“六张网”调研进一步给出2030年新能源消纳、超算核心节点和6G试验等明确建设方向。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对A股总体影响：结构性利好为主，外部风险扰动上升。</w:t>
      </w:r>
      <w:r>
        <w:t xml:space="preserve"> </w:t>
      </w:r>
      <w:r>
        <w:rPr>
          <w:rFonts w:hint="eastAsia"/>
        </w:rPr>
        <w:t xml:space="preserve">新型电网、分布式光伏消纳、算力、通信、水网、海水淡化、国产科研与极地装备、文旅消费和以旧换新具备产业映射；曼德海峡战事及俄乌冲突可能扰动航运、能源价格和风险偏好。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编排观察：</w:t>
      </w:r>
      <w:r>
        <w:t xml:space="preserve"> </w:t>
      </w:r>
      <w:r>
        <w:rPr>
          <w:rFonts w:hint="eastAsia"/>
        </w:rPr>
        <w:t xml:space="preserve">头条以最高层关于实干、经济向新向优向好和完成全年目标的表述统领具体工程，属于方向确认；中段的经济数据和“六张网”报道提供可跟踪的产业指标；国际部分的航运要道冲突是当日主要风险项。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一句话结论：</w:t>
      </w:r>
      <w:r>
        <w:t xml:space="preserve"> </w:t>
      </w:r>
      <w:r>
        <w:rPr>
          <w:rFonts w:hint="eastAsia"/>
        </w:rPr>
        <w:t xml:space="preserve">节后优先观察“电网承载新能源—算力与通信基础设施—设备国产化”的共振，消费线等待收入与利润转化验证，地缘线不凭单方战报追涨。</w:t>
      </w:r>
    </w:p>
    <w:p>
      <w:pPr>
        <w:pStyle w:val="BlockText"/>
      </w:pPr>
      <w:r>
        <w:rPr>
          <w:rFonts w:hint="eastAsia"/>
          <w:b/>
          <w:bCs/>
        </w:rPr>
        <w:t xml:space="preserve">口径说明：</w:t>
      </w:r>
      <w:r>
        <w:t xml:space="preserve"> </w:t>
      </w:r>
      <w:r>
        <w:rPr>
          <w:rFonts w:hint="eastAsia"/>
        </w:rPr>
        <w:t xml:space="preserve">本稿唯一事实来源为指定的2026年10月5日《新闻联播》存档。受益板块、承压方向和操作框架均为基于原文的A股影响推演，不是联播原话，不构成个股推荐或收益承诺。</w:t>
      </w:r>
    </w:p>
    <w:bookmarkEnd w:id="9"/>
    <w:bookmarkStart w:id="16" w:name="二核心政策与市场信号"/>
    <w:p>
      <w:pPr>
        <w:pStyle w:val="Heading2"/>
      </w:pPr>
      <w:r>
        <w:rPr>
          <w:rFonts w:hint="eastAsia"/>
        </w:rPr>
        <w:t xml:space="preserve">二、核心政策与市场信号</w:t>
      </w:r>
    </w:p>
    <w:bookmarkStart w:id="10" w:name="向新向优向好落到基础设施与科技硬支撑"/>
    <w:p>
      <w:pPr>
        <w:pStyle w:val="Heading3"/>
      </w:pPr>
      <w:r>
        <w:t xml:space="preserve">1. </w:t>
      </w:r>
      <w:r>
        <w:rPr>
          <w:rFonts w:hint="eastAsia"/>
        </w:rPr>
        <w:t xml:space="preserve">“向新向优向好”落到基础设施与科技硬支撑（★★★★★）</w:t>
      </w:r>
    </w:p>
    <w:p>
      <w:pPr>
        <w:pStyle w:val="FirstParagraph"/>
      </w:pPr>
      <w:r>
        <w:rPr>
          <w:rFonts w:hint="eastAsia"/>
        </w:rPr>
        <w:t xml:space="preserve">头条引用习近平总书记关于推动经济持续向新向优向好发展、切实保障和改善民生、努力完成全年目标任务、实现“十五五”良好开局的表述，并用三峡水运新通道、5G-A、万兆光网、前坪水库灌区、大同至天津新型智能电网、“东数西算”节点、万卡级智算集群、国产大型邮轮和新一代X射线相干光源等工程予以展开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A股影响：利好，偏中期。</w:t>
      </w:r>
      <w:r>
        <w:t xml:space="preserve"> </w:t>
      </w:r>
      <w:r>
        <w:rPr>
          <w:rFonts w:hint="eastAsia"/>
        </w:rPr>
        <w:t xml:space="preserve">产业线索横跨水利水运、电网设备、绿电外送、通信网络、算力基础设施、科研仪器、高端装备与国产邮轮产业链。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市场含义：</w:t>
      </w:r>
      <w:r>
        <w:t xml:space="preserve"> </w:t>
      </w:r>
      <w:r>
        <w:rPr>
          <w:rFonts w:hint="eastAsia"/>
        </w:rPr>
        <w:t xml:space="preserve">这不是单一行业刺激，而是“重大工程形成实物工作量+科技自立自强+民生保障”的组合。由于节目未披露新增预算、招标或订单，市场定价仍需后续项目清单和公司公告验证。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风险：</w:t>
      </w:r>
      <w:r>
        <w:t xml:space="preserve"> </w:t>
      </w:r>
      <w:r>
        <w:rPr>
          <w:rFonts w:hint="eastAsia"/>
        </w:rPr>
        <w:t xml:space="preserve">宏观方向确认不等于所有概念同步兑现；在缺乏订单、产能利用率与回款证据时，不宜把远期工程空间直接折算为当期利润。</w:t>
      </w:r>
    </w:p>
    <w:bookmarkEnd w:id="10"/>
    <w:bookmarkStart w:id="11" w:name="新型电网成为新能源大规模消纳的关键约束"/>
    <w:p>
      <w:pPr>
        <w:pStyle w:val="Heading3"/>
      </w:pPr>
      <w:r>
        <w:t xml:space="preserve">2. </w:t>
      </w:r>
      <w:r>
        <w:rPr>
          <w:rFonts w:hint="eastAsia"/>
        </w:rPr>
        <w:t xml:space="preserve">新型电网成为新能源大规模消纳的关键约束（★★★★）</w:t>
      </w:r>
    </w:p>
    <w:p>
      <w:pPr>
        <w:pStyle w:val="FirstParagraph"/>
      </w:pPr>
      <w:r>
        <w:rPr>
          <w:rFonts w:hint="eastAsia"/>
        </w:rPr>
        <w:t xml:space="preserve">“一线调研”指出，宁波分布式光伏装机突破1000万千瓦，局部线路晴天一天出现十多次电压过高异常；全国新能源装机平均每年增长约2亿千瓦。节目给出的方向是提高新能源可预测、可调度、可控制能力，到2030年支撑超过28亿千瓦新能源消纳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A股影响：中期利好。</w:t>
      </w:r>
      <w:r>
        <w:t xml:space="preserve"> </w:t>
      </w:r>
      <w:r>
        <w:rPr>
          <w:rFonts w:hint="eastAsia"/>
        </w:rPr>
        <w:t xml:space="preserve">可关注配电网改造、柔性调节、智能调度、功率预测、传感与监测、电能质量治理、储能及电力信息化等方向。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产业逻辑：</w:t>
      </w:r>
      <w:r>
        <w:t xml:space="preserve"> </w:t>
      </w:r>
      <w:r>
        <w:rPr>
          <w:rFonts w:hint="eastAsia"/>
        </w:rPr>
        <w:t xml:space="preserve">分布式光伏增长把矛盾从“能不能发电”推进到“电网能不能安全接入和消纳”，电网投资的价值量可能向配网侧、数字化和灵活调节能力倾斜。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验证重点：</w:t>
      </w:r>
      <w:r>
        <w:t xml:space="preserve"> </w:t>
      </w:r>
      <w:r>
        <w:rPr>
          <w:rFonts w:hint="eastAsia"/>
        </w:rPr>
        <w:t xml:space="preserve">电网投资规划、地方配网改造清单、设备招标、储能调用机制及实际消纳水平。</w:t>
      </w:r>
    </w:p>
    <w:bookmarkEnd w:id="11"/>
    <w:bookmarkStart w:id="12" w:name="算力网6g与智能水网共同强化六张网主线"/>
    <w:p>
      <w:pPr>
        <w:pStyle w:val="Heading3"/>
      </w:pPr>
      <w:r>
        <w:t xml:space="preserve">3. </w:t>
      </w:r>
      <w:r>
        <w:rPr>
          <w:rFonts w:hint="eastAsia"/>
        </w:rPr>
        <w:t xml:space="preserve">算力网、6G与智能水网共同强化“六张网”主线（★★★★）</w:t>
      </w:r>
    </w:p>
    <w:p>
      <w:pPr>
        <w:pStyle w:val="FirstParagraph"/>
      </w:pPr>
      <w:r>
        <w:rPr>
          <w:rFonts w:hint="eastAsia"/>
        </w:rPr>
        <w:t xml:space="preserve">节目称，“天空地水工”一体化监测感知系统已覆盖30多万处安全监测点；国家超算互联网核心节点上线，提供超过10万卡算力，支撑十万亿级参数大模型训练；6G通智感融合外场试验持续开展，实现较5G提升10倍以上的连接能力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A股影响：利好，时效为中期至长期。</w:t>
      </w:r>
      <w:r>
        <w:t xml:space="preserve"> </w:t>
      </w:r>
      <w:r>
        <w:rPr>
          <w:rFonts w:hint="eastAsia"/>
        </w:rPr>
        <w:t xml:space="preserve">方向包括算力集群及运维、网络互联、光通信、通信测试、智能水利监测、传感器、时空信息与数据治理。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事实边界：</w:t>
      </w:r>
      <w:r>
        <w:t xml:space="preserve"> </w:t>
      </w:r>
      <w:r>
        <w:rPr>
          <w:rFonts w:hint="eastAsia"/>
        </w:rPr>
        <w:t xml:space="preserve">原文提供的是系统能力与试验进展，没有披露上市公司供应份额、采购金额或商业化时间表；“十万亿级参数”是训练支撑能力描述，不等于模型已形成商业收入。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验证重点：</w:t>
      </w:r>
      <w:r>
        <w:t xml:space="preserve"> </w:t>
      </w:r>
      <w:r>
        <w:rPr>
          <w:rFonts w:hint="eastAsia"/>
        </w:rPr>
        <w:t xml:space="preserve">节点利用率、能耗与供电配套、骨干网建设、6G标准进展、试验转商用节奏和水网项目预算。</w:t>
      </w:r>
    </w:p>
    <w:bookmarkEnd w:id="12"/>
    <w:bookmarkStart w:id="13" w:name="假日消费呈现场景升级以旧换新双线改善"/>
    <w:p>
      <w:pPr>
        <w:pStyle w:val="Heading3"/>
      </w:pPr>
      <w:r>
        <w:t xml:space="preserve">4. </w:t>
      </w:r>
      <w:r>
        <w:rPr>
          <w:rFonts w:hint="eastAsia"/>
        </w:rPr>
        <w:t xml:space="preserve">假日消费呈现“场景升级+以旧换新”双线改善（★★★）</w:t>
      </w:r>
    </w:p>
    <w:p>
      <w:pPr>
        <w:pStyle w:val="FirstParagraph"/>
      </w:pPr>
      <w:r>
        <w:rPr>
          <w:rFonts w:hint="eastAsia"/>
        </w:rPr>
        <w:t xml:space="preserve">商务部数据显示，国庆假期前三天，全国重点监测的78个步行街和商圈客流量同比增长3.4%，营业额增长5.3%。消费品以旧换新带动销售额196.3亿元、惠及348.3万人次；其中汽车以旧换新4.6万辆，带动新车销售额74.5亿元；家电以旧换新151.1万台，数码和智能产品购新170.9万件，二者合计带动销售额114亿元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A股影响：短期情绪偏利好，中期取决于政策延续和盈利转化。</w:t>
      </w:r>
      <w:r>
        <w:t xml:space="preserve"> </w:t>
      </w:r>
      <w:r>
        <w:rPr>
          <w:rFonts w:hint="eastAsia"/>
        </w:rPr>
        <w:t xml:space="preserve">可关注家电、汽车、消费电子、线下商业、商业运营及消费服务。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结构判断：</w:t>
      </w:r>
      <w:r>
        <w:t xml:space="preserve"> </w:t>
      </w:r>
      <w:r>
        <w:rPr>
          <w:rFonts w:hint="eastAsia"/>
        </w:rPr>
        <w:t xml:space="preserve">营业额增速高于客流增速，显示被监测商圈的交易活跃度改善；但样本仅为78个重点步行街和商圈，不能外推全国全部消费。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风险：</w:t>
      </w:r>
      <w:r>
        <w:t xml:space="preserve"> </w:t>
      </w:r>
      <w:r>
        <w:rPr>
          <w:rFonts w:hint="eastAsia"/>
        </w:rPr>
        <w:t xml:space="preserve">以旧换新数据体现政策带动的销售额，不等于企业净利润同比等幅增长；补贴节奏、价格竞争和渠道费用仍需核验。</w:t>
      </w:r>
    </w:p>
    <w:bookmarkEnd w:id="13"/>
    <w:bookmarkStart w:id="14" w:name="大宗商品价格与传统旺季共振但上下游影响分化"/>
    <w:p>
      <w:pPr>
        <w:pStyle w:val="Heading3"/>
      </w:pPr>
      <w:r>
        <w:t xml:space="preserve">5. </w:t>
      </w:r>
      <w:r>
        <w:rPr>
          <w:rFonts w:hint="eastAsia"/>
        </w:rPr>
        <w:t xml:space="preserve">大宗商品价格与传统旺季共振，但上下游影响分化（★★★）</w:t>
      </w:r>
    </w:p>
    <w:p>
      <w:pPr>
        <w:pStyle w:val="FirstParagraph"/>
      </w:pPr>
      <w:r>
        <w:rPr>
          <w:rFonts w:hint="eastAsia"/>
        </w:rPr>
        <w:t xml:space="preserve">9月份中国大宗商品价格指数为137.6点，环比上涨4.1%、同比上涨22.9%；重点监测的50种大宗商品中，38种价格环比上涨。有色金属和黑色金属价格指数均环比上涨，节目将其与传统生产建设旺季、重大项目开工及制造业生产和市场需求改善相联系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A股影响：上游资源偏利好，中下游成本端分化。</w:t>
      </w:r>
      <w:r>
        <w:t xml:space="preserve"> </w:t>
      </w:r>
      <w:r>
        <w:rPr>
          <w:rFonts w:hint="eastAsia"/>
        </w:rPr>
        <w:t xml:space="preserve">有色、钢铁、煤化工及资源品贸易可能受益于价格改善；成本转嫁能力较弱的制造环节可能承压。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验证重点：</w:t>
      </w:r>
      <w:r>
        <w:t xml:space="preserve"> </w:t>
      </w:r>
      <w:r>
        <w:rPr>
          <w:rFonts w:hint="eastAsia"/>
        </w:rPr>
        <w:t xml:space="preserve">价格上涨是需求改善还是供给扰动驱动，库存是否下降，现货成交、加工费、开工率与企业利润能否同步改善。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风险：</w:t>
      </w:r>
      <w:r>
        <w:t xml:space="preserve"> </w:t>
      </w:r>
      <w:r>
        <w:rPr>
          <w:rFonts w:hint="eastAsia"/>
        </w:rPr>
        <w:t xml:space="preserve">价格指数上涨不等于所有品种量价齐升，也不能直接推导四季度企业利润普遍增长。</w:t>
      </w:r>
    </w:p>
    <w:bookmarkEnd w:id="14"/>
    <w:bookmarkStart w:id="15" w:name="曼德海峡冲突升级航运与能源风险溢价抬升风险信号"/>
    <w:p>
      <w:pPr>
        <w:pStyle w:val="Heading3"/>
      </w:pPr>
      <w:r>
        <w:t xml:space="preserve">6. </w:t>
      </w:r>
      <w:r>
        <w:rPr>
          <w:rFonts w:hint="eastAsia"/>
        </w:rPr>
        <w:t xml:space="preserve">曼德海峡冲突升级，航运与能源风险溢价抬升（★★★★，风险信号）</w:t>
      </w:r>
    </w:p>
    <w:p>
      <w:pPr>
        <w:pStyle w:val="FirstParagraph"/>
      </w:pPr>
      <w:r>
        <w:rPr>
          <w:rFonts w:hint="eastAsia"/>
        </w:rPr>
        <w:t xml:space="preserve">也门政府军称“也门黎明”行动启动并已控制曼德海峡，沙特领导的多国联军称100架战机参与、摧毁300多个目标；胡塞武装消息人士否认政府军取得相关进展，并称海峡控制权仍在争夺。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A股影响：方向分化、短期波动上升。</w:t>
      </w:r>
      <w:r>
        <w:t xml:space="preserve"> </w:t>
      </w:r>
      <w:r>
        <w:rPr>
          <w:rFonts w:hint="eastAsia"/>
        </w:rPr>
        <w:t xml:space="preserve">若航道安全恶化，油运、集运、能源安全和避险方向可能出现风险溢价；航空、部分化工和外贸运输链可能面临运价或燃料成本压力。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事实边界：</w:t>
      </w:r>
      <w:r>
        <w:t xml:space="preserve"> </w:t>
      </w:r>
      <w:r>
        <w:rPr>
          <w:rFonts w:hint="eastAsia"/>
        </w:rPr>
        <w:t xml:space="preserve">交战双方说法冲突，节目不能证明任何一方已稳定控制曼德海峡，也没有披露船舶绕行、港口关闭或实际运价变化。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操作约束：</w:t>
      </w:r>
      <w:r>
        <w:t xml:space="preserve"> </w:t>
      </w:r>
      <w:r>
        <w:rPr>
          <w:rFonts w:hint="eastAsia"/>
        </w:rPr>
        <w:t xml:space="preserve">先看航运通告、船舶通行、保险费率、油价与运价，再判断持续性，不以单方战报作为确定性交易依据。</w:t>
      </w:r>
    </w:p>
    <w:bookmarkEnd w:id="15"/>
    <w:bookmarkEnd w:id="16"/>
    <w:bookmarkStart w:id="35" w:name="三分条a股影响分析"/>
    <w:p>
      <w:pPr>
        <w:pStyle w:val="Heading2"/>
      </w:pPr>
      <w:r>
        <w:rPr>
          <w:rFonts w:hint="eastAsia"/>
        </w:rPr>
        <w:t xml:space="preserve">三、分条A股影响分析</w:t>
      </w:r>
    </w:p>
    <w:bookmarkStart w:id="17" w:name="新思想引领新征程以实干开创美好未来"/>
    <w:p>
      <w:pPr>
        <w:pStyle w:val="Heading3"/>
      </w:pPr>
      <w:r>
        <w:t xml:space="preserve">1. </w:t>
      </w:r>
      <w:r>
        <w:rPr>
          <w:rFonts w:hint="eastAsia"/>
        </w:rPr>
        <w:t xml:space="preserve">【新思想引领新征程】以实干开创美好未来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信号强度：★★★★★</w:t>
      </w:r>
      <w:r>
        <w:rPr>
          <w:rFonts w:hint="eastAsia"/>
        </w:rPr>
        <w:t xml:space="preserve">（头条位置与最高层经济目标表述叠加）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A股影响：利好；时效：中期至长期。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受益板块：</w:t>
      </w:r>
      <w:r>
        <w:t xml:space="preserve"> </w:t>
      </w:r>
      <w:r>
        <w:rPr>
          <w:rFonts w:hint="eastAsia"/>
        </w:rPr>
        <w:t xml:space="preserve">水利水运、新型电网、风电与绿电外送、5G-A/万兆光网、算力基础设施、科研仪器、高端装备、国产邮轮、城市管廊与供热保障。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西藏风电项目冲刺年底并网；平陆运河迎来通航后首个国庆假期；三峡水运新通道施工；前坪水库灌区工程服务豫西120多万群众；大同至天津智能电网将晋北风光绿电送往京津冀；“东数西算”节点连续作业，芜湖万卡级智算集群运行；“爱达·花城号”冲刺一个月后交付；深圳建设新一代X射线相干光源；济南推进地下综合管廊，哈尔滨保障18万户居民供热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解读：</w:t>
      </w:r>
      <w:r>
        <w:t xml:space="preserve"> </w:t>
      </w:r>
      <w:r>
        <w:rPr>
          <w:rFonts w:hint="eastAsia"/>
        </w:rPr>
        <w:t xml:space="preserve">“向新向优向好”被具体化为传统基建补短板、新型基础设施和高端装备并进。资本市场应优先寻找已进入建设、验收或交付环节且订单与现金流可验证的环节，而不是泛化为所有基建和科技概念。</w:t>
      </w:r>
    </w:p>
    <w:bookmarkEnd w:id="17"/>
    <w:bookmarkStart w:id="18" w:name="假日消费市场新意足人气旺"/>
    <w:p>
      <w:pPr>
        <w:pStyle w:val="Heading3"/>
      </w:pPr>
      <w:r>
        <w:t xml:space="preserve">2. </w:t>
      </w:r>
      <w:r>
        <w:rPr>
          <w:rFonts w:hint="eastAsia"/>
        </w:rPr>
        <w:t xml:space="preserve">假日消费市场新意足人气旺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信号强度：★★★</w:t>
      </w:r>
      <w:r>
        <w:rPr>
          <w:rFonts w:hint="eastAsia"/>
        </w:rPr>
        <w:t xml:space="preserve">；</w:t>
      </w:r>
      <w:r>
        <w:rPr>
          <w:rFonts w:hint="eastAsia"/>
          <w:b/>
          <w:bCs/>
        </w:rPr>
        <w:t xml:space="preserve">A股影响：短期偏利好。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受益板块：</w:t>
      </w:r>
      <w:r>
        <w:t xml:space="preserve"> </w:t>
      </w:r>
      <w:r>
        <w:rPr>
          <w:rFonts w:hint="eastAsia"/>
        </w:rPr>
        <w:t xml:space="preserve">家电、汽车、消费电子、百货商超、商业地产运营、文旅综合体、亲子研学与餐饮服务。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武汉打造稻田农事体验；长春商场日均超过6万人体验；广州42万平方米商业空间集成热带雨林植物园、极地海洋世界和自然科学博物馆等10多个文旅项目；全国重点监测商圈客流、营业额及以旧换新数据如前所述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解读：</w:t>
      </w:r>
      <w:r>
        <w:t xml:space="preserve"> </w:t>
      </w:r>
      <w:r>
        <w:rPr>
          <w:rFonts w:hint="eastAsia"/>
        </w:rPr>
        <w:t xml:space="preserve">消费增量既来自补贴工具，也来自商场由“卖货”向体验型目的地转型。短线看节日数据，中线需核验同店销售、客单价、租金收入、毛利率和补贴退出后的持续性。</w:t>
      </w:r>
    </w:p>
    <w:bookmarkEnd w:id="18"/>
    <w:bookmarkStart w:id="19" w:name="打造新场景新空间在假期邂逅文化之美"/>
    <w:p>
      <w:pPr>
        <w:pStyle w:val="Heading3"/>
      </w:pPr>
      <w:r>
        <w:t xml:space="preserve">3. </w:t>
      </w:r>
      <w:r>
        <w:rPr>
          <w:rFonts w:hint="eastAsia"/>
        </w:rPr>
        <w:t xml:space="preserve">打造新场景新空间，在假期邂逅文化之美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信号强度：★★★</w:t>
      </w:r>
      <w:r>
        <w:rPr>
          <w:rFonts w:hint="eastAsia"/>
        </w:rPr>
        <w:t xml:space="preserve">；</w:t>
      </w:r>
      <w:r>
        <w:rPr>
          <w:rFonts w:hint="eastAsia"/>
          <w:b/>
          <w:bCs/>
        </w:rPr>
        <w:t xml:space="preserve">A股影响：中性偏利好；时效：短期至中期。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受益板块：</w:t>
      </w:r>
      <w:r>
        <w:t xml:space="preserve"> </w:t>
      </w:r>
      <w:r>
        <w:rPr>
          <w:rFonts w:hint="eastAsia"/>
        </w:rPr>
        <w:t xml:space="preserve">文旅运营、演艺、影视旅游、非遗与国潮文创、数字展陈、鸿蒙生态应用、沉浸式显示。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杭州以宋韵、诗会、艺术学堂和非遗体验丰富场景；成都工业遗址导入礼乐主题餐秀；西安通过秦腔巡游、挑战赛和文旅专线触达年轻人；乐陵影视城发展“跟着电影去旅游”；深圳龙岗国际艺术中心采用鸿蒙智慧系统和360度屏幕联动。2026全国国庆文化和旅游消费月期间，各地推出超过2万场活动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解读：</w:t>
      </w:r>
      <w:r>
        <w:t xml:space="preserve"> </w:t>
      </w:r>
      <w:r>
        <w:rPr>
          <w:rFonts w:hint="eastAsia"/>
        </w:rPr>
        <w:t xml:space="preserve">政策含义是文化资源通过内容、空间与数字技术转化为消费场景。活动数量与搜索热词证明关注度，不直接等同于上市公司收入，后续需看付费率、客单价和项目运营成本。</w:t>
      </w:r>
    </w:p>
    <w:bookmarkEnd w:id="19"/>
    <w:bookmarkStart w:id="20" w:name="升级交通服务强化返程保障"/>
    <w:p>
      <w:pPr>
        <w:pStyle w:val="Heading3"/>
      </w:pPr>
      <w:r>
        <w:t xml:space="preserve">4. </w:t>
      </w:r>
      <w:r>
        <w:rPr>
          <w:rFonts w:hint="eastAsia"/>
        </w:rPr>
        <w:t xml:space="preserve">升级交通服务，强化返程保障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信号强度：★★</w:t>
      </w:r>
      <w:r>
        <w:rPr>
          <w:rFonts w:hint="eastAsia"/>
        </w:rPr>
        <w:t xml:space="preserve">；</w:t>
      </w:r>
      <w:r>
        <w:rPr>
          <w:rFonts w:hint="eastAsia"/>
          <w:b/>
          <w:bCs/>
        </w:rPr>
        <w:t xml:space="preserve">A股影响：总体中性偏积极；时效：短期。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受益板块：</w:t>
      </w:r>
      <w:r>
        <w:t xml:space="preserve"> </w:t>
      </w:r>
      <w:r>
        <w:rPr>
          <w:rFonts w:hint="eastAsia"/>
        </w:rPr>
        <w:t xml:space="preserve">铁路客运服务、公共交通调度、网约车与出租车运力平台、租车服务、交通枢纽改造。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10月5日全社会跨区域人员流动量超过3亿人次；全国铁路预计发送旅客2105万人次、加开列车1463列；全国高速公路有36个路段易拥堵；200万人次机场和一类高铁站枢纽已实现租车站点全覆盖，并推出免费或低费率异地还车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解读：</w:t>
      </w:r>
      <w:r>
        <w:t xml:space="preserve"> </w:t>
      </w:r>
      <w:r>
        <w:rPr>
          <w:rFonts w:hint="eastAsia"/>
        </w:rPr>
        <w:t xml:space="preserve">该条主要体现假日运力与服务保障，缺少新增长期投资规模。租车网络覆盖和异地还车便利化有利于渗透率，但企业收益仍取决于车队利用率、折旧、获客成本和价格竞争。</w:t>
      </w:r>
    </w:p>
    <w:bookmarkEnd w:id="20"/>
    <w:bookmarkStart w:id="21" w:name="我国大宗商品市场景气水平进一步提升"/>
    <w:p>
      <w:pPr>
        <w:pStyle w:val="Heading3"/>
      </w:pPr>
      <w:r>
        <w:t xml:space="preserve">5. </w:t>
      </w:r>
      <w:r>
        <w:rPr>
          <w:rFonts w:hint="eastAsia"/>
        </w:rPr>
        <w:t xml:space="preserve">我国大宗商品市场景气水平进一步提升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信号强度：★★★</w:t>
      </w:r>
      <w:r>
        <w:rPr>
          <w:rFonts w:hint="eastAsia"/>
        </w:rPr>
        <w:t xml:space="preserve">；</w:t>
      </w:r>
      <w:r>
        <w:rPr>
          <w:rFonts w:hint="eastAsia"/>
          <w:b/>
          <w:bCs/>
        </w:rPr>
        <w:t xml:space="preserve">A股影响：结构性利好；时效：短期至中期。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受益板块：</w:t>
      </w:r>
      <w:r>
        <w:t xml:space="preserve"> </w:t>
      </w:r>
      <w:r>
        <w:rPr>
          <w:rFonts w:hint="eastAsia"/>
        </w:rPr>
        <w:t xml:space="preserve">有色金属、钢铁、资源品贸易与物流；部分下游制造可能受成本压力影响。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9月大宗商品价格指数137.6点，环比上涨4.1%、同比上涨22.9%；50种重点监测商品中38种环比上涨；有色和黑色金属价格指数环比上涨。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解读：</w:t>
      </w:r>
      <w:r>
        <w:t xml:space="preserve"> </w:t>
      </w:r>
      <w:r>
        <w:rPr>
          <w:rFonts w:hint="eastAsia"/>
        </w:rPr>
        <w:t xml:space="preserve">数据确认价格景气抬升，但缺少库存、成交量和利润数据。对资源股是价格线索，对制造业则需判断提价能力，不能将同一数据简单解释为全产业链普遍利好。</w:t>
      </w:r>
    </w:p>
    <w:bookmarkEnd w:id="21"/>
    <w:bookmarkStart w:id="22" w:name="一线调研技术攻坚锻造六张网硬核底座"/>
    <w:p>
      <w:pPr>
        <w:pStyle w:val="Heading3"/>
      </w:pPr>
      <w:r>
        <w:t xml:space="preserve">6. </w:t>
      </w:r>
      <w:r>
        <w:rPr>
          <w:rFonts w:hint="eastAsia"/>
        </w:rPr>
        <w:t xml:space="preserve">【一线调研】技术攻坚，锻造“六张网”硬核底座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信号强度：★★★★</w:t>
      </w:r>
      <w:r>
        <w:rPr>
          <w:rFonts w:hint="eastAsia"/>
        </w:rPr>
        <w:t xml:space="preserve">；</w:t>
      </w:r>
      <w:r>
        <w:rPr>
          <w:rFonts w:hint="eastAsia"/>
          <w:b/>
          <w:bCs/>
        </w:rPr>
        <w:t xml:space="preserve">A股影响：利好；时效：中期至长期。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受益板块：</w:t>
      </w:r>
      <w:r>
        <w:t xml:space="preserve"> </w:t>
      </w:r>
      <w:r>
        <w:rPr>
          <w:rFonts w:hint="eastAsia"/>
        </w:rPr>
        <w:t xml:space="preserve">新型电网、配电自动化、电力传感与调度、分布式光伏消纳、储能、算力基础设施、光通信、6G测试、智能水利与时空信息。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宁波分布式光伏装机超过1000万千瓦；全国新能源装机平均每年增长约2亿千瓦；到2030年新型电网要支撑超过28亿千瓦新能源消纳；水网监测覆盖30多万处安全监测点；超算互联网核心节点提供超过10万卡算力；6G外场试验的连接能力较5G提升10倍以上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解读：</w:t>
      </w:r>
      <w:r>
        <w:t xml:space="preserve"> </w:t>
      </w:r>
      <w:r>
        <w:rPr>
          <w:rFonts w:hint="eastAsia"/>
        </w:rPr>
        <w:t xml:space="preserve">当日最清晰的产业主线是“新能源增量倒逼电网升级，并与算力网、通信网和水网数字化共同投资”。优先关注解决真实瓶颈的设备、软件和工程服务，证伪点是投资计划不落地、招标放缓、利用率不足或回款恶化。</w:t>
      </w:r>
    </w:p>
    <w:bookmarkEnd w:id="22"/>
    <w:bookmarkStart w:id="23" w:name="一条热线连接市民冷暖和城市治理"/>
    <w:p>
      <w:pPr>
        <w:pStyle w:val="Heading3"/>
      </w:pPr>
      <w:r>
        <w:t xml:space="preserve">7. </w:t>
      </w:r>
      <w:r>
        <w:rPr>
          <w:rFonts w:hint="eastAsia"/>
        </w:rPr>
        <w:t xml:space="preserve">一条热线连接市民冷暖和城市治理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信号强度：★★</w:t>
      </w:r>
      <w:r>
        <w:rPr>
          <w:rFonts w:hint="eastAsia"/>
        </w:rPr>
        <w:t xml:space="preserve">；</w:t>
      </w:r>
      <w:r>
        <w:rPr>
          <w:rFonts w:hint="eastAsia"/>
          <w:b/>
          <w:bCs/>
        </w:rPr>
        <w:t xml:space="preserve">A股影响：中性偏积极；时效：中期。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受益板块：</w:t>
      </w:r>
      <w:r>
        <w:t xml:space="preserve"> </w:t>
      </w:r>
      <w:r>
        <w:rPr>
          <w:rFonts w:hint="eastAsia"/>
        </w:rPr>
        <w:t xml:space="preserve">政务数字化、城市治理软件、数据分析、智慧交通、换电设施和城市更新服务。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北京12345热线七年来累计受理市民诉求将近两亿件，解决率和满意率均超过97%；诉求分类由2000多项细化到上万项，并利用数据分析辅助政府决策。治理案例包括骑手停车区、暖心驿站、换电柜，以及四环路多部门协同施工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解读：</w:t>
      </w:r>
      <w:r>
        <w:t xml:space="preserve"> </w:t>
      </w:r>
      <w:r>
        <w:rPr>
          <w:rFonts w:hint="eastAsia"/>
        </w:rPr>
        <w:t xml:space="preserve">从“接诉即办”到“未诉先办”显示政务数据从受理工具转向治理决策工具。产业机会偏向持续运维、数据治理和跨部门协同，而不是一次性热线建设；节目未披露新增采购规模。</w:t>
      </w:r>
    </w:p>
    <w:bookmarkEnd w:id="23"/>
    <w:bookmarkStart w:id="24" w:name="中国第16次北冰洋考察取得多项重要进展"/>
    <w:p>
      <w:pPr>
        <w:pStyle w:val="Heading3"/>
      </w:pPr>
      <w:r>
        <w:t xml:space="preserve">8. </w:t>
      </w:r>
      <w:r>
        <w:rPr>
          <w:rFonts w:hint="eastAsia"/>
        </w:rPr>
        <w:t xml:space="preserve">中国第16次北冰洋考察取得多项重要进展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信号强度：★★★</w:t>
      </w:r>
      <w:r>
        <w:rPr>
          <w:rFonts w:hint="eastAsia"/>
        </w:rPr>
        <w:t xml:space="preserve">；</w:t>
      </w:r>
      <w:r>
        <w:rPr>
          <w:rFonts w:hint="eastAsia"/>
          <w:b/>
          <w:bCs/>
        </w:rPr>
        <w:t xml:space="preserve">A股影响：中性偏利好；时效：中长期。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受益板块：</w:t>
      </w:r>
      <w:r>
        <w:t xml:space="preserve"> </w:t>
      </w:r>
      <w:r>
        <w:rPr>
          <w:rFonts w:hint="eastAsia"/>
        </w:rPr>
        <w:t xml:space="preserve">海洋科研装备、卫星通信、无人观测平台、传感器、浮标、极地船舶与海洋信息化。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“雪龙”号和“雪龙2”号历时三个月完成相关考察；发现加拿大海盆太平洋次表层暖水注入增强、加克洋中脊新的巨大热液羽流区和较多极鳕幼鱼；国产卫星系统首次实现跨南北极视频通话，多型国产装备批量布设，国产化浮标装备率超过90%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解读：</w:t>
      </w:r>
      <w:r>
        <w:t xml:space="preserve"> </w:t>
      </w:r>
      <w:r>
        <w:rPr>
          <w:rFonts w:hint="eastAsia"/>
        </w:rPr>
        <w:t xml:space="preserve">产业含义主要是科研装备国产替代和业务化应用验证。考察成果不等于商业订单已规模化，后续应关注装备采购、批量应用、可靠性与国际市场拓展。</w:t>
      </w:r>
    </w:p>
    <w:bookmarkEnd w:id="24"/>
    <w:bookmarkStart w:id="25" w:name="国内快讯海水淡化日处理能力突破300万吨"/>
    <w:p>
      <w:pPr>
        <w:pStyle w:val="Heading3"/>
      </w:pPr>
      <w:r>
        <w:t xml:space="preserve">9. </w:t>
      </w:r>
      <w:r>
        <w:rPr>
          <w:rFonts w:hint="eastAsia"/>
        </w:rPr>
        <w:t xml:space="preserve">国内快讯：海水淡化日处理能力突破300万吨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信号强度：★★★</w:t>
      </w:r>
      <w:r>
        <w:rPr>
          <w:rFonts w:hint="eastAsia"/>
        </w:rPr>
        <w:t xml:space="preserve">；</w:t>
      </w:r>
      <w:r>
        <w:rPr>
          <w:rFonts w:hint="eastAsia"/>
          <w:b/>
          <w:bCs/>
        </w:rPr>
        <w:t xml:space="preserve">A股影响：中期利好。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受益板块：</w:t>
      </w:r>
      <w:r>
        <w:t xml:space="preserve"> </w:t>
      </w:r>
      <w:r>
        <w:rPr>
          <w:rFonts w:hint="eastAsia"/>
        </w:rPr>
        <w:t xml:space="preserve">海水淡化膜与泵阀、压力容器、水处理工程、能量回收、沿海工业供水。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全国海水淡化日处理能力达到307.7万吨，到2030年力争达到450万吨，节目同时强调国产海水淡化核心设备取得突破。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解读：</w:t>
      </w:r>
      <w:r>
        <w:t xml:space="preserve"> </w:t>
      </w:r>
      <w:r>
        <w:rPr>
          <w:rFonts w:hint="eastAsia"/>
        </w:rPr>
        <w:t xml:space="preserve">当前能力到2030年目标之间存在明确扩容空间，且国产设备突破强化替代逻辑。项目盈利仍需核验建设节奏、能耗、水价、运营模式和回款。</w:t>
      </w:r>
    </w:p>
    <w:bookmarkEnd w:id="25"/>
    <w:bookmarkStart w:id="26" w:name="国内快讯整治短视频虚假人设乱象专项行动启动"/>
    <w:p>
      <w:pPr>
        <w:pStyle w:val="Heading3"/>
      </w:pPr>
      <w:r>
        <w:t xml:space="preserve">10. </w:t>
      </w:r>
      <w:r>
        <w:rPr>
          <w:rFonts w:hint="eastAsia"/>
        </w:rPr>
        <w:t xml:space="preserve">国内快讯：整治短视频虚假人设乱象专项行动启动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信号强度：★★★</w:t>
      </w:r>
      <w:r>
        <w:rPr>
          <w:rFonts w:hint="eastAsia"/>
        </w:rPr>
        <w:t xml:space="preserve">；</w:t>
      </w:r>
      <w:r>
        <w:rPr>
          <w:rFonts w:hint="eastAsia"/>
          <w:b/>
          <w:bCs/>
        </w:rPr>
        <w:t xml:space="preserve">A股影响：互联网内容平台短期偏约束，合规技术中期受益。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受益/承压方向：</w:t>
      </w:r>
      <w:r>
        <w:t xml:space="preserve"> </w:t>
      </w:r>
      <w:r>
        <w:rPr>
          <w:rFonts w:hint="eastAsia"/>
        </w:rPr>
        <w:t xml:space="preserve">内容审核、数字身份、AI生成内容识别和平台治理需求上升；依赖虚假人设、夸张剧情和灰色流量变现的账号及生态承压。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中央网信办部署为期2个月的专项行动，重点整治假扮弱势群体、虚构职业资质、利用AI仿冒人物、鼓吹奢靡迷信、编造冲突剧情五类问题。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解读：</w:t>
      </w:r>
      <w:r>
        <w:t xml:space="preserve"> </w:t>
      </w:r>
      <w:r>
        <w:rPr>
          <w:rFonts w:hint="eastAsia"/>
        </w:rPr>
        <w:t xml:space="preserve">这是明确的监管执行信号，影响对象是内容生态与平台治理，不应泛化为整个传媒互联网板块的单向利空。实际财务影响取决于违规内容占比、审核投入和流量结构调整。</w:t>
      </w:r>
    </w:p>
    <w:bookmarkEnd w:id="26"/>
    <w:bookmarkStart w:id="27" w:name="国内快讯世界数据组织新设5个分支机构"/>
    <w:p>
      <w:pPr>
        <w:pStyle w:val="Heading3"/>
      </w:pPr>
      <w:r>
        <w:t xml:space="preserve">11. </w:t>
      </w:r>
      <w:r>
        <w:rPr>
          <w:rFonts w:hint="eastAsia"/>
        </w:rPr>
        <w:t xml:space="preserve">国内快讯：世界数据组织新设5个分支机构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信号强度：★★</w:t>
      </w:r>
      <w:r>
        <w:rPr>
          <w:rFonts w:hint="eastAsia"/>
        </w:rPr>
        <w:t xml:space="preserve">；</w:t>
      </w:r>
      <w:r>
        <w:rPr>
          <w:rFonts w:hint="eastAsia"/>
          <w:b/>
          <w:bCs/>
        </w:rPr>
        <w:t xml:space="preserve">A股影响：中性偏利好；时效：中长期。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受益板块：</w:t>
      </w:r>
      <w:r>
        <w:t xml:space="preserve"> </w:t>
      </w:r>
      <w:r>
        <w:rPr>
          <w:rFonts w:hint="eastAsia"/>
        </w:rPr>
        <w:t xml:space="preserve">数据要素、数据治理、跨境数据合规、开源生态与数据服务。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世界数据组织在杭州、南宁等地新设5个分支机构，开展数据开源生态体系建设、数据跨境流动和开发利用等国际合作；该组织于当年3月成立，总部设在北京。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解读：</w:t>
      </w:r>
      <w:r>
        <w:t xml:space="preserve"> </w:t>
      </w:r>
      <w:r>
        <w:rPr>
          <w:rFonts w:hint="eastAsia"/>
        </w:rPr>
        <w:t xml:space="preserve">该条提供的是组织建设和合作方向，没有披露具体制度、项目金额或订单。市场映射应等待规则、试点和商业项目落地。</w:t>
      </w:r>
    </w:p>
    <w:bookmarkEnd w:id="27"/>
    <w:bookmarkStart w:id="28" w:name="我驻多国使馆和驻国际组织使团举办国庆活动"/>
    <w:p>
      <w:pPr>
        <w:pStyle w:val="Heading3"/>
      </w:pPr>
      <w:r>
        <w:t xml:space="preserve">12. </w:t>
      </w:r>
      <w:r>
        <w:rPr>
          <w:rFonts w:hint="eastAsia"/>
        </w:rPr>
        <w:t xml:space="preserve">我驻多国使馆和驻国际组织使团举办国庆活动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  <w:b/>
          <w:bCs/>
        </w:rPr>
        <w:t xml:space="preserve">信号强度：★★</w:t>
      </w:r>
      <w:r>
        <w:rPr>
          <w:rFonts w:hint="eastAsia"/>
        </w:rPr>
        <w:t xml:space="preserve">；</w:t>
      </w:r>
      <w:r>
        <w:rPr>
          <w:rFonts w:hint="eastAsia"/>
          <w:b/>
          <w:bCs/>
        </w:rPr>
        <w:t xml:space="preserve">A股影响：总体中性；时效：中长期。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  <w:b/>
          <w:bCs/>
        </w:rPr>
        <w:t xml:space="preserve">相关方向：</w:t>
      </w:r>
      <w:r>
        <w:t xml:space="preserve"> </w:t>
      </w:r>
      <w:r>
        <w:rPr>
          <w:rFonts w:hint="eastAsia"/>
        </w:rPr>
        <w:t xml:space="preserve">国际合作、跨境贸易与“一带一路”可作为长期观察方向，但本条没有披露具体经贸协议、项目或订单。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中国驻意大利、法国、埃及、塞尔维亚、阿根廷等多国使馆及相关使团举办国庆活动，多国来宾表达深化合作与共同应对全球性挑战的意愿。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  <w:b/>
          <w:bCs/>
        </w:rPr>
        <w:t xml:space="preserve">解读：</w:t>
      </w:r>
      <w:r>
        <w:t xml:space="preserve"> </w:t>
      </w:r>
      <w:r>
        <w:rPr>
          <w:rFonts w:hint="eastAsia"/>
        </w:rPr>
        <w:t xml:space="preserve">主要是外交与国家形象信息，不足以推导特定行业或上市公司的业绩增量。</w:t>
      </w:r>
    </w:p>
    <w:bookmarkEnd w:id="28"/>
    <w:bookmarkStart w:id="29" w:name="也门政府军与胡塞武装争夺曼德海峡"/>
    <w:p>
      <w:pPr>
        <w:pStyle w:val="Heading3"/>
      </w:pPr>
      <w:r>
        <w:t xml:space="preserve">13. </w:t>
      </w:r>
      <w:r>
        <w:rPr>
          <w:rFonts w:hint="eastAsia"/>
        </w:rPr>
        <w:t xml:space="preserve">也门政府军与胡塞武装争夺曼德海峡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信号强度：★★★★</w:t>
      </w:r>
      <w:r>
        <w:rPr>
          <w:rFonts w:hint="eastAsia"/>
        </w:rPr>
        <w:t xml:space="preserve">；</w:t>
      </w:r>
      <w:r>
        <w:rPr>
          <w:rFonts w:hint="eastAsia"/>
          <w:b/>
          <w:bCs/>
        </w:rPr>
        <w:t xml:space="preserve">A股影响：风险偏好偏空、航运与能源方向分化；时效：短期。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可能受益：</w:t>
      </w:r>
      <w:r>
        <w:t xml:space="preserve"> </w:t>
      </w:r>
      <w:r>
        <w:rPr>
          <w:rFonts w:hint="eastAsia"/>
        </w:rPr>
        <w:t xml:space="preserve">油气、油运、黄金等风险溢价方向；</w:t>
      </w:r>
      <w:r>
        <w:rPr>
          <w:rFonts w:hint="eastAsia"/>
          <w:b/>
          <w:bCs/>
        </w:rPr>
        <w:t xml:space="preserve">可能承压：</w:t>
      </w:r>
      <w:r>
        <w:t xml:space="preserve"> </w:t>
      </w:r>
      <w:r>
        <w:rPr>
          <w:rFonts w:hint="eastAsia"/>
        </w:rPr>
        <w:t xml:space="preserve">航空、部分化工、外贸运输链和高估值风险资产。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也门政府军称行动启动并控制多个区域及曼德海峡，多国联军称100架战机参与并摧毁300多个目标；胡塞武装方面否认政府军取得进展，并称战斗仍在继续。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解读：</w:t>
      </w:r>
      <w:r>
        <w:t xml:space="preserve"> </w:t>
      </w:r>
      <w:r>
        <w:rPr>
          <w:rFonts w:hint="eastAsia"/>
        </w:rPr>
        <w:t xml:space="preserve">双方说法相互冲突，必须按“航道安全风险上升”而非“海峡已被某方稳定控制”处理。持续性需由实际通航、绕行、保险费率和能源价格验证。</w:t>
      </w:r>
    </w:p>
    <w:bookmarkEnd w:id="29"/>
    <w:bookmarkStart w:id="30" w:name="国际快讯美军将所有b-1轰炸机撤出英国基地"/>
    <w:p>
      <w:pPr>
        <w:pStyle w:val="Heading3"/>
      </w:pPr>
      <w:r>
        <w:t xml:space="preserve">14. </w:t>
      </w:r>
      <w:r>
        <w:rPr>
          <w:rFonts w:hint="eastAsia"/>
        </w:rPr>
        <w:t xml:space="preserve">国际快讯：美军将所有B-1轰炸机撤出英国基地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  <w:b/>
          <w:bCs/>
        </w:rPr>
        <w:t xml:space="preserve">信号强度：★★★</w:t>
      </w:r>
      <w:r>
        <w:rPr>
          <w:rFonts w:hint="eastAsia"/>
        </w:rPr>
        <w:t xml:space="preserve">；</w:t>
      </w:r>
      <w:r>
        <w:rPr>
          <w:rFonts w:hint="eastAsia"/>
          <w:b/>
          <w:bCs/>
        </w:rPr>
        <w:t xml:space="preserve">A股影响：中性偏风险；时效：短期。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  <w:b/>
          <w:bCs/>
        </w:rPr>
        <w:t xml:space="preserve">相关方向：</w:t>
      </w:r>
      <w:r>
        <w:t xml:space="preserve"> </w:t>
      </w:r>
      <w:r>
        <w:rPr>
          <w:rFonts w:hint="eastAsia"/>
        </w:rPr>
        <w:t xml:space="preserve">军工、黄金和能源安全可能受地缘情绪影响，但缺少直接A股业绩链条。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美媒称美军出于安全考虑，将所有B-1轰炸机撤出英国费尔福德基地并部署回美国本土；该基地此前被用于对伊朗军事打击，9月下旬附近发生安全事件，英方将事件与伊朗相联系，伊朗否认。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  <w:b/>
          <w:bCs/>
        </w:rPr>
        <w:t xml:space="preserve">解读：</w:t>
      </w:r>
      <w:r>
        <w:t xml:space="preserve"> </w:t>
      </w:r>
      <w:r>
        <w:rPr>
          <w:rFonts w:hint="eastAsia"/>
        </w:rPr>
        <w:t xml:space="preserve">撤离反映安全风险管理，不等于对伊朗行动方向已经确定。市场不应从基地调整直接推导冲突必然升级或降级。</w:t>
      </w:r>
    </w:p>
    <w:bookmarkEnd w:id="30"/>
    <w:bookmarkStart w:id="31" w:name="国际快讯德国追加对乌军援俄方称加强打击基辅"/>
    <w:p>
      <w:pPr>
        <w:pStyle w:val="Heading3"/>
      </w:pPr>
      <w:r>
        <w:t xml:space="preserve">15. </w:t>
      </w:r>
      <w:r>
        <w:rPr>
          <w:rFonts w:hint="eastAsia"/>
        </w:rPr>
        <w:t xml:space="preserve">国际快讯：德国追加对乌军援，俄方称加强打击基辅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  <w:b/>
          <w:bCs/>
        </w:rPr>
        <w:t xml:space="preserve">信号强度：★★★</w:t>
      </w:r>
      <w:r>
        <w:rPr>
          <w:rFonts w:hint="eastAsia"/>
        </w:rPr>
        <w:t xml:space="preserve">；</w:t>
      </w:r>
      <w:r>
        <w:rPr>
          <w:rFonts w:hint="eastAsia"/>
          <w:b/>
          <w:bCs/>
        </w:rPr>
        <w:t xml:space="preserve">A股影响：中性偏空风险偏好；时效：短期。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  <w:b/>
          <w:bCs/>
        </w:rPr>
        <w:t xml:space="preserve">相关方向：</w:t>
      </w:r>
      <w:r>
        <w:t xml:space="preserve"> </w:t>
      </w:r>
      <w:r>
        <w:rPr>
          <w:rFonts w:hint="eastAsia"/>
        </w:rPr>
        <w:t xml:space="preserve">能源、粮食、航运、军工和避险资产风险溢价可能波动。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德国总理默茨访问基辅并承诺追加约10亿欧元军事支持；俄方称无人机击中基辅北桥，并将加强对基辅等地军事目标的打击，以回应乌方关于加强打击俄炼油厂的声明。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  <w:b/>
          <w:bCs/>
        </w:rPr>
        <w:t xml:space="preserve">解读：</w:t>
      </w:r>
      <w:r>
        <w:t xml:space="preserve"> </w:t>
      </w:r>
      <w:r>
        <w:rPr>
          <w:rFonts w:hint="eastAsia"/>
        </w:rPr>
        <w:t xml:space="preserve">冲突升级表态延续，但原文没有披露炼油产能损失、能源供应中断或谈判变化，A股映射应保持事件驱动与业绩逻辑分离。</w:t>
      </w:r>
    </w:p>
    <w:bookmarkEnd w:id="31"/>
    <w:bookmarkStart w:id="32" w:name="国际快讯巴西总统选举将进入第二轮"/>
    <w:p>
      <w:pPr>
        <w:pStyle w:val="Heading3"/>
      </w:pPr>
      <w:r>
        <w:t xml:space="preserve">16. </w:t>
      </w:r>
      <w:r>
        <w:rPr>
          <w:rFonts w:hint="eastAsia"/>
        </w:rPr>
        <w:t xml:space="preserve">国际快讯：巴西总统选举将进入第二轮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  <w:b/>
          <w:bCs/>
        </w:rPr>
        <w:t xml:space="preserve">信号强度：★★</w:t>
      </w:r>
      <w:r>
        <w:rPr>
          <w:rFonts w:hint="eastAsia"/>
        </w:rPr>
        <w:t xml:space="preserve">；</w:t>
      </w:r>
      <w:r>
        <w:rPr>
          <w:rFonts w:hint="eastAsia"/>
          <w:b/>
          <w:bCs/>
        </w:rPr>
        <w:t xml:space="preserve">A股影响：总体中性；时效：短期至中期。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  <w:b/>
          <w:bCs/>
        </w:rPr>
        <w:t xml:space="preserve">相关方向：</w:t>
      </w:r>
      <w:r>
        <w:t xml:space="preserve"> </w:t>
      </w:r>
      <w:r>
        <w:rPr>
          <w:rFonts w:hint="eastAsia"/>
        </w:rPr>
        <w:t xml:space="preserve">对巴西有大宗商品、农业、矿业和基建业务敞口的企业可关注政策预期变化。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首轮投票中，弗拉维奥·博索纳罗获约47%选票，领先卢拉约2个百分点；因无人过半，两人将于10月25日进入第二轮。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  <w:b/>
          <w:bCs/>
        </w:rPr>
        <w:t xml:space="preserve">解读：</w:t>
      </w:r>
      <w:r>
        <w:t xml:space="preserve"> </w:t>
      </w:r>
      <w:r>
        <w:rPr>
          <w:rFonts w:hint="eastAsia"/>
        </w:rPr>
        <w:t xml:space="preserve">选举结果尚未确定，节目未涉及候选人经贸政策，不应提前判断中国相关产业的明确利好或利空。</w:t>
      </w:r>
    </w:p>
    <w:bookmarkEnd w:id="32"/>
    <w:bookmarkStart w:id="33" w:name="国际快讯美国加州山火快速蔓延"/>
    <w:p>
      <w:pPr>
        <w:pStyle w:val="Heading3"/>
      </w:pPr>
      <w:r>
        <w:t xml:space="preserve">17. </w:t>
      </w:r>
      <w:r>
        <w:rPr>
          <w:rFonts w:hint="eastAsia"/>
        </w:rPr>
        <w:t xml:space="preserve">国际快讯：美国加州山火快速蔓延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  <w:b/>
          <w:bCs/>
        </w:rPr>
        <w:t xml:space="preserve">信号强度：★★</w:t>
      </w:r>
      <w:r>
        <w:rPr>
          <w:rFonts w:hint="eastAsia"/>
        </w:rPr>
        <w:t xml:space="preserve">；</w:t>
      </w:r>
      <w:r>
        <w:rPr>
          <w:rFonts w:hint="eastAsia"/>
          <w:b/>
          <w:bCs/>
        </w:rPr>
        <w:t xml:space="preserve">A股影响：总体中性；时效：短期。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  <w:b/>
          <w:bCs/>
        </w:rPr>
        <w:t xml:space="preserve">相关方向：</w:t>
      </w:r>
      <w:r>
        <w:t xml:space="preserve"> </w:t>
      </w:r>
      <w:r>
        <w:rPr>
          <w:rFonts w:hint="eastAsia"/>
        </w:rPr>
        <w:t xml:space="preserve">消防装备、应急通信、气象监测和电网防灾仅有弱主题映射。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洛杉矶县圣克拉丽塔市附近山火过火面积超过420公顷，部分地区收到疏散令；起火原因不明，热浪和大风助长火势。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  <w:b/>
          <w:bCs/>
        </w:rPr>
        <w:t xml:space="preserve">解读：</w:t>
      </w:r>
      <w:r>
        <w:t xml:space="preserve"> </w:t>
      </w:r>
      <w:r>
        <w:rPr>
          <w:rFonts w:hint="eastAsia"/>
        </w:rPr>
        <w:t xml:space="preserve">这是境外区域性灾害，对A股缺乏直接订单和利润链条，不宜过度板块化推演。</w:t>
      </w:r>
    </w:p>
    <w:bookmarkEnd w:id="33"/>
    <w:bookmarkStart w:id="34" w:name="神州锦绣"/>
    <w:p>
      <w:pPr>
        <w:pStyle w:val="Heading3"/>
      </w:pPr>
      <w:r>
        <w:t xml:space="preserve">18. </w:t>
      </w:r>
      <w:r>
        <w:rPr>
          <w:rFonts w:hint="eastAsia"/>
        </w:rPr>
        <w:t xml:space="preserve">神州锦绣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  <w:b/>
          <w:bCs/>
        </w:rPr>
        <w:t xml:space="preserve">信号强度：★</w:t>
      </w:r>
      <w:r>
        <w:rPr>
          <w:rFonts w:hint="eastAsia"/>
        </w:rPr>
        <w:t xml:space="preserve">；</w:t>
      </w:r>
      <w:r>
        <w:rPr>
          <w:rFonts w:hint="eastAsia"/>
          <w:b/>
          <w:bCs/>
        </w:rPr>
        <w:t xml:space="preserve">A股影响：中性。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  <w:b/>
          <w:bCs/>
        </w:rPr>
        <w:t xml:space="preserve">相关方向：</w:t>
      </w:r>
      <w:r>
        <w:t xml:space="preserve"> </w:t>
      </w:r>
      <w:r>
        <w:rPr>
          <w:rFonts w:hint="eastAsia"/>
        </w:rPr>
        <w:t xml:space="preserve">城市宜居宜业、文旅形象传播仅作长期观察。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节目以城市秋色和宜居宜业美景收尾，未披露新增政策、项目或数据。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  <w:b/>
          <w:bCs/>
        </w:rPr>
        <w:t xml:space="preserve">解读：</w:t>
      </w:r>
      <w:r>
        <w:t xml:space="preserve"> </w:t>
      </w:r>
      <w:r>
        <w:rPr>
          <w:rFonts w:hint="eastAsia"/>
        </w:rPr>
        <w:t xml:space="preserve">属于形象展示，不构成可验证的新增产业催化。</w:t>
      </w:r>
    </w:p>
    <w:bookmarkEnd w:id="34"/>
    <w:bookmarkEnd w:id="35"/>
    <w:bookmarkStart w:id="36" w:name="四板块影响汇总"/>
    <w:p>
      <w:pPr>
        <w:pStyle w:val="Heading2"/>
      </w:pPr>
      <w:r>
        <w:rPr>
          <w:rFonts w:hint="eastAsia"/>
        </w:rPr>
        <w:t xml:space="preserve">四、板块影响汇总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板块方向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影响判断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驱动新闻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信号强度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主要验证点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新型电网/配电自动化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中期利好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新能源消纳压力、2030年目标、智能电网工程</w:t>
            </w:r>
          </w:p>
        </w:tc>
        <w:tc>
          <w:tcPr/>
          <w:p>
            <w:pPr>
              <w:pStyle w:val="Compact"/>
            </w:pPr>
            <w:r>
              <w:t xml:space="preserve">★★★★★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电网投资、配网项目、设备招标、回款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分布式光伏消纳/储能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中期利好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宁波超1000万千瓦分布式光伏及电压治理</w:t>
            </w:r>
          </w:p>
        </w:tc>
        <w:tc>
          <w:tcPr/>
          <w:p>
            <w:pPr>
              <w:pStyle w:val="Compact"/>
            </w:pPr>
            <w:r>
              <w:t xml:space="preserve">★★★★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并网规则、储能调用、消纳率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算力基础设施/超算网络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中期利好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东数西算、万卡集群、超10万卡核心节点</w:t>
            </w:r>
          </w:p>
        </w:tc>
        <w:tc>
          <w:tcPr/>
          <w:p>
            <w:pPr>
              <w:pStyle w:val="Compact"/>
            </w:pPr>
            <w:r>
              <w:t xml:space="preserve">★★★★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利用率、能耗、网络与供电配套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5G-A/万兆光网/6G测试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中长期利好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通信网络建设与6G外场试验</w:t>
            </w:r>
          </w:p>
        </w:tc>
        <w:tc>
          <w:tcPr/>
          <w:p>
            <w:pPr>
              <w:pStyle w:val="Compact"/>
            </w:pPr>
            <w:r>
              <w:t xml:space="preserve">★★★★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标准、资本开支、设备订单、商用节奏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水利水运/智能水网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中期利好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三峡新通道、灌区工程、30多万监测点</w:t>
            </w:r>
          </w:p>
        </w:tc>
        <w:tc>
          <w:tcPr/>
          <w:p>
            <w:pPr>
              <w:pStyle w:val="Compact"/>
            </w:pPr>
            <w:r>
              <w:t xml:space="preserve">★★★★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项目资金、开工、监测设备采购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海水淡化/水处理设备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中长期利好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307.7万吨现状与450万吨目标</w:t>
            </w:r>
          </w:p>
        </w:tc>
        <w:tc>
          <w:tcPr/>
          <w:p>
            <w:pPr>
              <w:pStyle w:val="Compact"/>
            </w:pPr>
            <w:r>
              <w:t xml:space="preserve">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项目落地、能耗、水价、国产替代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家电/汽车/消费电子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短期偏利好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以旧换新带动销售</w:t>
            </w:r>
          </w:p>
        </w:tc>
        <w:tc>
          <w:tcPr/>
          <w:p>
            <w:pPr>
              <w:pStyle w:val="Compact"/>
            </w:pPr>
            <w:r>
              <w:t xml:space="preserve">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政策持续、销量、价格、毛利率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文旅/商业运营/数字展陈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短期偏利好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超2万场活动与多元消费场景</w:t>
            </w:r>
          </w:p>
        </w:tc>
        <w:tc>
          <w:tcPr/>
          <w:p>
            <w:pPr>
              <w:pStyle w:val="Compact"/>
            </w:pPr>
            <w:r>
              <w:t xml:space="preserve">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客流、客单价、收入与运营成本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有色/钢铁等资源品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景气偏利好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大宗商品价格指数上行</w:t>
            </w:r>
          </w:p>
        </w:tc>
        <w:tc>
          <w:tcPr/>
          <w:p>
            <w:pPr>
              <w:pStyle w:val="Compact"/>
            </w:pPr>
            <w:r>
              <w:t xml:space="preserve">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库存、成交、加工费、开工与利润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政务数字化/城市治理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中期偏利好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12345数智化与未诉先办</w:t>
            </w:r>
          </w:p>
        </w:tc>
        <w:tc>
          <w:tcPr/>
          <w:p>
            <w:pPr>
              <w:pStyle w:val="Compact"/>
            </w:pPr>
            <w:r>
              <w:t xml:space="preserve">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政府预算、平台运维与数据治理项目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内容平台合规/审核技术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短视频虚假人设专项整治</w:t>
            </w:r>
          </w:p>
        </w:tc>
        <w:tc>
          <w:tcPr/>
          <w:p>
            <w:pPr>
              <w:pStyle w:val="Compact"/>
            </w:pPr>
            <w:r>
              <w:t xml:space="preserve">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处罚执行、审核投入、流量结构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海洋科研/极地装备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中长期偏利好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国产浮标装备率超90%及批量布设</w:t>
            </w:r>
          </w:p>
        </w:tc>
        <w:tc>
          <w:tcPr/>
          <w:p>
            <w:pPr>
              <w:pStyle w:val="Compact"/>
            </w:pPr>
            <w:r>
              <w:t xml:space="preserve">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后续采购、可靠性、业务化规模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航运/油气/黄金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事件驱动偏利好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曼德海峡争夺及外部冲突</w:t>
            </w:r>
          </w:p>
        </w:tc>
        <w:tc>
          <w:tcPr/>
          <w:p>
            <w:pPr>
              <w:pStyle w:val="Compact"/>
            </w:pPr>
            <w:r>
              <w:t xml:space="preserve">★★★★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实际通航、运价、油价、保险费率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航空/部分化工/外贸链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潜在承压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能源与航道风险</w:t>
            </w:r>
          </w:p>
        </w:tc>
        <w:tc>
          <w:tcPr/>
          <w:p>
            <w:pPr>
              <w:pStyle w:val="Compact"/>
            </w:pPr>
            <w:r>
              <w:t xml:space="preserve">★★★★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燃料成本、绕行、运费传导</w:t>
            </w:r>
          </w:p>
        </w:tc>
      </w:tr>
    </w:tbl>
    <w:bookmarkEnd w:id="36"/>
    <w:bookmarkStart w:id="40" w:name="五操作建议"/>
    <w:p>
      <w:pPr>
        <w:pStyle w:val="Heading2"/>
      </w:pPr>
      <w:r>
        <w:rPr>
          <w:rFonts w:hint="eastAsia"/>
        </w:rPr>
        <w:t xml:space="preserve">五、操作建议</w:t>
      </w:r>
    </w:p>
    <w:bookmarkStart w:id="37" w:name="短线观察"/>
    <w:p>
      <w:pPr>
        <w:pStyle w:val="Heading3"/>
      </w:pPr>
      <w:r>
        <w:rPr>
          <w:rFonts w:hint="eastAsia"/>
        </w:rPr>
        <w:t xml:space="preserve">短线观察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  <w:b/>
          <w:bCs/>
        </w:rPr>
        <w:t xml:space="preserve">先看主线共振，不追单点脉冲。</w:t>
      </w:r>
      <w:r>
        <w:t xml:space="preserve"> </w:t>
      </w:r>
      <w:r>
        <w:rPr>
          <w:rFonts w:hint="eastAsia"/>
        </w:rPr>
        <w:t xml:space="preserve">若电网设备、配网数字化、储能、光通信和算力配套同步获得量价确认，说明资金认可“六张网+新能源消纳”逻辑；若只剩少数高位概念股加速，不追涨。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  <w:b/>
          <w:bCs/>
        </w:rPr>
        <w:t xml:space="preserve">消费线以经营数据验证。</w:t>
      </w:r>
      <w:r>
        <w:t xml:space="preserve"> </w:t>
      </w:r>
      <w:r>
        <w:rPr>
          <w:rFonts w:hint="eastAsia"/>
        </w:rPr>
        <w:t xml:space="preserve">以旧换新和假日客流提供正面线索，但需等待销量、客单价、同店收入和毛利率确认，防止节后“数据兑现即利好落地”。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  <w:b/>
          <w:bCs/>
        </w:rPr>
        <w:t xml:space="preserve">资源线区分需求与成本。</w:t>
      </w:r>
      <w:r>
        <w:t xml:space="preserve"> </w:t>
      </w:r>
      <w:r>
        <w:rPr>
          <w:rFonts w:hint="eastAsia"/>
        </w:rPr>
        <w:t xml:space="preserve">大宗商品价格上涨对上游与下游含义相反，应结合库存、加工费和提价能力，而不是笼统交易“周期全面复苏”。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  <w:b/>
          <w:bCs/>
        </w:rPr>
        <w:t xml:space="preserve">地缘线严格等待事实确认。</w:t>
      </w:r>
      <w:r>
        <w:t xml:space="preserve"> </w:t>
      </w:r>
      <w:r>
        <w:rPr>
          <w:rFonts w:hint="eastAsia"/>
        </w:rPr>
        <w:t xml:space="preserve">曼德海峡控制权存在冲突表述，只有实际通航、绕行、运价和油价形成连续证据，才支持更高置信度判断。</w:t>
      </w:r>
    </w:p>
    <w:bookmarkEnd w:id="37"/>
    <w:bookmarkStart w:id="38" w:name="中线布局"/>
    <w:p>
      <w:pPr>
        <w:pStyle w:val="Heading3"/>
      </w:pPr>
      <w:r>
        <w:rPr>
          <w:rFonts w:hint="eastAsia"/>
        </w:rPr>
        <w:t xml:space="preserve">中线布局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优先跟踪新能源高比例接入下的配网改造、智能调度、功率预测、储能调用和电能质量治理，这些是原文明确暴露的实际瓶颈。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算力和通信方向重点核验节点利用率、供电与网络配套、资本开支和订单回款，避免只按参数规模估值。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水网、海水淡化和极地科研装备关注项目化落地、国产设备验证与批量采购，远期目标不能替代当前现金流。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文旅与商业场景关注内容运营和复购能力，单纯建设大场景而缺乏付费转化的项目应降低权重。</w:t>
      </w:r>
    </w:p>
    <w:bookmarkEnd w:id="38"/>
    <w:bookmarkStart w:id="39" w:name="风险提示"/>
    <w:p>
      <w:pPr>
        <w:pStyle w:val="Heading3"/>
      </w:pPr>
      <w:r>
        <w:rPr>
          <w:rFonts w:hint="eastAsia"/>
        </w:rPr>
        <w:t xml:space="preserve">风险提示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本期出现的目标、工程进度、考察成果和节日数据均不等于上市公司利润已经兑现。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大宗商品价格上涨可能来自多种因素，若需求、库存和利润未同步改善，周期行情持续性有限。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短视频治理可能增加平台合规成本，相关技术投入能否形成收入仍需项目验证。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曼德海峡、俄乌及其他国际消息含交战方或媒体单方表述，局势与市场影响可能快速变化。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本期没有直接面向A股的资本市场政策，不应把结构性产业线索解读为指数全面上行保证。</w:t>
      </w:r>
    </w:p>
    <w:bookmarkEnd w:id="39"/>
    <w:bookmarkEnd w:id="40"/>
    <w:bookmarkStart w:id="44" w:name="六事实核验与完整性审计"/>
    <w:p>
      <w:pPr>
        <w:pStyle w:val="Heading2"/>
      </w:pPr>
      <w:r>
        <w:rPr>
          <w:rFonts w:hint="eastAsia"/>
        </w:rPr>
        <w:t xml:space="preserve">六、事实核验与完整性审计</w:t>
      </w:r>
    </w:p>
    <w:bookmarkStart w:id="41" w:name="原文覆盖"/>
    <w:p>
      <w:pPr>
        <w:pStyle w:val="Heading3"/>
      </w:pPr>
      <w:r>
        <w:t xml:space="preserve">6.1 </w:t>
      </w:r>
      <w:r>
        <w:rPr>
          <w:rFonts w:hint="eastAsia"/>
        </w:rPr>
        <w:t xml:space="preserve">原文覆盖</w:t>
      </w:r>
    </w:p>
    <w:p>
      <w:pPr>
        <w:pStyle w:val="FirstParagraph"/>
      </w:pPr>
      <w:r>
        <w:rPr>
          <w:rFonts w:hint="eastAsia"/>
        </w:rPr>
        <w:t xml:space="preserve">指定存档包含13个一级新闻栏目。其中“国内联播快讯”含3个分项，“国际联播快讯”含4个分项。将两组快讯拆分为可独立核验内容单元后，共18项；本稿“分条A股影响分析”逐项覆盖18/18，无遗漏。</w:t>
      </w:r>
    </w:p>
    <w:bookmarkEnd w:id="41"/>
    <w:bookmarkStart w:id="42" w:name="数字核验"/>
    <w:p>
      <w:pPr>
        <w:pStyle w:val="Heading3"/>
      </w:pPr>
      <w:r>
        <w:t xml:space="preserve">6.2 </w:t>
      </w:r>
      <w:r>
        <w:rPr>
          <w:rFonts w:hint="eastAsia"/>
        </w:rPr>
        <w:t xml:space="preserve">数字核验</w:t>
      </w:r>
    </w:p>
    <w:p>
      <w:pPr>
        <w:pStyle w:val="FirstParagraph"/>
      </w:pPr>
      <w:r>
        <w:rPr>
          <w:rFonts w:hint="eastAsia"/>
        </w:rPr>
        <w:t xml:space="preserve">本稿引用的关键数字均可在指定原文中逐字定位，包括：平陆运河全长134.2公里、前坪水库灌区惠及120多万人、重点商圈客流同比增长3.4%与营业额增长5.3%、以旧换新带动196.3亿元、大宗商品价格指数137.6点及环比4.1%和同比22.9%、宁波分布式光伏装机超1000万千瓦、新能源装机年均增长约2亿千瓦、2030年支撑超28亿千瓦新能源消纳、水网监测点30多万处、超算核心节点超10万卡、12345近2亿件及超过97%、海水淡化307.7万吨与450万吨目标、国产化浮标装备率超90%、曼德海峡行动的100架战机与300多个目标、加州山火超420公顷。</w:t>
      </w:r>
    </w:p>
    <w:bookmarkEnd w:id="42"/>
    <w:bookmarkStart w:id="43" w:name="事实边界核验"/>
    <w:p>
      <w:pPr>
        <w:pStyle w:val="Heading3"/>
      </w:pPr>
      <w:r>
        <w:t xml:space="preserve">6.3 </w:t>
      </w:r>
      <w:r>
        <w:rPr>
          <w:rFonts w:hint="eastAsia"/>
        </w:rPr>
        <w:t xml:space="preserve">事实边界核验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所有事实、数字、地名与事件均取自唯一指定存档；未调用其他新闻正文补写联播内容。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“受益板块”“承压方向”“市场含义”“验证重点”均明确属于分析推演，不冒充原文表述。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未写入原文未提供的上市公司订单、业绩、估值、股价涨跌、船舶绕行规模或能源供应中断数据。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对曼德海峡控制权保留交战双方说法冲突，对美军基地调整、俄乌冲突和巴西选举均未外推未公布结果。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不推荐具体个股，不承诺收益。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  <w:b/>
          <w:bCs/>
        </w:rPr>
        <w:t xml:space="preserve">事实来源：</w:t>
      </w:r>
      <w:r>
        <w:t xml:space="preserve"> </w:t>
      </w:r>
      <w:r>
        <w:rPr>
          <w:rStyle w:val="VerbatimChar"/>
        </w:rPr>
        <w:t xml:space="preserve">/Users/qiji/.hermes/skills/finance/qiji-morning-know/memory/xinwenlianbo/2026-10-05.md</w:t>
      </w:r>
      <w:r>
        <w:br/>
      </w:r>
      <w:r>
        <w:rPr>
          <w:rFonts w:hint="eastAsia"/>
          <w:b/>
          <w:bCs/>
        </w:rPr>
        <w:t xml:space="preserve">分析与写稿模型：</w:t>
      </w:r>
      <w:r>
        <w:t xml:space="preserve"> </w:t>
      </w:r>
      <w:r>
        <w:t xml:space="preserve">GPT-5.6 Sol (openai-codex)</w:t>
      </w:r>
      <w:r>
        <w:br/>
      </w:r>
      <w:r>
        <w:rPr>
          <w:rFonts w:hint="eastAsia"/>
          <w:b/>
          <w:bCs/>
        </w:rPr>
        <w:t xml:space="preserve">免责声明：</w:t>
      </w:r>
      <w:r>
        <w:t xml:space="preserve"> </w:t>
      </w:r>
      <w:r>
        <w:rPr>
          <w:rFonts w:hint="eastAsia"/>
        </w:rPr>
        <w:t xml:space="preserve">本报告仅作新闻信息解读和政策研究，不构成任何投资建议。市场有风险，投资需谨慎。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7">
    <w:abstractNumId w:val="991"/>
  </w:num>
  <w:num w:numId="1028">
    <w:abstractNumId w:val="991"/>
  </w:num>
  <w:num w:numId="102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2026-10-05T12:26:48Z</dcterms:created>
  <dcterms:modified xsi:type="dcterms:W3CDTF">2026-10-05T12:26:48Z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