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年10月3日新闻联播a股影响解读"/>
    <w:p>
      <w:pPr>
        <w:pStyle w:val="Heading1"/>
      </w:pPr>
      <w:r>
        <w:rPr>
          <w:rFonts w:hint="eastAsia"/>
        </w:rPr>
        <w:t xml:space="preserve">2026年10月3日《新闻联播》A股影响解读</w:t>
      </w:r>
    </w:p>
    <w:p>
      <w:pPr>
        <w:pStyle w:val="BlockText"/>
      </w:pPr>
      <w:r>
        <w:rPr>
          <w:rFonts w:hint="eastAsia"/>
        </w:rPr>
        <w:t xml:space="preserve">唯一事实底稿：</w:t>
      </w:r>
      <w:r>
        <w:rPr>
          <w:rStyle w:val="VerbatimChar"/>
        </w:rPr>
        <w:t xml:space="preserve">/Users/qiji/.hermes/skills/finance/qiji-morning-know/memory/xinwenlianbo/2026-10-03.md</w:t>
      </w:r>
    </w:p>
    <w:p>
      <w:pPr>
        <w:pStyle w:val="BlockText"/>
      </w:pPr>
      <w:r>
        <w:rPr>
          <w:rFonts w:hint="eastAsia"/>
        </w:rPr>
        <w:t xml:space="preserve">分析边界：文中“联播事实”仅复述底稿；“A股推演”是基于底稿作出的方向性判断，不构成个股推荐。未使用外部行情、公司订单、盈利预测或未经底稿支持的事实。</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整体基调：积极。</w:t>
      </w:r>
      <w:r>
        <w:t xml:space="preserve"> </w:t>
      </w:r>
      <w:r>
        <w:rPr>
          <w:rFonts w:hint="eastAsia"/>
        </w:rPr>
        <w:t xml:space="preserve">国内主线集中于生态治理扩面提质、秋粮收获与防灾、假日消费、文旅电影、交通出行、资源安全和新型储能，政策与产业线索较为丰富。</w:t>
      </w:r>
    </w:p>
    <w:p>
      <w:pPr>
        <w:pStyle w:val="Compact"/>
        <w:numPr>
          <w:ilvl w:val="0"/>
          <w:numId w:val="1001"/>
        </w:numPr>
      </w:pPr>
      <w:r>
        <w:rPr>
          <w:rFonts w:hint="eastAsia"/>
          <w:b/>
          <w:bCs/>
        </w:rPr>
        <w:t xml:space="preserve">政策信号强度：中等偏强。</w:t>
      </w:r>
      <w:r>
        <w:t xml:space="preserve"> </w:t>
      </w:r>
      <w:r>
        <w:rPr>
          <w:rFonts w:hint="eastAsia"/>
        </w:rPr>
        <w:t xml:space="preserve">头条由习近平生态文明思想统领，并明确提出《美丽中国建设“十五五”规划》的重点任务和重大工程；消费端有第四批625亿元超长期特别国债支持以旧换新资金落地，均具有较强政策指向。</w:t>
      </w:r>
    </w:p>
    <w:p>
      <w:pPr>
        <w:pStyle w:val="Compact"/>
        <w:numPr>
          <w:ilvl w:val="0"/>
          <w:numId w:val="1001"/>
        </w:numPr>
      </w:pPr>
      <w:r>
        <w:rPr>
          <w:rFonts w:hint="eastAsia"/>
          <w:b/>
          <w:bCs/>
        </w:rPr>
        <w:t xml:space="preserve">对A股总体影响：结构性利好。</w:t>
      </w:r>
      <w:r>
        <w:t xml:space="preserve"> </w:t>
      </w:r>
      <w:r>
        <w:rPr>
          <w:rFonts w:hint="eastAsia"/>
        </w:rPr>
        <w:t xml:space="preserve">环保治理、消费更新、文旅影视、农业科技、电网调峰与长时储能、油气及有色资源勘探等方向获得正面映射；但国际能源紧张、欧洲通胀、地区冲突、航空安全与海外疫情构成风险约束。</w:t>
      </w:r>
    </w:p>
    <w:p>
      <w:pPr>
        <w:pStyle w:val="Compact"/>
        <w:numPr>
          <w:ilvl w:val="0"/>
          <w:numId w:val="1001"/>
        </w:numPr>
      </w:pPr>
      <w:r>
        <w:rPr>
          <w:rFonts w:hint="eastAsia"/>
          <w:b/>
          <w:bCs/>
        </w:rPr>
        <w:t xml:space="preserve">一句话总结：</w:t>
      </w:r>
      <w:r>
        <w:t xml:space="preserve"> </w:t>
      </w:r>
      <w:r>
        <w:rPr>
          <w:rFonts w:hint="eastAsia"/>
        </w:rPr>
        <w:t xml:space="preserve">今日不是单一主题的全面刺激，而是“生态民生工程扩围</w:t>
      </w:r>
      <w:r>
        <w:t xml:space="preserve"> + </w:t>
      </w:r>
      <w:r>
        <w:rPr>
          <w:rFonts w:hint="eastAsia"/>
        </w:rPr>
        <w:t xml:space="preserve">假日内需政策兑现</w:t>
      </w:r>
      <w:r>
        <w:t xml:space="preserve"> + </w:t>
      </w:r>
      <w:r>
        <w:rPr>
          <w:rFonts w:hint="eastAsia"/>
        </w:rPr>
        <w:t xml:space="preserve">能源资源安全补短板”的多线结构性信号。</w:t>
      </w:r>
    </w:p>
    <w:bookmarkEnd w:id="9"/>
    <w:bookmarkStart w:id="10" w:name="二核心信号排序"/>
    <w:p>
      <w:pPr>
        <w:pStyle w:val="Heading2"/>
      </w:pPr>
      <w:r>
        <w:rPr>
          <w:rFonts w:hint="eastAsia"/>
        </w:rPr>
        <w:t xml:space="preserve">二、核心信号排序</w:t>
      </w:r>
    </w:p>
    <w:p>
      <w:pPr>
        <w:pStyle w:val="Compact"/>
        <w:numPr>
          <w:ilvl w:val="0"/>
          <w:numId w:val="1002"/>
        </w:numPr>
      </w:pPr>
      <w:r>
        <w:rPr>
          <w:rFonts w:hint="eastAsia"/>
          <w:b/>
          <w:bCs/>
        </w:rPr>
        <w:t xml:space="preserve">美丽中国建设扩面提质（★★★★★）</w:t>
      </w:r>
      <w:r>
        <w:rPr>
          <w:rFonts w:hint="eastAsia"/>
        </w:rPr>
        <w:t xml:space="preserve">：头条明确“十五五”是关键阶段，重点任务覆盖蓝天、河湖、海湾、乡村，并把治理重点向县城及农村延伸。</w:t>
      </w:r>
    </w:p>
    <w:p>
      <w:pPr>
        <w:pStyle w:val="Compact"/>
        <w:numPr>
          <w:ilvl w:val="0"/>
          <w:numId w:val="1002"/>
        </w:numPr>
      </w:pPr>
      <w:r>
        <w:rPr>
          <w:rFonts w:hint="eastAsia"/>
          <w:b/>
          <w:bCs/>
        </w:rPr>
        <w:t xml:space="preserve">促消费政策进入兑现期（★★★★）</w:t>
      </w:r>
      <w:r>
        <w:rPr>
          <w:rFonts w:hint="eastAsia"/>
        </w:rPr>
        <w:t xml:space="preserve">：第四批625亿元超长期特别国债支持消费品以旧换新资金已落地，消费贷款贴息、地方消费券和文商旅活动形成组合政策。</w:t>
      </w:r>
    </w:p>
    <w:p>
      <w:pPr>
        <w:pStyle w:val="Compact"/>
        <w:numPr>
          <w:ilvl w:val="0"/>
          <w:numId w:val="1002"/>
        </w:numPr>
      </w:pPr>
      <w:r>
        <w:rPr>
          <w:rFonts w:hint="eastAsia"/>
          <w:b/>
          <w:bCs/>
        </w:rPr>
        <w:t xml:space="preserve">粮食安全与农业抗灾稳产（★★★★）</w:t>
      </w:r>
      <w:r>
        <w:rPr>
          <w:rFonts w:hint="eastAsia"/>
        </w:rPr>
        <w:t xml:space="preserve">：秋粮收获过三成且快于上年同期，密植高产、集成增产、病虫防控、农机调度和财政喷施支持共同指向农业生产效率与韧性。</w:t>
      </w:r>
    </w:p>
    <w:p>
      <w:pPr>
        <w:pStyle w:val="Compact"/>
        <w:numPr>
          <w:ilvl w:val="0"/>
          <w:numId w:val="1002"/>
        </w:numPr>
      </w:pPr>
      <w:r>
        <w:rPr>
          <w:rFonts w:hint="eastAsia"/>
          <w:b/>
          <w:bCs/>
        </w:rPr>
        <w:t xml:space="preserve">能源资源安全与储能调峰（★★★★）</w:t>
      </w:r>
      <w:r>
        <w:rPr>
          <w:rFonts w:hint="eastAsia"/>
        </w:rPr>
        <w:t xml:space="preserve">：油气及铜金铅锌找矿取得进展，“沙戈荒”配套调峰电源全容量投产，首个百兆瓦级压缩二氧化碳储能项目并网。</w:t>
      </w:r>
    </w:p>
    <w:p>
      <w:pPr>
        <w:pStyle w:val="Compact"/>
        <w:numPr>
          <w:ilvl w:val="0"/>
          <w:numId w:val="1002"/>
        </w:numPr>
      </w:pPr>
      <w:r>
        <w:rPr>
          <w:rFonts w:hint="eastAsia"/>
          <w:b/>
          <w:bCs/>
        </w:rPr>
        <w:t xml:space="preserve">假日文旅、电影与交通联动（★★★）</w:t>
      </w:r>
      <w:r>
        <w:rPr>
          <w:rFonts w:hint="eastAsia"/>
        </w:rPr>
        <w:t xml:space="preserve">：跨区域人员流动、铁路民航运力、电影票房及“电影+”共同验证服务消费场景活跃，但持续性仍需节后数据验证。</w:t>
      </w:r>
    </w:p>
    <w:bookmarkEnd w:id="10"/>
    <w:bookmarkStart w:id="32" w:name="三逐条a股影响分析"/>
    <w:p>
      <w:pPr>
        <w:pStyle w:val="Heading2"/>
      </w:pPr>
      <w:r>
        <w:rPr>
          <w:rFonts w:hint="eastAsia"/>
        </w:rPr>
        <w:t xml:space="preserve">三、逐条A股影响分析</w:t>
      </w:r>
    </w:p>
    <w:bookmarkStart w:id="11" w:name="新思想引领新征程生态为民-绘就美丽中国新图景"/>
    <w:p>
      <w:pPr>
        <w:pStyle w:val="Heading3"/>
      </w:pPr>
      <w:r>
        <w:t xml:space="preserve">1. </w:t>
      </w:r>
      <w:r>
        <w:rPr>
          <w:rFonts w:hint="eastAsia"/>
        </w:rPr>
        <w:t xml:space="preserve">【新思想引领新征程】生态为民</w:t>
      </w:r>
      <w:r>
        <w:t xml:space="preserve"> </w:t>
      </w:r>
      <w:r>
        <w:rPr>
          <w:rFonts w:hint="eastAsia"/>
        </w:rPr>
        <w:t xml:space="preserve">绘就美丽中国新图景</w:t>
      </w:r>
    </w:p>
    <w:p>
      <w:pPr>
        <w:pStyle w:val="Compact"/>
        <w:numPr>
          <w:ilvl w:val="0"/>
          <w:numId w:val="1003"/>
        </w:numPr>
      </w:pPr>
      <w:r>
        <w:rPr>
          <w:rFonts w:hint="eastAsia"/>
          <w:b/>
          <w:bCs/>
        </w:rPr>
        <w:t xml:space="preserve">编排位置与信号强度：★★★★★。</w:t>
      </w:r>
      <w:r>
        <w:t xml:space="preserve"> </w:t>
      </w:r>
      <w:r>
        <w:rPr>
          <w:rFonts w:hint="eastAsia"/>
        </w:rPr>
        <w:t xml:space="preserve">位居头条，且以习近平总书记关于生态民生的重要论述统领全文，属于当日最高优先级政策方向。</w:t>
      </w:r>
    </w:p>
    <w:p>
      <w:pPr>
        <w:pStyle w:val="Compact"/>
        <w:numPr>
          <w:ilvl w:val="0"/>
          <w:numId w:val="1003"/>
        </w:numPr>
      </w:pPr>
      <w:r>
        <w:rPr>
          <w:rFonts w:hint="eastAsia"/>
          <w:b/>
          <w:bCs/>
        </w:rPr>
        <w:t xml:space="preserve">联播事实：</w:t>
      </w:r>
      <w:r>
        <w:t xml:space="preserve"> </w:t>
      </w:r>
      <w:r>
        <w:rPr>
          <w:rFonts w:hint="eastAsia"/>
        </w:rPr>
        <w:t xml:space="preserve">各地生态治理由重点治污转向系统治理，并向群众身边的小微水体、街巷空间、水、气、噪声等问题下沉。底稿列举黑臭水体治理、空气质量改善、噪声管控等案例；今年上半年全国339个地级及以上城市空气质量优良天数比例同比提升4.5个百分点，地级及以上城市黑臭水体基本消除，全国布设4000多个声环境自动监测站点，累计建成宁静小区3272个、惠及居民超过240万户。底稿还明确，“十五五”时期是美丽中国建设承前启后、扩面提质和实现生态环境根本好转的关键阶段，《美丽中国建设“十五五”规划》部署美丽蓝天、美丽河湖、美丽海湾、美丽乡村等重点任务和重大工程，并推动治理重点向县城及农村延伸。</w:t>
      </w:r>
    </w:p>
    <w:p>
      <w:pPr>
        <w:pStyle w:val="Compact"/>
        <w:numPr>
          <w:ilvl w:val="0"/>
          <w:numId w:val="1003"/>
        </w:numPr>
      </w:pPr>
      <w:r>
        <w:rPr>
          <w:rFonts w:hint="eastAsia"/>
          <w:b/>
          <w:bCs/>
        </w:rPr>
        <w:t xml:space="preserve">通俗解读：</w:t>
      </w:r>
      <w:r>
        <w:t xml:space="preserve"> </w:t>
      </w:r>
      <w:r>
        <w:rPr>
          <w:rFonts w:hint="eastAsia"/>
        </w:rPr>
        <w:t xml:space="preserve">环保政策的重点不再只落在大江大河和重点污染源，也将更多进入县域、乡村和居民生活半径，治理对象更细、覆盖范围更广、民生属性更强。</w:t>
      </w:r>
    </w:p>
    <w:p>
      <w:pPr>
        <w:pStyle w:val="Compact"/>
        <w:numPr>
          <w:ilvl w:val="0"/>
          <w:numId w:val="1003"/>
        </w:numPr>
      </w:pPr>
      <w:r>
        <w:rPr>
          <w:rFonts w:hint="eastAsia"/>
          <w:b/>
          <w:bCs/>
        </w:rPr>
        <w:t xml:space="preserve">A股影响：结构性利好。</w:t>
      </w:r>
    </w:p>
    <w:p>
      <w:pPr>
        <w:pStyle w:val="Compact"/>
        <w:numPr>
          <w:ilvl w:val="1"/>
          <w:numId w:val="1004"/>
        </w:numPr>
      </w:pPr>
      <w:r>
        <w:rPr>
          <w:rFonts w:hint="eastAsia"/>
          <w:b/>
          <w:bCs/>
        </w:rPr>
        <w:t xml:space="preserve">短期（1—3个交易日）：</w:t>
      </w:r>
      <w:r>
        <w:t xml:space="preserve"> </w:t>
      </w:r>
      <w:r>
        <w:rPr>
          <w:rFonts w:hint="eastAsia"/>
        </w:rPr>
        <w:t xml:space="preserve">环保工程、环境监测、水治理、噪声治理和生态文旅方向可能获得主题关注。</w:t>
      </w:r>
    </w:p>
    <w:p>
      <w:pPr>
        <w:pStyle w:val="Compact"/>
        <w:numPr>
          <w:ilvl w:val="1"/>
          <w:numId w:val="1004"/>
        </w:numPr>
      </w:pPr>
      <w:r>
        <w:rPr>
          <w:rFonts w:hint="eastAsia"/>
          <w:b/>
          <w:bCs/>
        </w:rPr>
        <w:t xml:space="preserve">中期（1—4周及更长）：</w:t>
      </w:r>
      <w:r>
        <w:t xml:space="preserve"> </w:t>
      </w:r>
      <w:r>
        <w:rPr>
          <w:rFonts w:hint="eastAsia"/>
        </w:rPr>
        <w:t xml:space="preserve">若规划后续形成项目清单、资金安排和考核机制，县域污水、农村环境、河湖修复、监测设备与运营服务的订单能见度有望提升。</w:t>
      </w:r>
    </w:p>
    <w:p>
      <w:pPr>
        <w:pStyle w:val="Compact"/>
        <w:numPr>
          <w:ilvl w:val="1"/>
          <w:numId w:val="1004"/>
        </w:numPr>
      </w:pPr>
      <w:r>
        <w:rPr>
          <w:rFonts w:hint="eastAsia"/>
          <w:b/>
          <w:bCs/>
        </w:rPr>
        <w:t xml:space="preserve">受益板块：</w:t>
      </w:r>
      <w:r>
        <w:t xml:space="preserve"> </w:t>
      </w:r>
      <w:r>
        <w:rPr>
          <w:rFonts w:hint="eastAsia"/>
        </w:rPr>
        <w:t xml:space="preserve">水环境治理、污水处理、环境监测、噪声监测与治理、生态修复、县域环保基础设施、生态文旅。</w:t>
      </w:r>
    </w:p>
    <w:p>
      <w:pPr>
        <w:pStyle w:val="Compact"/>
        <w:numPr>
          <w:ilvl w:val="1"/>
          <w:numId w:val="1004"/>
        </w:numPr>
      </w:pPr>
      <w:r>
        <w:rPr>
          <w:rFonts w:hint="eastAsia"/>
          <w:b/>
          <w:bCs/>
        </w:rPr>
        <w:t xml:space="preserve">不能直接推出：</w:t>
      </w:r>
      <w:r>
        <w:t xml:space="preserve"> </w:t>
      </w:r>
      <w:r>
        <w:rPr>
          <w:rFonts w:hint="eastAsia"/>
        </w:rPr>
        <w:t xml:space="preserve">底稿没有给出具体项目投资额、招标节奏或上市公司订单，不能据此推断某家公司业绩必然增长。</w:t>
      </w:r>
    </w:p>
    <w:p>
      <w:pPr>
        <w:pStyle w:val="Compact"/>
        <w:numPr>
          <w:ilvl w:val="0"/>
          <w:numId w:val="1003"/>
        </w:numPr>
      </w:pPr>
      <w:r>
        <w:rPr>
          <w:rFonts w:hint="eastAsia"/>
          <w:b/>
          <w:bCs/>
        </w:rPr>
        <w:t xml:space="preserve">观察点：</w:t>
      </w:r>
      <w:r>
        <w:t xml:space="preserve"> </w:t>
      </w:r>
      <w:r>
        <w:rPr>
          <w:rFonts w:hint="eastAsia"/>
        </w:rPr>
        <w:t xml:space="preserve">后续规划全文、财政与专项资金来源、县域和农村项目清单、回款安排，以及由示范案例向全国复制的进度。</w:t>
      </w:r>
    </w:p>
    <w:bookmarkEnd w:id="11"/>
    <w:bookmarkStart w:id="12" w:name="在希望的田野上我国秋粮迎来大面积收获-进度过三成"/>
    <w:p>
      <w:pPr>
        <w:pStyle w:val="Heading3"/>
      </w:pPr>
      <w:r>
        <w:t xml:space="preserve">2. </w:t>
      </w:r>
      <w:r>
        <w:rPr>
          <w:rFonts w:hint="eastAsia"/>
        </w:rPr>
        <w:t xml:space="preserve">【在希望的田野上】我国秋粮迎来大面积收获</w:t>
      </w:r>
      <w:r>
        <w:t xml:space="preserve"> </w:t>
      </w:r>
      <w:r>
        <w:rPr>
          <w:rFonts w:hint="eastAsia"/>
        </w:rPr>
        <w:t xml:space="preserve">进度过三成</w:t>
      </w:r>
    </w:p>
    <w:p>
      <w:pPr>
        <w:pStyle w:val="Compact"/>
        <w:numPr>
          <w:ilvl w:val="0"/>
          <w:numId w:val="1005"/>
        </w:numPr>
      </w:pPr>
      <w:r>
        <w:rPr>
          <w:rFonts w:hint="eastAsia"/>
          <w:b/>
          <w:bCs/>
        </w:rPr>
        <w:t xml:space="preserve">信号强度：★★★★。</w:t>
      </w:r>
      <w:r>
        <w:t xml:space="preserve"> </w:t>
      </w:r>
      <w:r>
        <w:rPr>
          <w:rFonts w:hint="eastAsia"/>
        </w:rPr>
        <w:t xml:space="preserve">粮食安全、稳产增产和农业防灾是明确的民生与安全主线。</w:t>
      </w:r>
    </w:p>
    <w:p>
      <w:pPr>
        <w:pStyle w:val="Compact"/>
        <w:numPr>
          <w:ilvl w:val="0"/>
          <w:numId w:val="1005"/>
        </w:numPr>
      </w:pPr>
      <w:r>
        <w:rPr>
          <w:rFonts w:hint="eastAsia"/>
          <w:b/>
          <w:bCs/>
        </w:rPr>
        <w:t xml:space="preserve">联播事实：</w:t>
      </w:r>
      <w:r>
        <w:t xml:space="preserve"> </w:t>
      </w:r>
      <w:r>
        <w:rPr>
          <w:rFonts w:hint="eastAsia"/>
        </w:rPr>
        <w:t xml:space="preserve">秋粮约占全年粮食总产量的四分之三，全国秋粮收获已过三成，进度快于去年同期。新疆察布查尔县玉米密植高产精准调控示范田亩产由1542.2公斤增至1609.4公斤；黑龙江嫩北农场大豆高产攻关田单产突破540斤、同比增长17%。长江流域中稻面临稻飞虱风险，江苏防控面积超过8000万亩次。中央财政安排13.31亿元，重点支持秋粮抗逆防灾等喷施作业、促进灌浆；集中收获期预计持续至10月下旬。</w:t>
      </w:r>
    </w:p>
    <w:p>
      <w:pPr>
        <w:pStyle w:val="Compact"/>
        <w:numPr>
          <w:ilvl w:val="0"/>
          <w:numId w:val="1005"/>
        </w:numPr>
      </w:pPr>
      <w:r>
        <w:rPr>
          <w:rFonts w:hint="eastAsia"/>
          <w:b/>
          <w:bCs/>
        </w:rPr>
        <w:t xml:space="preserve">通俗解读：</w:t>
      </w:r>
      <w:r>
        <w:t xml:space="preserve"> </w:t>
      </w:r>
      <w:r>
        <w:rPr>
          <w:rFonts w:hint="eastAsia"/>
        </w:rPr>
        <w:t xml:space="preserve">当前重点是把已经形成的产量安全收回来，同时用高产技术、病虫害防控、农机调度和财政补助降低天气与灾害扰动。</w:t>
      </w:r>
    </w:p>
    <w:p>
      <w:pPr>
        <w:pStyle w:val="Compact"/>
        <w:numPr>
          <w:ilvl w:val="0"/>
          <w:numId w:val="1005"/>
        </w:numPr>
      </w:pPr>
      <w:r>
        <w:rPr>
          <w:rFonts w:hint="eastAsia"/>
          <w:b/>
          <w:bCs/>
        </w:rPr>
        <w:t xml:space="preserve">A股影响：偏利好。</w:t>
      </w:r>
    </w:p>
    <w:p>
      <w:pPr>
        <w:pStyle w:val="Compact"/>
        <w:numPr>
          <w:ilvl w:val="1"/>
          <w:numId w:val="1006"/>
        </w:numPr>
      </w:pPr>
      <w:r>
        <w:rPr>
          <w:rFonts w:hint="eastAsia"/>
          <w:b/>
          <w:bCs/>
        </w:rPr>
        <w:t xml:space="preserve">短期：</w:t>
      </w:r>
      <w:r>
        <w:t xml:space="preserve"> </w:t>
      </w:r>
      <w:r>
        <w:rPr>
          <w:rFonts w:hint="eastAsia"/>
        </w:rPr>
        <w:t xml:space="preserve">农机、植保、种业、农资和粮食仓储方向具备事件催化。</w:t>
      </w:r>
    </w:p>
    <w:p>
      <w:pPr>
        <w:pStyle w:val="Compact"/>
        <w:numPr>
          <w:ilvl w:val="1"/>
          <w:numId w:val="1006"/>
        </w:numPr>
      </w:pPr>
      <w:r>
        <w:rPr>
          <w:rFonts w:hint="eastAsia"/>
          <w:b/>
          <w:bCs/>
        </w:rPr>
        <w:t xml:space="preserve">中期：</w:t>
      </w:r>
      <w:r>
        <w:t xml:space="preserve"> </w:t>
      </w:r>
      <w:r>
        <w:rPr>
          <w:rFonts w:hint="eastAsia"/>
        </w:rPr>
        <w:t xml:space="preserve">密植高产、集成增产和抗逆防灾技术的推广，有利于农业科技与规模化服务需求。</w:t>
      </w:r>
    </w:p>
    <w:p>
      <w:pPr>
        <w:pStyle w:val="Compact"/>
        <w:numPr>
          <w:ilvl w:val="1"/>
          <w:numId w:val="1006"/>
        </w:numPr>
      </w:pPr>
      <w:r>
        <w:rPr>
          <w:rFonts w:hint="eastAsia"/>
          <w:b/>
          <w:bCs/>
        </w:rPr>
        <w:t xml:space="preserve">受益板块：</w:t>
      </w:r>
      <w:r>
        <w:t xml:space="preserve"> </w:t>
      </w:r>
      <w:r>
        <w:rPr>
          <w:rFonts w:hint="eastAsia"/>
        </w:rPr>
        <w:t xml:space="preserve">农业机械、植保服务、农药、种业、节水灌溉、粮食烘干与仓储、农业数字化。</w:t>
      </w:r>
    </w:p>
    <w:p>
      <w:pPr>
        <w:pStyle w:val="Compact"/>
        <w:numPr>
          <w:ilvl w:val="1"/>
          <w:numId w:val="1006"/>
        </w:numPr>
      </w:pPr>
      <w:r>
        <w:rPr>
          <w:rFonts w:hint="eastAsia"/>
          <w:b/>
          <w:bCs/>
        </w:rPr>
        <w:t xml:space="preserve">风险约束：</w:t>
      </w:r>
      <w:r>
        <w:t xml:space="preserve"> </w:t>
      </w:r>
      <w:r>
        <w:rPr>
          <w:rFonts w:hint="eastAsia"/>
        </w:rPr>
        <w:t xml:space="preserve">底稿同时提示台风、偏高气温和稻飞虱风险；若后期天气或病虫害恶化，粮食减产预期可能推升农产品价格波动，并压缩部分下游加工环节利润。</w:t>
      </w:r>
    </w:p>
    <w:p>
      <w:pPr>
        <w:pStyle w:val="Compact"/>
        <w:numPr>
          <w:ilvl w:val="0"/>
          <w:numId w:val="1005"/>
        </w:numPr>
      </w:pPr>
      <w:r>
        <w:rPr>
          <w:rFonts w:hint="eastAsia"/>
          <w:b/>
          <w:bCs/>
        </w:rPr>
        <w:t xml:space="preserve">不能直接推出：</w:t>
      </w:r>
      <w:r>
        <w:t xml:space="preserve"> </w:t>
      </w:r>
      <w:r>
        <w:rPr>
          <w:rFonts w:hint="eastAsia"/>
        </w:rPr>
        <w:t xml:space="preserve">示范田增产数据不等同于全国平均增产，不能据此推演全国秋粮最终产量。</w:t>
      </w:r>
    </w:p>
    <w:bookmarkEnd w:id="12"/>
    <w:bookmarkStart w:id="13" w:name="欢庆多彩假日-礼赞美好生活"/>
    <w:p>
      <w:pPr>
        <w:pStyle w:val="Heading3"/>
      </w:pPr>
      <w:r>
        <w:t xml:space="preserve">3. </w:t>
      </w:r>
      <w:r>
        <w:rPr>
          <w:rFonts w:hint="eastAsia"/>
        </w:rPr>
        <w:t xml:space="preserve">欢庆多彩假日</w:t>
      </w:r>
      <w:r>
        <w:t xml:space="preserve"> </w:t>
      </w:r>
      <w:r>
        <w:rPr>
          <w:rFonts w:hint="eastAsia"/>
        </w:rPr>
        <w:t xml:space="preserve">礼赞美好生活</w:t>
      </w:r>
    </w:p>
    <w:p>
      <w:pPr>
        <w:pStyle w:val="Compact"/>
        <w:numPr>
          <w:ilvl w:val="0"/>
          <w:numId w:val="1007"/>
        </w:numPr>
      </w:pPr>
      <w:r>
        <w:rPr>
          <w:rFonts w:hint="eastAsia"/>
          <w:b/>
          <w:bCs/>
        </w:rPr>
        <w:t xml:space="preserve">信号强度：★★★。</w:t>
      </w:r>
      <w:r>
        <w:t xml:space="preserve"> </w:t>
      </w:r>
      <w:r>
        <w:rPr>
          <w:rFonts w:hint="eastAsia"/>
        </w:rPr>
        <w:t xml:space="preserve">属于假日消费与文旅活力的场景验证，政策强度低于正式规划和资金安排，但覆盖地域与消费业态广。</w:t>
      </w:r>
    </w:p>
    <w:p>
      <w:pPr>
        <w:pStyle w:val="Compact"/>
        <w:numPr>
          <w:ilvl w:val="0"/>
          <w:numId w:val="1007"/>
        </w:numPr>
      </w:pPr>
      <w:r>
        <w:rPr>
          <w:rFonts w:hint="eastAsia"/>
          <w:b/>
          <w:bCs/>
        </w:rPr>
        <w:t xml:space="preserve">联播事实：</w:t>
      </w:r>
      <w:r>
        <w:t xml:space="preserve"> </w:t>
      </w:r>
      <w:r>
        <w:rPr>
          <w:rFonts w:hint="eastAsia"/>
        </w:rPr>
        <w:t xml:space="preserve">国庆假期前两天，天山天池游客量同比增长25%；秦始皇帝陵博物院接待游客超11万人次，北京园博园超4万人次，四川宜宾李庄古镇超13.4万人次。报道覆盖自然景区、文博、非遗、戏曲、古城、夜游、露天市集和特色美食；平遥古城上线AI讲解助理，鄂尔多斯以无人机表演丰富夜间场景。</w:t>
      </w:r>
    </w:p>
    <w:p>
      <w:pPr>
        <w:pStyle w:val="Compact"/>
        <w:numPr>
          <w:ilvl w:val="0"/>
          <w:numId w:val="1007"/>
        </w:numPr>
      </w:pPr>
      <w:r>
        <w:rPr>
          <w:rFonts w:hint="eastAsia"/>
          <w:b/>
          <w:bCs/>
        </w:rPr>
        <w:t xml:space="preserve">通俗解读：</w:t>
      </w:r>
      <w:r>
        <w:t xml:space="preserve"> </w:t>
      </w:r>
      <w:r>
        <w:rPr>
          <w:rFonts w:hint="eastAsia"/>
        </w:rPr>
        <w:t xml:space="preserve">旅游消费正在从单一门票扩展到文博、非遗、夜游、餐饮、数字讲解和沉浸式体验，地方文旅供给更重视内容与场景运营。</w:t>
      </w:r>
    </w:p>
    <w:p>
      <w:pPr>
        <w:pStyle w:val="Compact"/>
        <w:numPr>
          <w:ilvl w:val="0"/>
          <w:numId w:val="1007"/>
        </w:numPr>
      </w:pPr>
      <w:r>
        <w:rPr>
          <w:rFonts w:hint="eastAsia"/>
          <w:b/>
          <w:bCs/>
        </w:rPr>
        <w:t xml:space="preserve">A股影响：温和利好。</w:t>
      </w:r>
    </w:p>
    <w:p>
      <w:pPr>
        <w:pStyle w:val="Compact"/>
        <w:numPr>
          <w:ilvl w:val="1"/>
          <w:numId w:val="1008"/>
        </w:numPr>
      </w:pPr>
      <w:r>
        <w:rPr>
          <w:rFonts w:hint="eastAsia"/>
          <w:b/>
          <w:bCs/>
        </w:rPr>
        <w:t xml:space="preserve">短期：</w:t>
      </w:r>
      <w:r>
        <w:t xml:space="preserve"> </w:t>
      </w:r>
      <w:r>
        <w:rPr>
          <w:rFonts w:hint="eastAsia"/>
        </w:rPr>
        <w:t xml:space="preserve">景区、酒店餐饮、旅游服务、演艺、文博数字化、无人机表演等可能获得假日数据催化。</w:t>
      </w:r>
    </w:p>
    <w:p>
      <w:pPr>
        <w:pStyle w:val="Compact"/>
        <w:numPr>
          <w:ilvl w:val="1"/>
          <w:numId w:val="1008"/>
        </w:numPr>
      </w:pPr>
      <w:r>
        <w:rPr>
          <w:rFonts w:hint="eastAsia"/>
          <w:b/>
          <w:bCs/>
        </w:rPr>
        <w:t xml:space="preserve">中期：</w:t>
      </w:r>
      <w:r>
        <w:t xml:space="preserve"> </w:t>
      </w:r>
      <w:r>
        <w:rPr>
          <w:rFonts w:hint="eastAsia"/>
        </w:rPr>
        <w:t xml:space="preserve">能否转化为持续业绩，取决于客流转化、客单价、运营成本和淡旺季平滑能力。</w:t>
      </w:r>
    </w:p>
    <w:p>
      <w:pPr>
        <w:pStyle w:val="Compact"/>
        <w:numPr>
          <w:ilvl w:val="1"/>
          <w:numId w:val="1008"/>
        </w:numPr>
      </w:pPr>
      <w:r>
        <w:rPr>
          <w:rFonts w:hint="eastAsia"/>
          <w:b/>
          <w:bCs/>
        </w:rPr>
        <w:t xml:space="preserve">受益板块：</w:t>
      </w:r>
      <w:r>
        <w:t xml:space="preserve"> </w:t>
      </w:r>
      <w:r>
        <w:rPr>
          <w:rFonts w:hint="eastAsia"/>
        </w:rPr>
        <w:t xml:space="preserve">景区运营、酒店餐饮、旅游服务、文化演艺、数字文旅、AI导览、低空文旅应用。</w:t>
      </w:r>
    </w:p>
    <w:p>
      <w:pPr>
        <w:pStyle w:val="Compact"/>
        <w:numPr>
          <w:ilvl w:val="0"/>
          <w:numId w:val="1007"/>
        </w:numPr>
      </w:pPr>
      <w:r>
        <w:rPr>
          <w:rFonts w:hint="eastAsia"/>
          <w:b/>
          <w:bCs/>
        </w:rPr>
        <w:t xml:space="preserve">风险提示：</w:t>
      </w:r>
      <w:r>
        <w:t xml:space="preserve"> </w:t>
      </w:r>
      <w:r>
        <w:rPr>
          <w:rFonts w:hint="eastAsia"/>
        </w:rPr>
        <w:t xml:space="preserve">客流增长不等于利润同比增长；免费活动、补贴、安保和运力投入均可能影响盈利质量。</w:t>
      </w:r>
    </w:p>
    <w:bookmarkEnd w:id="13"/>
    <w:bookmarkStart w:id="14" w:name="多举措激活国庆假期消费活力"/>
    <w:p>
      <w:pPr>
        <w:pStyle w:val="Heading3"/>
      </w:pPr>
      <w:r>
        <w:t xml:space="preserve">4. </w:t>
      </w:r>
      <w:r>
        <w:rPr>
          <w:rFonts w:hint="eastAsia"/>
        </w:rPr>
        <w:t xml:space="preserve">多举措激活国庆假期消费活力</w:t>
      </w:r>
    </w:p>
    <w:p>
      <w:pPr>
        <w:pStyle w:val="Compact"/>
        <w:numPr>
          <w:ilvl w:val="0"/>
          <w:numId w:val="1009"/>
        </w:numPr>
      </w:pPr>
      <w:r>
        <w:rPr>
          <w:rFonts w:hint="eastAsia"/>
          <w:b/>
          <w:bCs/>
        </w:rPr>
        <w:t xml:space="preserve">信号强度：★★★★。</w:t>
      </w:r>
      <w:r>
        <w:t xml:space="preserve"> </w:t>
      </w:r>
      <w:r>
        <w:rPr>
          <w:rFonts w:hint="eastAsia"/>
        </w:rPr>
        <w:t xml:space="preserve">既有中央资金落地，也有消费贷款贴息、地方消费券和文商旅活动，属于政策兑现信号。</w:t>
      </w:r>
    </w:p>
    <w:p>
      <w:pPr>
        <w:pStyle w:val="Compact"/>
        <w:numPr>
          <w:ilvl w:val="0"/>
          <w:numId w:val="1009"/>
        </w:numPr>
      </w:pPr>
      <w:r>
        <w:rPr>
          <w:rFonts w:hint="eastAsia"/>
          <w:b/>
          <w:bCs/>
        </w:rPr>
        <w:t xml:space="preserve">联播事实：</w:t>
      </w:r>
      <w:r>
        <w:t xml:space="preserve"> </w:t>
      </w:r>
      <w:r>
        <w:rPr>
          <w:rFonts w:hint="eastAsia"/>
        </w:rPr>
        <w:t xml:space="preserve">第四批625亿元超长期特别国债支持消费品以旧换新资金在假期前落地；四川加快消费贷款贴息；辽宁以赛事、展会凭证在全省25000家商户申领消费券；厦门投放3000万元消费券并策划800多场文商旅活动；国庆文化和旅游消费月期间，各地将举办超2万场次文旅活动，发放超3.1亿元消费券等消费补贴。重庆还通过离境退税商店和外币兑换点提升入境游客购物便利度。</w:t>
      </w:r>
    </w:p>
    <w:p>
      <w:pPr>
        <w:pStyle w:val="Compact"/>
        <w:numPr>
          <w:ilvl w:val="0"/>
          <w:numId w:val="1009"/>
        </w:numPr>
      </w:pPr>
      <w:r>
        <w:rPr>
          <w:rFonts w:hint="eastAsia"/>
          <w:b/>
          <w:bCs/>
        </w:rPr>
        <w:t xml:space="preserve">通俗解读：</w:t>
      </w:r>
      <w:r>
        <w:t xml:space="preserve"> </w:t>
      </w:r>
      <w:r>
        <w:rPr>
          <w:rFonts w:hint="eastAsia"/>
        </w:rPr>
        <w:t xml:space="preserve">促消费不只依靠商家降价，而是中央资金、金融贴息、地方补贴、票根联动和入境便利化共同发力，目标是把政策红利转成家电、家居、文旅和线下商业的实际交易。</w:t>
      </w:r>
    </w:p>
    <w:p>
      <w:pPr>
        <w:pStyle w:val="Compact"/>
        <w:numPr>
          <w:ilvl w:val="0"/>
          <w:numId w:val="1009"/>
        </w:numPr>
      </w:pPr>
      <w:r>
        <w:rPr>
          <w:rFonts w:hint="eastAsia"/>
          <w:b/>
          <w:bCs/>
        </w:rPr>
        <w:t xml:space="preserve">A股影响：明确利好，但分化取决于兑现。</w:t>
      </w:r>
    </w:p>
    <w:p>
      <w:pPr>
        <w:pStyle w:val="Compact"/>
        <w:numPr>
          <w:ilvl w:val="1"/>
          <w:numId w:val="1010"/>
        </w:numPr>
      </w:pPr>
      <w:r>
        <w:rPr>
          <w:rFonts w:hint="eastAsia"/>
          <w:b/>
          <w:bCs/>
        </w:rPr>
        <w:t xml:space="preserve">短期：</w:t>
      </w:r>
      <w:r>
        <w:t xml:space="preserve"> </w:t>
      </w:r>
      <w:r>
        <w:rPr>
          <w:rFonts w:hint="eastAsia"/>
        </w:rPr>
        <w:t xml:space="preserve">家电、家居家装、零售、消费金融服务、文旅与线下商业可能获得政策催化。</w:t>
      </w:r>
    </w:p>
    <w:p>
      <w:pPr>
        <w:pStyle w:val="Compact"/>
        <w:numPr>
          <w:ilvl w:val="1"/>
          <w:numId w:val="1010"/>
        </w:numPr>
      </w:pPr>
      <w:r>
        <w:rPr>
          <w:rFonts w:hint="eastAsia"/>
          <w:b/>
          <w:bCs/>
        </w:rPr>
        <w:t xml:space="preserve">中期：</w:t>
      </w:r>
      <w:r>
        <w:t xml:space="preserve"> </w:t>
      </w:r>
      <w:r>
        <w:rPr>
          <w:rFonts w:hint="eastAsia"/>
        </w:rPr>
        <w:t xml:space="preserve">以旧换新对耐用消费品需求具有直接拉动，但持续性需观察补贴核销、渠道库存、价格竞争和政策退出后的需求衔接。</w:t>
      </w:r>
    </w:p>
    <w:p>
      <w:pPr>
        <w:pStyle w:val="Compact"/>
        <w:numPr>
          <w:ilvl w:val="1"/>
          <w:numId w:val="1010"/>
        </w:numPr>
      </w:pPr>
      <w:r>
        <w:rPr>
          <w:rFonts w:hint="eastAsia"/>
          <w:b/>
          <w:bCs/>
        </w:rPr>
        <w:t xml:space="preserve">受益板块：</w:t>
      </w:r>
      <w:r>
        <w:t xml:space="preserve"> </w:t>
      </w:r>
      <w:r>
        <w:rPr>
          <w:rFonts w:hint="eastAsia"/>
        </w:rPr>
        <w:t xml:space="preserve">家电、家居家装、消费电子更新、商贸零售、支付及消费金融服务、文旅消费、入境消费服务。</w:t>
      </w:r>
    </w:p>
    <w:p>
      <w:pPr>
        <w:pStyle w:val="Compact"/>
        <w:numPr>
          <w:ilvl w:val="0"/>
          <w:numId w:val="1009"/>
        </w:numPr>
      </w:pPr>
      <w:r>
        <w:rPr>
          <w:rFonts w:hint="eastAsia"/>
          <w:b/>
          <w:bCs/>
        </w:rPr>
        <w:t xml:space="preserve">风险提示：</w:t>
      </w:r>
      <w:r>
        <w:t xml:space="preserve"> </w:t>
      </w:r>
      <w:r>
        <w:rPr>
          <w:rFonts w:hint="eastAsia"/>
        </w:rPr>
        <w:t xml:space="preserve">补贴可能带来需求前置；若渠道以大幅降价争夺份额，销量增长未必同步转化为利润增长。</w:t>
      </w:r>
    </w:p>
    <w:bookmarkEnd w:id="14"/>
    <w:bookmarkStart w:id="15" w:name="年国庆档电影票房破5亿元-电影激发消费新增量"/>
    <w:p>
      <w:pPr>
        <w:pStyle w:val="Heading3"/>
      </w:pPr>
      <w:r>
        <w:t xml:space="preserve">5. </w:t>
      </w:r>
      <w:r>
        <w:rPr>
          <w:rFonts w:hint="eastAsia"/>
        </w:rPr>
        <w:t xml:space="preserve">2026年国庆档电影票房破5亿元</w:t>
      </w:r>
      <w:r>
        <w:t xml:space="preserve"> </w:t>
      </w:r>
      <w:r>
        <w:rPr>
          <w:rFonts w:hint="eastAsia"/>
        </w:rPr>
        <w:t xml:space="preserve">“电影+”激发消费新增量</w:t>
      </w:r>
    </w:p>
    <w:p>
      <w:pPr>
        <w:pStyle w:val="Compact"/>
        <w:numPr>
          <w:ilvl w:val="0"/>
          <w:numId w:val="1011"/>
        </w:numPr>
      </w:pPr>
      <w:r>
        <w:rPr>
          <w:rFonts w:hint="eastAsia"/>
          <w:b/>
          <w:bCs/>
        </w:rPr>
        <w:t xml:space="preserve">信号强度：★★★。</w:t>
      </w:r>
      <w:r>
        <w:t xml:space="preserve"> </w:t>
      </w:r>
      <w:r>
        <w:rPr>
          <w:rFonts w:hint="eastAsia"/>
        </w:rPr>
        <w:t xml:space="preserve">体现文化消费回暖与跨场景融合，但仍主要是行业经营数据和消费场景信号。</w:t>
      </w:r>
    </w:p>
    <w:p>
      <w:pPr>
        <w:pStyle w:val="Compact"/>
        <w:numPr>
          <w:ilvl w:val="0"/>
          <w:numId w:val="1011"/>
        </w:numPr>
      </w:pPr>
      <w:r>
        <w:rPr>
          <w:rFonts w:hint="eastAsia"/>
          <w:b/>
          <w:bCs/>
        </w:rPr>
        <w:t xml:space="preserve">联播事实：</w:t>
      </w:r>
      <w:r>
        <w:t xml:space="preserve"> </w:t>
      </w:r>
      <w:r>
        <w:rPr>
          <w:rFonts w:hint="eastAsia"/>
        </w:rPr>
        <w:t xml:space="preserve">10月3日国庆档电影票房突破5亿元，年度票房超过300亿元；《神探之痕迹》以超2亿元暂列档期首位。今年已有9部影片票房超过10亿元，暂列年度票房前五的均为国产影片。电影放映场次和观影人次创历史同期新高；截至9月底，全国净增影院438家、银幕2632块，银幕总数接近9.6万块。国家电影局推动“电影经济促进年”，“电影+旅游、美食、非遗、街市、运动”等活动延伸消费链条，底稿称今年以来电影全产业链产值已超过4700亿元。</w:t>
      </w:r>
    </w:p>
    <w:p>
      <w:pPr>
        <w:pStyle w:val="Compact"/>
        <w:numPr>
          <w:ilvl w:val="0"/>
          <w:numId w:val="1011"/>
        </w:numPr>
      </w:pPr>
      <w:r>
        <w:rPr>
          <w:rFonts w:hint="eastAsia"/>
          <w:b/>
          <w:bCs/>
        </w:rPr>
        <w:t xml:space="preserve">通俗解读：</w:t>
      </w:r>
      <w:r>
        <w:t xml:space="preserve"> </w:t>
      </w:r>
      <w:r>
        <w:rPr>
          <w:rFonts w:hint="eastAsia"/>
        </w:rPr>
        <w:t xml:space="preserve">电影产业的价值不只来自票房，还在尝试把内容流量导向景区、餐饮、城市街区和线下公共文化空间。</w:t>
      </w:r>
    </w:p>
    <w:p>
      <w:pPr>
        <w:pStyle w:val="Compact"/>
        <w:numPr>
          <w:ilvl w:val="0"/>
          <w:numId w:val="1011"/>
        </w:numPr>
      </w:pPr>
      <w:r>
        <w:rPr>
          <w:rFonts w:hint="eastAsia"/>
          <w:b/>
          <w:bCs/>
        </w:rPr>
        <w:t xml:space="preserve">A股影响：偏利好。</w:t>
      </w:r>
    </w:p>
    <w:p>
      <w:pPr>
        <w:pStyle w:val="Compact"/>
        <w:numPr>
          <w:ilvl w:val="1"/>
          <w:numId w:val="1012"/>
        </w:numPr>
      </w:pPr>
      <w:r>
        <w:rPr>
          <w:rFonts w:hint="eastAsia"/>
          <w:b/>
          <w:bCs/>
        </w:rPr>
        <w:t xml:space="preserve">短期：</w:t>
      </w:r>
      <w:r>
        <w:t xml:space="preserve"> </w:t>
      </w:r>
      <w:r>
        <w:rPr>
          <w:rFonts w:hint="eastAsia"/>
        </w:rPr>
        <w:t xml:space="preserve">头部影片出品发行、院线、票务和文旅联动方向可能活跃。</w:t>
      </w:r>
    </w:p>
    <w:p>
      <w:pPr>
        <w:pStyle w:val="Compact"/>
        <w:numPr>
          <w:ilvl w:val="1"/>
          <w:numId w:val="1012"/>
        </w:numPr>
      </w:pPr>
      <w:r>
        <w:rPr>
          <w:rFonts w:hint="eastAsia"/>
          <w:b/>
          <w:bCs/>
        </w:rPr>
        <w:t xml:space="preserve">中期：</w:t>
      </w:r>
      <w:r>
        <w:t xml:space="preserve"> </w:t>
      </w:r>
      <w:r>
        <w:rPr>
          <w:rFonts w:hint="eastAsia"/>
        </w:rPr>
        <w:t xml:space="preserve">优质内容供给、单银幕产出、非票收入与IP跨场景开发，比单纯银幕数量增长更关键。</w:t>
      </w:r>
    </w:p>
    <w:p>
      <w:pPr>
        <w:pStyle w:val="Compact"/>
        <w:numPr>
          <w:ilvl w:val="1"/>
          <w:numId w:val="1012"/>
        </w:numPr>
      </w:pPr>
      <w:r>
        <w:rPr>
          <w:rFonts w:hint="eastAsia"/>
          <w:b/>
          <w:bCs/>
        </w:rPr>
        <w:t xml:space="preserve">受益板块：</w:t>
      </w:r>
      <w:r>
        <w:t xml:space="preserve"> </w:t>
      </w:r>
      <w:r>
        <w:rPr>
          <w:rFonts w:hint="eastAsia"/>
        </w:rPr>
        <w:t xml:space="preserve">影视内容、院线、票务平台、IP运营、文旅融合、广告营销。</w:t>
      </w:r>
    </w:p>
    <w:p>
      <w:pPr>
        <w:pStyle w:val="Compact"/>
        <w:numPr>
          <w:ilvl w:val="0"/>
          <w:numId w:val="1011"/>
        </w:numPr>
      </w:pPr>
      <w:r>
        <w:rPr>
          <w:rFonts w:hint="eastAsia"/>
          <w:b/>
          <w:bCs/>
        </w:rPr>
        <w:t xml:space="preserve">风险提示：</w:t>
      </w:r>
      <w:r>
        <w:t xml:space="preserve"> </w:t>
      </w:r>
      <w:r>
        <w:rPr>
          <w:rFonts w:hint="eastAsia"/>
        </w:rPr>
        <w:t xml:space="preserve">档期票房存在明显集中度，单片表现波动大；影院和银幕扩张也可能增加折旧、租金与运营压力。</w:t>
      </w:r>
    </w:p>
    <w:bookmarkEnd w:id="15"/>
    <w:bookmarkStart w:id="16" w:name="假期旅游线路升温-交通部门增加运力保障旅客出行"/>
    <w:p>
      <w:pPr>
        <w:pStyle w:val="Heading3"/>
      </w:pPr>
      <w:r>
        <w:t xml:space="preserve">6. </w:t>
      </w:r>
      <w:r>
        <w:rPr>
          <w:rFonts w:hint="eastAsia"/>
        </w:rPr>
        <w:t xml:space="preserve">假期旅游线路升温</w:t>
      </w:r>
      <w:r>
        <w:t xml:space="preserve"> </w:t>
      </w:r>
      <w:r>
        <w:rPr>
          <w:rFonts w:hint="eastAsia"/>
        </w:rPr>
        <w:t xml:space="preserve">交通部门增加运力保障旅客出行</w:t>
      </w:r>
    </w:p>
    <w:p>
      <w:pPr>
        <w:pStyle w:val="Compact"/>
        <w:numPr>
          <w:ilvl w:val="0"/>
          <w:numId w:val="1013"/>
        </w:numPr>
      </w:pPr>
      <w:r>
        <w:rPr>
          <w:rFonts w:hint="eastAsia"/>
          <w:b/>
          <w:bCs/>
        </w:rPr>
        <w:t xml:space="preserve">信号强度：★★★。</w:t>
      </w:r>
      <w:r>
        <w:t xml:space="preserve"> </w:t>
      </w:r>
      <w:r>
        <w:rPr>
          <w:rFonts w:hint="eastAsia"/>
        </w:rPr>
        <w:t xml:space="preserve">体现人员流动和交通保障需求，兼具消费验证与基础设施运营信号。</w:t>
      </w:r>
    </w:p>
    <w:p>
      <w:pPr>
        <w:pStyle w:val="Compact"/>
        <w:numPr>
          <w:ilvl w:val="0"/>
          <w:numId w:val="1013"/>
        </w:numPr>
      </w:pPr>
      <w:r>
        <w:rPr>
          <w:rFonts w:hint="eastAsia"/>
          <w:b/>
          <w:bCs/>
        </w:rPr>
        <w:t xml:space="preserve">联播事实：</w:t>
      </w:r>
      <w:r>
        <w:t xml:space="preserve"> </w:t>
      </w:r>
      <w:r>
        <w:rPr>
          <w:rFonts w:hint="eastAsia"/>
        </w:rPr>
        <w:t xml:space="preserve">10月3日全社会跨区域人员流动量预计超3亿人次；公路人员流动量预计超2.8亿人次，高速公路车流量预计6200万—6400万辆次。假期前两天，全国高速公路充电量达到5010.99万千瓦时，同比增长51.34%，预计48个服务区充电特别繁忙。铁路预计发送旅客1890万人次，民航预计运输旅客225万人次、保障航班18019班。交通部门通过移动充电设施、应急装备调配、增开旅游专列、加密航线和增加宽体机投放保障需求；京港高铁雄商段、西康高铁、哈伊高铁和宜兴高铁成为新选择。</w:t>
      </w:r>
    </w:p>
    <w:p>
      <w:pPr>
        <w:pStyle w:val="Compact"/>
        <w:numPr>
          <w:ilvl w:val="0"/>
          <w:numId w:val="1013"/>
        </w:numPr>
      </w:pPr>
      <w:r>
        <w:rPr>
          <w:rFonts w:hint="eastAsia"/>
          <w:b/>
          <w:bCs/>
        </w:rPr>
        <w:t xml:space="preserve">通俗解读：</w:t>
      </w:r>
      <w:r>
        <w:t xml:space="preserve"> </w:t>
      </w:r>
      <w:r>
        <w:rPr>
          <w:rFonts w:hint="eastAsia"/>
        </w:rPr>
        <w:t xml:space="preserve">假日流动强度较高，铁路、民航、公路与高速补能设施需要同步扩容；高速充电需求快速增长，也暴露高峰时段局部补能紧张。</w:t>
      </w:r>
    </w:p>
    <w:p>
      <w:pPr>
        <w:pStyle w:val="Compact"/>
        <w:numPr>
          <w:ilvl w:val="0"/>
          <w:numId w:val="1013"/>
        </w:numPr>
      </w:pPr>
      <w:r>
        <w:rPr>
          <w:rFonts w:hint="eastAsia"/>
          <w:b/>
          <w:bCs/>
        </w:rPr>
        <w:t xml:space="preserve">A股影响：结构性利好。</w:t>
      </w:r>
    </w:p>
    <w:p>
      <w:pPr>
        <w:pStyle w:val="Compact"/>
        <w:numPr>
          <w:ilvl w:val="1"/>
          <w:numId w:val="1014"/>
        </w:numPr>
      </w:pPr>
      <w:r>
        <w:rPr>
          <w:rFonts w:hint="eastAsia"/>
          <w:b/>
          <w:bCs/>
        </w:rPr>
        <w:t xml:space="preserve">短期：</w:t>
      </w:r>
      <w:r>
        <w:t xml:space="preserve"> </w:t>
      </w:r>
      <w:r>
        <w:rPr>
          <w:rFonts w:hint="eastAsia"/>
        </w:rPr>
        <w:t xml:space="preserve">航空机场、铁路旅游、充电运营、移动补能和出行服务受客流数据提振。</w:t>
      </w:r>
    </w:p>
    <w:p>
      <w:pPr>
        <w:pStyle w:val="Compact"/>
        <w:numPr>
          <w:ilvl w:val="1"/>
          <w:numId w:val="1014"/>
        </w:numPr>
      </w:pPr>
      <w:r>
        <w:rPr>
          <w:rFonts w:hint="eastAsia"/>
          <w:b/>
          <w:bCs/>
        </w:rPr>
        <w:t xml:space="preserve">中期：</w:t>
      </w:r>
      <w:r>
        <w:t xml:space="preserve"> </w:t>
      </w:r>
      <w:r>
        <w:rPr>
          <w:rFonts w:hint="eastAsia"/>
        </w:rPr>
        <w:t xml:space="preserve">高速服务区充电扩容、储能配套、动态调度和交通数字化存在持续建设需求。</w:t>
      </w:r>
    </w:p>
    <w:p>
      <w:pPr>
        <w:pStyle w:val="Compact"/>
        <w:numPr>
          <w:ilvl w:val="1"/>
          <w:numId w:val="1014"/>
        </w:numPr>
      </w:pPr>
      <w:r>
        <w:rPr>
          <w:rFonts w:hint="eastAsia"/>
          <w:b/>
          <w:bCs/>
        </w:rPr>
        <w:t xml:space="preserve">受益板块：</w:t>
      </w:r>
      <w:r>
        <w:t xml:space="preserve"> </w:t>
      </w:r>
      <w:r>
        <w:rPr>
          <w:rFonts w:hint="eastAsia"/>
        </w:rPr>
        <w:t xml:space="preserve">充电桩及运营、电力设备、交通信息化、铁路客运服务、航空机场、旅游出行平台。</w:t>
      </w:r>
    </w:p>
    <w:p>
      <w:pPr>
        <w:pStyle w:val="Compact"/>
        <w:numPr>
          <w:ilvl w:val="0"/>
          <w:numId w:val="1013"/>
        </w:numPr>
      </w:pPr>
      <w:r>
        <w:rPr>
          <w:rFonts w:hint="eastAsia"/>
          <w:b/>
          <w:bCs/>
        </w:rPr>
        <w:t xml:space="preserve">风险提示：</w:t>
      </w:r>
      <w:r>
        <w:t xml:space="preserve"> </w:t>
      </w:r>
      <w:r>
        <w:rPr>
          <w:rFonts w:hint="eastAsia"/>
        </w:rPr>
        <w:t xml:space="preserve">客流高增同时伴随运力、人工、油料和保障成本上升；单日或假期数据不能直接外推全年盈利。</w:t>
      </w:r>
    </w:p>
    <w:bookmarkEnd w:id="16"/>
    <w:bookmarkStart w:id="17" w:name="第二十届亚运会中国队创亚运会境外参赛金牌数最好成绩"/>
    <w:p>
      <w:pPr>
        <w:pStyle w:val="Heading3"/>
      </w:pPr>
      <w:r>
        <w:t xml:space="preserve">7. </w:t>
      </w:r>
      <w:r>
        <w:rPr>
          <w:rFonts w:hint="eastAsia"/>
        </w:rPr>
        <w:t xml:space="preserve">【第二十届亚运会】中国队创亚运会境外参赛金牌数最好成绩</w:t>
      </w:r>
    </w:p>
    <w:p>
      <w:pPr>
        <w:pStyle w:val="Compact"/>
        <w:numPr>
          <w:ilvl w:val="0"/>
          <w:numId w:val="1015"/>
        </w:numPr>
      </w:pPr>
      <w:r>
        <w:rPr>
          <w:rFonts w:hint="eastAsia"/>
          <w:b/>
          <w:bCs/>
        </w:rPr>
        <w:t xml:space="preserve">信号强度：★★。</w:t>
      </w:r>
      <w:r>
        <w:t xml:space="preserve"> </w:t>
      </w:r>
      <w:r>
        <w:rPr>
          <w:rFonts w:hint="eastAsia"/>
        </w:rPr>
        <w:t xml:space="preserve">主要是体育成绩与社会情绪信号，对上市公司基本面直接影响较弱。</w:t>
      </w:r>
    </w:p>
    <w:p>
      <w:pPr>
        <w:pStyle w:val="Compact"/>
        <w:numPr>
          <w:ilvl w:val="0"/>
          <w:numId w:val="1015"/>
        </w:numPr>
      </w:pPr>
      <w:r>
        <w:rPr>
          <w:rFonts w:hint="eastAsia"/>
          <w:b/>
          <w:bCs/>
        </w:rPr>
        <w:t xml:space="preserve">联播事实：</w:t>
      </w:r>
      <w:r>
        <w:t xml:space="preserve"> </w:t>
      </w:r>
      <w:r>
        <w:rPr>
          <w:rFonts w:hint="eastAsia"/>
        </w:rPr>
        <w:t xml:space="preserve">中国队获得高尔夫女子团体、男子团体、水翼帆板男子和女子、霹雳舞女子及跆拳道女子49公斤级等金牌；男子足球时隔28年再次获得亚运会铜牌。截至北京时间10月3日18时，中国体育代表团以167金87银80铜位列金牌榜、奖牌榜榜首，并创境外参赛金牌数最好成绩。</w:t>
      </w:r>
    </w:p>
    <w:p>
      <w:pPr>
        <w:pStyle w:val="Compact"/>
        <w:numPr>
          <w:ilvl w:val="0"/>
          <w:numId w:val="1015"/>
        </w:numPr>
      </w:pPr>
      <w:r>
        <w:rPr>
          <w:rFonts w:hint="eastAsia"/>
          <w:b/>
          <w:bCs/>
        </w:rPr>
        <w:t xml:space="preserve">通俗解读：</w:t>
      </w:r>
      <w:r>
        <w:t xml:space="preserve"> </w:t>
      </w:r>
      <w:r>
        <w:rPr>
          <w:rFonts w:hint="eastAsia"/>
        </w:rPr>
        <w:t xml:space="preserve">优异成绩有利于提升体育关注度，并可能带动部分运动项目的参与热情。</w:t>
      </w:r>
    </w:p>
    <w:p>
      <w:pPr>
        <w:pStyle w:val="Compact"/>
        <w:numPr>
          <w:ilvl w:val="0"/>
          <w:numId w:val="1015"/>
        </w:numPr>
      </w:pPr>
      <w:r>
        <w:rPr>
          <w:rFonts w:hint="eastAsia"/>
          <w:b/>
          <w:bCs/>
        </w:rPr>
        <w:t xml:space="preserve">A股影响：中性偏利好。</w:t>
      </w:r>
    </w:p>
    <w:p>
      <w:pPr>
        <w:pStyle w:val="Compact"/>
        <w:numPr>
          <w:ilvl w:val="1"/>
          <w:numId w:val="1016"/>
        </w:numPr>
      </w:pPr>
      <w:r>
        <w:rPr>
          <w:rFonts w:hint="eastAsia"/>
          <w:b/>
          <w:bCs/>
        </w:rPr>
        <w:t xml:space="preserve">可能受益方向：</w:t>
      </w:r>
      <w:r>
        <w:t xml:space="preserve"> </w:t>
      </w:r>
      <w:r>
        <w:rPr>
          <w:rFonts w:hint="eastAsia"/>
        </w:rPr>
        <w:t xml:space="preserve">体育用品、体育培训、赛事运营、运动场馆、体育旅游。</w:t>
      </w:r>
    </w:p>
    <w:p>
      <w:pPr>
        <w:pStyle w:val="Compact"/>
        <w:numPr>
          <w:ilvl w:val="1"/>
          <w:numId w:val="1016"/>
        </w:numPr>
      </w:pPr>
      <w:r>
        <w:rPr>
          <w:rFonts w:hint="eastAsia"/>
          <w:b/>
          <w:bCs/>
        </w:rPr>
        <w:t xml:space="preserve">限制：</w:t>
      </w:r>
      <w:r>
        <w:t xml:space="preserve"> </w:t>
      </w:r>
      <w:r>
        <w:rPr>
          <w:rFonts w:hint="eastAsia"/>
        </w:rPr>
        <w:t xml:space="preserve">底稿没有消费、赞助、订单或赛事商业化数据，因此更多是情绪催化，不能直接推导业绩增量。</w:t>
      </w:r>
    </w:p>
    <w:bookmarkEnd w:id="17"/>
    <w:bookmarkStart w:id="23" w:name="国内联播快讯"/>
    <w:p>
      <w:pPr>
        <w:pStyle w:val="Heading3"/>
      </w:pPr>
      <w:r>
        <w:t xml:space="preserve">8. </w:t>
      </w:r>
      <w:r>
        <w:rPr>
          <w:rFonts w:hint="eastAsia"/>
        </w:rPr>
        <w:t xml:space="preserve">国内联播快讯</w:t>
      </w:r>
    </w:p>
    <w:bookmarkStart w:id="18" w:name="今年以来我国新一轮找矿突破成效显著"/>
    <w:p>
      <w:pPr>
        <w:pStyle w:val="Heading4"/>
      </w:pPr>
      <w:r>
        <w:t xml:space="preserve">8.1 </w:t>
      </w:r>
      <w:r>
        <w:rPr>
          <w:rFonts w:hint="eastAsia"/>
        </w:rPr>
        <w:t xml:space="preserve">今年以来我国新一轮找矿突破成效显著</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联播事实：</w:t>
      </w:r>
      <w:r>
        <w:t xml:space="preserve"> </w:t>
      </w:r>
      <w:r>
        <w:rPr>
          <w:rFonts w:hint="eastAsia"/>
        </w:rPr>
        <w:t xml:space="preserve">今年1—8月，全国石油新增可采储量近7000万吨，天然气新增可采储量6100亿立方米；安徽茶亭铜金矿、贵州猪拱塘铅锌矿新增资源量达到超大型规模。</w:t>
      </w:r>
    </w:p>
    <w:p>
      <w:pPr>
        <w:pStyle w:val="Compact"/>
        <w:numPr>
          <w:ilvl w:val="0"/>
          <w:numId w:val="1017"/>
        </w:numPr>
      </w:pPr>
      <w:r>
        <w:rPr>
          <w:rFonts w:hint="eastAsia"/>
          <w:b/>
          <w:bCs/>
        </w:rPr>
        <w:t xml:space="preserve">A股影响：</w:t>
      </w:r>
      <w:r>
        <w:t xml:space="preserve"> </w:t>
      </w:r>
      <w:r>
        <w:rPr>
          <w:rFonts w:hint="eastAsia"/>
        </w:rPr>
        <w:t xml:space="preserve">对油气勘探开发、油服设备、地质勘探、铜金和铅锌资源方向偏利好，核心逻辑是国内资源安全与储量基础增强。</w:t>
      </w:r>
    </w:p>
    <w:p>
      <w:pPr>
        <w:pStyle w:val="Compact"/>
        <w:numPr>
          <w:ilvl w:val="0"/>
          <w:numId w:val="1017"/>
        </w:numPr>
      </w:pPr>
      <w:r>
        <w:rPr>
          <w:rFonts w:hint="eastAsia"/>
          <w:b/>
          <w:bCs/>
        </w:rPr>
        <w:t xml:space="preserve">边界与风险：</w:t>
      </w:r>
      <w:r>
        <w:t xml:space="preserve"> </w:t>
      </w:r>
      <w:r>
        <w:rPr>
          <w:rFonts w:hint="eastAsia"/>
        </w:rPr>
        <w:t xml:space="preserve">新增储量或资源量不等同于短期产量、收入和利润，商业开发仍取决于品位、成本、审批、建设周期与价格。</w:t>
      </w:r>
    </w:p>
    <w:bookmarkEnd w:id="18"/>
    <w:bookmarkStart w:id="19" w:name="敬字车次上线老年人购票可享折上折"/>
    <w:p>
      <w:pPr>
        <w:pStyle w:val="Heading4"/>
      </w:pPr>
      <w:r>
        <w:t xml:space="preserve">8.2 </w:t>
      </w:r>
      <w:r>
        <w:rPr>
          <w:rFonts w:hint="eastAsia"/>
        </w:rPr>
        <w:t xml:space="preserve">“敬”字车次上线，老年人购票可享“折上折”</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联播事实：</w:t>
      </w:r>
      <w:r>
        <w:t xml:space="preserve"> </w:t>
      </w:r>
      <w:r>
        <w:rPr>
          <w:rFonts w:hint="eastAsia"/>
        </w:rPr>
        <w:t xml:space="preserve">60周岁及以上老年人购买2026年10月18日至12月30日标注“敬”字车次的火车票，可享“折上折”优惠；优惠不再限定周中时段，车票自10月4日起陆续发售。</w:t>
      </w:r>
    </w:p>
    <w:p>
      <w:pPr>
        <w:pStyle w:val="Compact"/>
        <w:numPr>
          <w:ilvl w:val="0"/>
          <w:numId w:val="1018"/>
        </w:numPr>
      </w:pPr>
      <w:r>
        <w:rPr>
          <w:rFonts w:hint="eastAsia"/>
          <w:b/>
          <w:bCs/>
        </w:rPr>
        <w:t xml:space="preserve">A股影响：</w:t>
      </w:r>
      <w:r>
        <w:t xml:space="preserve"> </w:t>
      </w:r>
      <w:r>
        <w:rPr>
          <w:rFonts w:hint="eastAsia"/>
        </w:rPr>
        <w:t xml:space="preserve">对银发旅游、铁路出行、适老化旅游服务温和利好，有助于降低老年群体出游成本并拓展错峰与全时段需求。</w:t>
      </w:r>
    </w:p>
    <w:p>
      <w:pPr>
        <w:pStyle w:val="Compact"/>
        <w:numPr>
          <w:ilvl w:val="0"/>
          <w:numId w:val="1018"/>
        </w:numPr>
      </w:pPr>
      <w:r>
        <w:rPr>
          <w:rFonts w:hint="eastAsia"/>
          <w:b/>
          <w:bCs/>
        </w:rPr>
        <w:t xml:space="preserve">风险：</w:t>
      </w:r>
      <w:r>
        <w:t xml:space="preserve"> </w:t>
      </w:r>
      <w:r>
        <w:rPr>
          <w:rFonts w:hint="eastAsia"/>
        </w:rPr>
        <w:t xml:space="preserve">票价优惠对客流和收入的净影响需要实际售票与上座率数据验证。</w:t>
      </w:r>
    </w:p>
    <w:bookmarkEnd w:id="19"/>
    <w:bookmarkStart w:id="20" w:name="宁湘直流配套调峰电源投产"/>
    <w:p>
      <w:pPr>
        <w:pStyle w:val="Heading4"/>
      </w:pPr>
      <w:r>
        <w:t xml:space="preserve">8.3 </w:t>
      </w:r>
      <w:r>
        <w:rPr>
          <w:rFonts w:hint="eastAsia"/>
        </w:rPr>
        <w:t xml:space="preserve">“宁湘直流”配套调峰电源投产</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联播事实：</w:t>
      </w:r>
      <w:r>
        <w:t xml:space="preserve"> </w:t>
      </w:r>
      <w:r>
        <w:rPr>
          <w:rFonts w:hint="eastAsia"/>
        </w:rPr>
        <w:t xml:space="preserve">国家能源集团宁夏电力中卫电厂6号机组通过168小时试运行，宁夏腾格里“沙戈荒”新能源大基地配套调峰电源4台660兆瓦机组全容量投产，用于平抑新能源发电波动、提升宁夏电力外送稳定性。</w:t>
      </w:r>
    </w:p>
    <w:p>
      <w:pPr>
        <w:pStyle w:val="Compact"/>
        <w:numPr>
          <w:ilvl w:val="0"/>
          <w:numId w:val="1019"/>
        </w:numPr>
      </w:pPr>
      <w:r>
        <w:rPr>
          <w:rFonts w:hint="eastAsia"/>
          <w:b/>
          <w:bCs/>
        </w:rPr>
        <w:t xml:space="preserve">A股影响：</w:t>
      </w:r>
      <w:r>
        <w:t xml:space="preserve"> </w:t>
      </w:r>
      <w:r>
        <w:rPr>
          <w:rFonts w:hint="eastAsia"/>
        </w:rPr>
        <w:t xml:space="preserve">对电源调峰、电网设备、特高压外送、灵活性改造、电力运维方向偏利好，体现大基地建设需要稳定电源和输电能力配套。</w:t>
      </w:r>
    </w:p>
    <w:p>
      <w:pPr>
        <w:pStyle w:val="Compact"/>
        <w:numPr>
          <w:ilvl w:val="0"/>
          <w:numId w:val="1019"/>
        </w:numPr>
      </w:pPr>
      <w:r>
        <w:rPr>
          <w:rFonts w:hint="eastAsia"/>
          <w:b/>
          <w:bCs/>
        </w:rPr>
        <w:t xml:space="preserve">风险：</w:t>
      </w:r>
      <w:r>
        <w:t xml:space="preserve"> </w:t>
      </w:r>
      <w:r>
        <w:rPr>
          <w:rFonts w:hint="eastAsia"/>
        </w:rPr>
        <w:t xml:space="preserve">底稿未给出新增投资计划，当前信息首先是项目投产事实，不应外推为所有相关设备公司新增订单。</w:t>
      </w:r>
    </w:p>
    <w:bookmarkEnd w:id="20"/>
    <w:bookmarkStart w:id="21" w:name="山东青岛胶州湾第二海底隧道盾构掘进全部完成"/>
    <w:p>
      <w:pPr>
        <w:pStyle w:val="Heading4"/>
      </w:pPr>
      <w:r>
        <w:t xml:space="preserve">8.4 </w:t>
      </w:r>
      <w:r>
        <w:rPr>
          <w:rFonts w:hint="eastAsia"/>
        </w:rPr>
        <w:t xml:space="preserve">山东青岛胶州湾第二海底隧道盾构掘进全部完成</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联播事实：</w:t>
      </w:r>
      <w:r>
        <w:t xml:space="preserve"> </w:t>
      </w:r>
      <w:r>
        <w:rPr>
          <w:rFonts w:hint="eastAsia"/>
        </w:rPr>
        <w:t xml:space="preserve">项目全长17.48公里，连接青岛市市北区与西海岸新区，双向六车道、设计时速80公里，预计2028年完工。</w:t>
      </w:r>
    </w:p>
    <w:p>
      <w:pPr>
        <w:pStyle w:val="Compact"/>
        <w:numPr>
          <w:ilvl w:val="0"/>
          <w:numId w:val="1020"/>
        </w:numPr>
      </w:pPr>
      <w:r>
        <w:rPr>
          <w:rFonts w:hint="eastAsia"/>
          <w:b/>
          <w:bCs/>
        </w:rPr>
        <w:t xml:space="preserve">A股影响：</w:t>
      </w:r>
      <w:r>
        <w:t xml:space="preserve"> </w:t>
      </w:r>
      <w:r>
        <w:rPr>
          <w:rFonts w:hint="eastAsia"/>
        </w:rPr>
        <w:t xml:space="preserve">对隧道工程、盾构装备、工程材料、城市交通基础设施运营形成正面示范，但由于盾构掘进已完成，后续更应关注机电、路面和配套施工环节，而非把既有工程量重复计入预期。</w:t>
      </w:r>
    </w:p>
    <w:bookmarkEnd w:id="21"/>
    <w:bookmarkStart w:id="22" w:name="我国首个百兆瓦级压缩二氧化碳储能项目并网"/>
    <w:p>
      <w:pPr>
        <w:pStyle w:val="Heading4"/>
      </w:pPr>
      <w:r>
        <w:t xml:space="preserve">8.5 </w:t>
      </w:r>
      <w:r>
        <w:rPr>
          <w:rFonts w:hint="eastAsia"/>
        </w:rPr>
        <w:t xml:space="preserve">我国首个百兆瓦级压缩二氧化碳储能项目并网</w:t>
      </w:r>
    </w:p>
    <w:p>
      <w:pPr>
        <w:pStyle w:val="Compact"/>
        <w:numPr>
          <w:ilvl w:val="0"/>
          <w:numId w:val="1021"/>
        </w:numPr>
      </w:pPr>
      <w:r>
        <w:rPr>
          <w:rFonts w:hint="eastAsia"/>
          <w:b/>
          <w:bCs/>
        </w:rPr>
        <w:t xml:space="preserve">信号强度：★★★★。</w:t>
      </w:r>
    </w:p>
    <w:p>
      <w:pPr>
        <w:pStyle w:val="Compact"/>
        <w:numPr>
          <w:ilvl w:val="0"/>
          <w:numId w:val="1021"/>
        </w:numPr>
      </w:pPr>
      <w:r>
        <w:rPr>
          <w:rFonts w:hint="eastAsia"/>
          <w:b/>
          <w:bCs/>
        </w:rPr>
        <w:t xml:space="preserve">联播事实：</w:t>
      </w:r>
      <w:r>
        <w:t xml:space="preserve"> </w:t>
      </w:r>
      <w:r>
        <w:rPr>
          <w:rFonts w:hint="eastAsia"/>
        </w:rPr>
        <w:t xml:space="preserve">新疆木垒压缩二氧化碳储能项目并网发电，采用二氧化碳循环介质，关键技术自主可控；年发电量约2亿度，预计每年节约标准煤5万吨、减少二氧化碳排放约17万吨。</w:t>
      </w:r>
    </w:p>
    <w:p>
      <w:pPr>
        <w:pStyle w:val="Compact"/>
        <w:numPr>
          <w:ilvl w:val="0"/>
          <w:numId w:val="1021"/>
        </w:numPr>
      </w:pPr>
      <w:r>
        <w:rPr>
          <w:rFonts w:hint="eastAsia"/>
          <w:b/>
          <w:bCs/>
        </w:rPr>
        <w:t xml:space="preserve">A股影响：</w:t>
      </w:r>
      <w:r>
        <w:t xml:space="preserve"> </w:t>
      </w:r>
      <w:r>
        <w:rPr>
          <w:rFonts w:hint="eastAsia"/>
        </w:rPr>
        <w:t xml:space="preserve">对长时储能、储能系统集成、压缩机与透平设备、热管理、碳减排技术方向偏利好。其意义首先在于新型储能技术工程化验证。</w:t>
      </w:r>
    </w:p>
    <w:p>
      <w:pPr>
        <w:pStyle w:val="Compact"/>
        <w:numPr>
          <w:ilvl w:val="0"/>
          <w:numId w:val="1021"/>
        </w:numPr>
      </w:pPr>
      <w:r>
        <w:rPr>
          <w:rFonts w:hint="eastAsia"/>
          <w:b/>
          <w:bCs/>
        </w:rPr>
        <w:t xml:space="preserve">风险：</w:t>
      </w:r>
      <w:r>
        <w:t xml:space="preserve"> </w:t>
      </w:r>
      <w:r>
        <w:rPr>
          <w:rFonts w:hint="eastAsia"/>
        </w:rPr>
        <w:t xml:space="preserve">首个项目并网不代表短期大规模复制，后续需观察运行效率、全生命周期成本、安全性、利用小时数和后续项目落地。</w:t>
      </w:r>
    </w:p>
    <w:bookmarkEnd w:id="22"/>
    <w:bookmarkEnd w:id="23"/>
    <w:bookmarkStart w:id="24" w:name="我驻外使馆使团举办活动庆祝新中国成立77周年"/>
    <w:p>
      <w:pPr>
        <w:pStyle w:val="Heading3"/>
      </w:pPr>
      <w:r>
        <w:t xml:space="preserve">9. </w:t>
      </w:r>
      <w:r>
        <w:rPr>
          <w:rFonts w:hint="eastAsia"/>
        </w:rPr>
        <w:t xml:space="preserve">我驻外使馆使团举办活动庆祝新中国成立77周年</w:t>
      </w:r>
    </w:p>
    <w:p>
      <w:pPr>
        <w:pStyle w:val="Compact"/>
        <w:numPr>
          <w:ilvl w:val="0"/>
          <w:numId w:val="1022"/>
        </w:numPr>
      </w:pPr>
      <w:r>
        <w:rPr>
          <w:rFonts w:hint="eastAsia"/>
          <w:b/>
          <w:bCs/>
        </w:rPr>
        <w:t xml:space="preserve">信号强度：★★。</w:t>
      </w:r>
      <w:r>
        <w:t xml:space="preserve"> </w:t>
      </w:r>
      <w:r>
        <w:rPr>
          <w:rFonts w:hint="eastAsia"/>
        </w:rPr>
        <w:t xml:space="preserve">属于公共外交和双边关系氛围信号。</w:t>
      </w:r>
    </w:p>
    <w:p>
      <w:pPr>
        <w:pStyle w:val="Compact"/>
        <w:numPr>
          <w:ilvl w:val="0"/>
          <w:numId w:val="1022"/>
        </w:numPr>
      </w:pPr>
      <w:r>
        <w:rPr>
          <w:rFonts w:hint="eastAsia"/>
          <w:b/>
          <w:bCs/>
        </w:rPr>
        <w:t xml:space="preserve">联播事实：</w:t>
      </w:r>
      <w:r>
        <w:t xml:space="preserve"> </w:t>
      </w:r>
      <w:r>
        <w:rPr>
          <w:rFonts w:hint="eastAsia"/>
        </w:rPr>
        <w:t xml:space="preserve">中国驻朝鲜、奥地利、德国、哈萨克斯坦、坦桑尼亚、卡塔尔、阿曼、保加利亚、秘鲁、哥伦比亚、博茨瓦纳等国使馆或使团举办国庆活动，与会嘉宾表达对中国发展成就的肯定和深化合作的期待。</w:t>
      </w:r>
    </w:p>
    <w:p>
      <w:pPr>
        <w:pStyle w:val="Compact"/>
        <w:numPr>
          <w:ilvl w:val="0"/>
          <w:numId w:val="1022"/>
        </w:numPr>
      </w:pPr>
      <w:r>
        <w:rPr>
          <w:rFonts w:hint="eastAsia"/>
          <w:b/>
          <w:bCs/>
        </w:rPr>
        <w:t xml:space="preserve">通俗解读：</w:t>
      </w:r>
      <w:r>
        <w:t xml:space="preserve"> </w:t>
      </w:r>
      <w:r>
        <w:rPr>
          <w:rFonts w:hint="eastAsia"/>
        </w:rPr>
        <w:t xml:space="preserve">报道强调多地区对华交流合作的友好氛围，但没有披露具体协议、订单或投资项目。</w:t>
      </w:r>
    </w:p>
    <w:p>
      <w:pPr>
        <w:pStyle w:val="Compact"/>
        <w:numPr>
          <w:ilvl w:val="0"/>
          <w:numId w:val="1022"/>
        </w:numPr>
      </w:pPr>
      <w:r>
        <w:rPr>
          <w:rFonts w:hint="eastAsia"/>
          <w:b/>
          <w:bCs/>
        </w:rPr>
        <w:t xml:space="preserve">A股影响：总体中性。</w:t>
      </w:r>
      <w:r>
        <w:t xml:space="preserve"> </w:t>
      </w:r>
      <w:r>
        <w:rPr>
          <w:rFonts w:hint="eastAsia"/>
        </w:rPr>
        <w:t xml:space="preserve">对“一带一路”、国际工程、跨境贸易等只能视为宏观情绪支持；没有具体合作成果时，不宜形成强板块交易结论。</w:t>
      </w:r>
    </w:p>
    <w:bookmarkEnd w:id="24"/>
    <w:bookmarkStart w:id="30" w:name="国际联播快讯"/>
    <w:p>
      <w:pPr>
        <w:pStyle w:val="Heading3"/>
      </w:pPr>
      <w:r>
        <w:t xml:space="preserve">10. </w:t>
      </w:r>
      <w:r>
        <w:rPr>
          <w:rFonts w:hint="eastAsia"/>
        </w:rPr>
        <w:t xml:space="preserve">国际联播快讯</w:t>
      </w:r>
    </w:p>
    <w:bookmarkStart w:id="25" w:name="沙特对也门胡塞武装控制区发动多次空袭"/>
    <w:p>
      <w:pPr>
        <w:pStyle w:val="Heading4"/>
      </w:pPr>
      <w:r>
        <w:t xml:space="preserve">10.1 </w:t>
      </w:r>
      <w:r>
        <w:rPr>
          <w:rFonts w:hint="eastAsia"/>
        </w:rPr>
        <w:t xml:space="preserve">沙特对也门胡塞武装控制区发动多次空袭</w:t>
      </w:r>
    </w:p>
    <w:p>
      <w:pPr>
        <w:pStyle w:val="Compact"/>
        <w:numPr>
          <w:ilvl w:val="0"/>
          <w:numId w:val="1023"/>
        </w:numPr>
      </w:pPr>
      <w:r>
        <w:rPr>
          <w:rFonts w:hint="eastAsia"/>
          <w:b/>
          <w:bCs/>
        </w:rPr>
        <w:t xml:space="preserve">信号强度：★★★★（风险信号）。</w:t>
      </w:r>
    </w:p>
    <w:p>
      <w:pPr>
        <w:pStyle w:val="Compact"/>
        <w:numPr>
          <w:ilvl w:val="0"/>
          <w:numId w:val="1023"/>
        </w:numPr>
      </w:pPr>
      <w:r>
        <w:rPr>
          <w:rFonts w:hint="eastAsia"/>
          <w:b/>
          <w:bCs/>
        </w:rPr>
        <w:t xml:space="preserve">联播事实：</w:t>
      </w:r>
      <w:r>
        <w:t xml:space="preserve"> </w:t>
      </w:r>
      <w:r>
        <w:rPr>
          <w:rFonts w:hint="eastAsia"/>
        </w:rPr>
        <w:t xml:space="preserve">胡塞武装称过去24小时遭到90多次空袭并出现人员伤亡；沙特主导的多国联军称拦截多枚导弹。美国媒体称沙特与也门政府军计划进一步行动，美国拒绝参与。</w:t>
      </w:r>
    </w:p>
    <w:p>
      <w:pPr>
        <w:pStyle w:val="Compact"/>
        <w:numPr>
          <w:ilvl w:val="0"/>
          <w:numId w:val="1023"/>
        </w:numPr>
      </w:pPr>
      <w:r>
        <w:rPr>
          <w:rFonts w:hint="eastAsia"/>
          <w:b/>
          <w:bCs/>
        </w:rPr>
        <w:t xml:space="preserve">A股影响：</w:t>
      </w:r>
      <w:r>
        <w:t xml:space="preserve"> </w:t>
      </w:r>
      <w:r>
        <w:rPr>
          <w:rFonts w:hint="eastAsia"/>
        </w:rPr>
        <w:t xml:space="preserve">地缘冲突升级可能抬升原油、航运和避险资产的风险溢价，并对航空、化工下游等能源成本敏感行业构成压力。</w:t>
      </w:r>
    </w:p>
    <w:p>
      <w:pPr>
        <w:pStyle w:val="Compact"/>
        <w:numPr>
          <w:ilvl w:val="0"/>
          <w:numId w:val="1023"/>
        </w:numPr>
      </w:pPr>
      <w:r>
        <w:rPr>
          <w:rFonts w:hint="eastAsia"/>
          <w:b/>
          <w:bCs/>
        </w:rPr>
        <w:t xml:space="preserve">边界：</w:t>
      </w:r>
      <w:r>
        <w:t xml:space="preserve"> </w:t>
      </w:r>
      <w:r>
        <w:rPr>
          <w:rFonts w:hint="eastAsia"/>
        </w:rPr>
        <w:t xml:space="preserve">底稿未提供原油价格或航线受阻事实，因此只能作为风险情景，不能断言油价必然上涨。</w:t>
      </w:r>
    </w:p>
    <w:bookmarkEnd w:id="25"/>
    <w:bookmarkStart w:id="26" w:name="阿检方称涉事客机副驾驶试图恐袭"/>
    <w:p>
      <w:pPr>
        <w:pStyle w:val="Heading4"/>
      </w:pPr>
      <w:r>
        <w:t xml:space="preserve">10.2 </w:t>
      </w:r>
      <w:r>
        <w:rPr>
          <w:rFonts w:hint="eastAsia"/>
        </w:rPr>
        <w:t xml:space="preserve">阿检方称涉事客机副驾驶试图“恐袭”</w:t>
      </w:r>
    </w:p>
    <w:p>
      <w:pPr>
        <w:pStyle w:val="Compact"/>
        <w:numPr>
          <w:ilvl w:val="0"/>
          <w:numId w:val="1024"/>
        </w:numPr>
      </w:pPr>
      <w:r>
        <w:rPr>
          <w:rFonts w:hint="eastAsia"/>
          <w:b/>
          <w:bCs/>
        </w:rPr>
        <w:t xml:space="preserve">信号强度：★★★（航空安全风险）。</w:t>
      </w:r>
    </w:p>
    <w:p>
      <w:pPr>
        <w:pStyle w:val="Compact"/>
        <w:numPr>
          <w:ilvl w:val="0"/>
          <w:numId w:val="1024"/>
        </w:numPr>
      </w:pPr>
      <w:r>
        <w:rPr>
          <w:rFonts w:hint="eastAsia"/>
          <w:b/>
          <w:bCs/>
        </w:rPr>
        <w:t xml:space="preserve">联播事实：</w:t>
      </w:r>
      <w:r>
        <w:t xml:space="preserve"> </w:t>
      </w:r>
      <w:r>
        <w:rPr>
          <w:rFonts w:hint="eastAsia"/>
        </w:rPr>
        <w:t xml:space="preserve">阿联酋检方称，9月30日迪拜航空客机驾驶舱冲突中，副驾驶试图实施“恐怖袭击”，具体动机仍在调查；迪拜航空暂停往返以色列航班，约1万名以色列旅客滞留在迪拜等地。</w:t>
      </w:r>
    </w:p>
    <w:p>
      <w:pPr>
        <w:pStyle w:val="Compact"/>
        <w:numPr>
          <w:ilvl w:val="0"/>
          <w:numId w:val="1024"/>
        </w:numPr>
      </w:pPr>
      <w:r>
        <w:rPr>
          <w:rFonts w:hint="eastAsia"/>
          <w:b/>
          <w:bCs/>
        </w:rPr>
        <w:t xml:space="preserve">A股影响：</w:t>
      </w:r>
      <w:r>
        <w:t xml:space="preserve"> </w:t>
      </w:r>
      <w:r>
        <w:rPr>
          <w:rFonts w:hint="eastAsia"/>
        </w:rPr>
        <w:t xml:space="preserve">对国际航空出行情绪、区域航线运营与保险风险偏负面；航空安防、驾驶舱安全管理需求可能受到关注。</w:t>
      </w:r>
    </w:p>
    <w:p>
      <w:pPr>
        <w:pStyle w:val="Compact"/>
        <w:numPr>
          <w:ilvl w:val="0"/>
          <w:numId w:val="1024"/>
        </w:numPr>
      </w:pPr>
      <w:r>
        <w:rPr>
          <w:rFonts w:hint="eastAsia"/>
          <w:b/>
          <w:bCs/>
        </w:rPr>
        <w:t xml:space="preserve">边界：</w:t>
      </w:r>
      <w:r>
        <w:t xml:space="preserve"> </w:t>
      </w:r>
      <w:r>
        <w:rPr>
          <w:rFonts w:hint="eastAsia"/>
        </w:rPr>
        <w:t xml:space="preserve">事件影响集中于特定航司和区域，不能直接推演为中国民航整体需求下降。</w:t>
      </w:r>
    </w:p>
    <w:bookmarkEnd w:id="26"/>
    <w:bookmarkStart w:id="27" w:name="七国集团同意释放战略石油储备缓解压力"/>
    <w:p>
      <w:pPr>
        <w:pStyle w:val="Heading4"/>
      </w:pPr>
      <w:r>
        <w:t xml:space="preserve">10.3 </w:t>
      </w:r>
      <w:r>
        <w:rPr>
          <w:rFonts w:hint="eastAsia"/>
        </w:rPr>
        <w:t xml:space="preserve">七国集团同意释放战略石油储备缓解压力</w:t>
      </w:r>
    </w:p>
    <w:p>
      <w:pPr>
        <w:pStyle w:val="Compact"/>
        <w:numPr>
          <w:ilvl w:val="0"/>
          <w:numId w:val="1025"/>
        </w:numPr>
      </w:pPr>
      <w:r>
        <w:rPr>
          <w:rFonts w:hint="eastAsia"/>
          <w:b/>
          <w:bCs/>
        </w:rPr>
        <w:t xml:space="preserve">信号强度：★★★★（能源价格信号）。</w:t>
      </w:r>
    </w:p>
    <w:p>
      <w:pPr>
        <w:pStyle w:val="Compact"/>
        <w:numPr>
          <w:ilvl w:val="0"/>
          <w:numId w:val="1025"/>
        </w:numPr>
      </w:pPr>
      <w:r>
        <w:rPr>
          <w:rFonts w:hint="eastAsia"/>
          <w:b/>
          <w:bCs/>
        </w:rPr>
        <w:t xml:space="preserve">联播事实：</w:t>
      </w:r>
      <w:r>
        <w:t xml:space="preserve"> </w:t>
      </w:r>
      <w:r>
        <w:rPr>
          <w:rFonts w:hint="eastAsia"/>
        </w:rPr>
        <w:t xml:space="preserve">七国集团同意通过国际能源署协调释放1亿桶战略石油储备，行动立即启动并持续4个月，最初20天集中释放大量柴油储备；报道同时指出美国和欧洲多国柴油价格创下新高。</w:t>
      </w:r>
    </w:p>
    <w:p>
      <w:pPr>
        <w:pStyle w:val="Compact"/>
        <w:numPr>
          <w:ilvl w:val="0"/>
          <w:numId w:val="1025"/>
        </w:numPr>
      </w:pPr>
      <w:r>
        <w:rPr>
          <w:rFonts w:hint="eastAsia"/>
          <w:b/>
          <w:bCs/>
        </w:rPr>
        <w:t xml:space="preserve">A股影响：</w:t>
      </w:r>
      <w:r>
        <w:t xml:space="preserve"> </w:t>
      </w:r>
      <w:r>
        <w:rPr>
          <w:rFonts w:hint="eastAsia"/>
        </w:rPr>
        <w:t xml:space="preserve">战略储备释放意在缓解短期供应与价格压力，对高油价受益的上游方向可能形成阶段性压制，对航空、物流、化工下游等成本敏感环节则可能带来边际缓解。</w:t>
      </w:r>
    </w:p>
    <w:p>
      <w:pPr>
        <w:pStyle w:val="Compact"/>
        <w:numPr>
          <w:ilvl w:val="0"/>
          <w:numId w:val="1025"/>
        </w:numPr>
      </w:pPr>
      <w:r>
        <w:rPr>
          <w:rFonts w:hint="eastAsia"/>
          <w:b/>
          <w:bCs/>
        </w:rPr>
        <w:t xml:space="preserve">风险：</w:t>
      </w:r>
      <w:r>
        <w:t xml:space="preserve"> </w:t>
      </w:r>
      <w:r>
        <w:rPr>
          <w:rFonts w:hint="eastAsia"/>
        </w:rPr>
        <w:t xml:space="preserve">储备释放效果取决于冲突、供需缺口和库存变化，方向可能反复。</w:t>
      </w:r>
    </w:p>
    <w:bookmarkEnd w:id="27"/>
    <w:bookmarkStart w:id="28" w:name="欧元区9月通胀率升至3年来最高水平"/>
    <w:p>
      <w:pPr>
        <w:pStyle w:val="Heading4"/>
      </w:pPr>
      <w:r>
        <w:t xml:space="preserve">10.4 </w:t>
      </w:r>
      <w:r>
        <w:rPr>
          <w:rFonts w:hint="eastAsia"/>
        </w:rPr>
        <w:t xml:space="preserve">欧元区9月通胀率升至3年来最高水平</w:t>
      </w:r>
    </w:p>
    <w:p>
      <w:pPr>
        <w:pStyle w:val="Compact"/>
        <w:numPr>
          <w:ilvl w:val="0"/>
          <w:numId w:val="1026"/>
        </w:numPr>
      </w:pPr>
      <w:r>
        <w:rPr>
          <w:rFonts w:hint="eastAsia"/>
          <w:b/>
          <w:bCs/>
        </w:rPr>
        <w:t xml:space="preserve">信号强度：★★★★（宏观风险）。</w:t>
      </w:r>
    </w:p>
    <w:p>
      <w:pPr>
        <w:pStyle w:val="Compact"/>
        <w:numPr>
          <w:ilvl w:val="0"/>
          <w:numId w:val="1026"/>
        </w:numPr>
      </w:pPr>
      <w:r>
        <w:rPr>
          <w:rFonts w:hint="eastAsia"/>
          <w:b/>
          <w:bCs/>
        </w:rPr>
        <w:t xml:space="preserve">联播事实：</w:t>
      </w:r>
      <w:r>
        <w:t xml:space="preserve"> </w:t>
      </w:r>
      <w:r>
        <w:rPr>
          <w:rFonts w:hint="eastAsia"/>
        </w:rPr>
        <w:t xml:space="preserve">欧元区9月通胀率为3.8%，高于8月的3.2%，为2023年9月以来最高；能源价格同比上涨18.8%。底稿称，若能源价格继续高企并向服务和商品传导，欧洲央行加息压力将进一步增加。</w:t>
      </w:r>
    </w:p>
    <w:p>
      <w:pPr>
        <w:pStyle w:val="Compact"/>
        <w:numPr>
          <w:ilvl w:val="0"/>
          <w:numId w:val="1026"/>
        </w:numPr>
      </w:pPr>
      <w:r>
        <w:rPr>
          <w:rFonts w:hint="eastAsia"/>
          <w:b/>
          <w:bCs/>
        </w:rPr>
        <w:t xml:space="preserve">A股影响：</w:t>
      </w:r>
      <w:r>
        <w:t xml:space="preserve"> </w:t>
      </w:r>
      <w:r>
        <w:rPr>
          <w:rFonts w:hint="eastAsia"/>
        </w:rPr>
        <w:t xml:space="preserve">对全球风险偏好和对欧出口需求偏负面；欧洲利率压力上升可能增加外需与汇率波动。相对而言，国内需求驱动和成本传导能力较强的方向抗压性可能更好。</w:t>
      </w:r>
    </w:p>
    <w:p>
      <w:pPr>
        <w:pStyle w:val="Compact"/>
        <w:numPr>
          <w:ilvl w:val="0"/>
          <w:numId w:val="1026"/>
        </w:numPr>
      </w:pPr>
      <w:r>
        <w:rPr>
          <w:rFonts w:hint="eastAsia"/>
          <w:b/>
          <w:bCs/>
        </w:rPr>
        <w:t xml:space="preserve">边界：</w:t>
      </w:r>
      <w:r>
        <w:t xml:space="preserve"> </w:t>
      </w:r>
      <w:r>
        <w:rPr>
          <w:rFonts w:hint="eastAsia"/>
        </w:rPr>
        <w:t xml:space="preserve">底稿没有欧洲央行实际决策，也没有中国出口数据，不能把“加息压力”写成“已经加息”。</w:t>
      </w:r>
    </w:p>
    <w:bookmarkEnd w:id="28"/>
    <w:bookmarkStart w:id="29" w:name="刚果金埃博拉疫情死亡病例超4000例"/>
    <w:p>
      <w:pPr>
        <w:pStyle w:val="Heading4"/>
      </w:pPr>
      <w:r>
        <w:t xml:space="preserve">10.5 </w:t>
      </w:r>
      <w:r>
        <w:rPr>
          <w:rFonts w:hint="eastAsia"/>
        </w:rPr>
        <w:t xml:space="preserve">刚果（金）埃博拉疫情死亡病例超4000例</w:t>
      </w:r>
    </w:p>
    <w:p>
      <w:pPr>
        <w:pStyle w:val="Compact"/>
        <w:numPr>
          <w:ilvl w:val="0"/>
          <w:numId w:val="1027"/>
        </w:numPr>
      </w:pPr>
      <w:r>
        <w:rPr>
          <w:rFonts w:hint="eastAsia"/>
          <w:b/>
          <w:bCs/>
        </w:rPr>
        <w:t xml:space="preserve">信号强度：★★★（公共卫生风险）。</w:t>
      </w:r>
    </w:p>
    <w:p>
      <w:pPr>
        <w:pStyle w:val="Compact"/>
        <w:numPr>
          <w:ilvl w:val="0"/>
          <w:numId w:val="1027"/>
        </w:numPr>
      </w:pPr>
      <w:r>
        <w:rPr>
          <w:rFonts w:hint="eastAsia"/>
          <w:b/>
          <w:bCs/>
        </w:rPr>
        <w:t xml:space="preserve">联播事实：</w:t>
      </w:r>
      <w:r>
        <w:t xml:space="preserve"> </w:t>
      </w:r>
      <w:r>
        <w:rPr>
          <w:rFonts w:hint="eastAsia"/>
        </w:rPr>
        <w:t xml:space="preserve">刚果（金）本轮疫情累计确诊8300例、死亡4018例，波及7个省，累计治愈2162例，病死率48.4%；世界卫生组织称其为有记录以来第二大埃博拉疫情。</w:t>
      </w:r>
    </w:p>
    <w:p>
      <w:pPr>
        <w:pStyle w:val="Compact"/>
        <w:numPr>
          <w:ilvl w:val="0"/>
          <w:numId w:val="1027"/>
        </w:numPr>
      </w:pPr>
      <w:r>
        <w:rPr>
          <w:rFonts w:hint="eastAsia"/>
          <w:b/>
          <w:bCs/>
        </w:rPr>
        <w:t xml:space="preserve">A股影响：</w:t>
      </w:r>
      <w:r>
        <w:t xml:space="preserve"> </w:t>
      </w:r>
      <w:r>
        <w:rPr>
          <w:rFonts w:hint="eastAsia"/>
        </w:rPr>
        <w:t xml:space="preserve">对疫苗、诊断、防护用品和公共卫生监测形成事件关注，但对A股基本面的实际影响取决于疫情范围、国际应对和产品适用性。</w:t>
      </w:r>
    </w:p>
    <w:p>
      <w:pPr>
        <w:pStyle w:val="Compact"/>
        <w:numPr>
          <w:ilvl w:val="0"/>
          <w:numId w:val="1027"/>
        </w:numPr>
      </w:pPr>
      <w:r>
        <w:rPr>
          <w:rFonts w:hint="eastAsia"/>
          <w:b/>
          <w:bCs/>
        </w:rPr>
        <w:t xml:space="preserve">风险：</w:t>
      </w:r>
      <w:r>
        <w:t xml:space="preserve"> </w:t>
      </w:r>
      <w:r>
        <w:rPr>
          <w:rFonts w:hint="eastAsia"/>
        </w:rPr>
        <w:t xml:space="preserve">严禁仅凭疫情新闻推断任何具体公司的产品、订单或海外销售受益。</w:t>
      </w:r>
    </w:p>
    <w:bookmarkEnd w:id="29"/>
    <w:bookmarkEnd w:id="30"/>
    <w:bookmarkStart w:id="31" w:name="神州锦绣"/>
    <w:p>
      <w:pPr>
        <w:pStyle w:val="Heading3"/>
      </w:pPr>
      <w:r>
        <w:t xml:space="preserve">11. </w:t>
      </w:r>
      <w:r>
        <w:rPr>
          <w:rFonts w:hint="eastAsia"/>
        </w:rPr>
        <w:t xml:space="preserve">神州锦绣</w:t>
      </w:r>
    </w:p>
    <w:p>
      <w:pPr>
        <w:pStyle w:val="Compact"/>
        <w:numPr>
          <w:ilvl w:val="0"/>
          <w:numId w:val="1028"/>
        </w:numPr>
      </w:pPr>
      <w:r>
        <w:rPr>
          <w:rFonts w:hint="eastAsia"/>
          <w:b/>
          <w:bCs/>
        </w:rPr>
        <w:t xml:space="preserve">信号强度：★。</w:t>
      </w:r>
      <w:r>
        <w:t xml:space="preserve"> </w:t>
      </w:r>
      <w:r>
        <w:rPr>
          <w:rFonts w:hint="eastAsia"/>
        </w:rPr>
        <w:t xml:space="preserve">节目结尾的生态景观展示，未新增具体政策、资金或产业数据。</w:t>
      </w:r>
    </w:p>
    <w:p>
      <w:pPr>
        <w:pStyle w:val="Compact"/>
        <w:numPr>
          <w:ilvl w:val="0"/>
          <w:numId w:val="1028"/>
        </w:numPr>
      </w:pPr>
      <w:r>
        <w:rPr>
          <w:rFonts w:hint="eastAsia"/>
          <w:b/>
          <w:bCs/>
        </w:rPr>
        <w:t xml:space="preserve">联播事实：</w:t>
      </w:r>
      <w:r>
        <w:t xml:space="preserve"> </w:t>
      </w:r>
      <w:r>
        <w:rPr>
          <w:rFonts w:hint="eastAsia"/>
        </w:rPr>
        <w:t xml:space="preserve">报道展示金秋时节森林、湿地等生态图景。</w:t>
      </w:r>
    </w:p>
    <w:p>
      <w:pPr>
        <w:pStyle w:val="Compact"/>
        <w:numPr>
          <w:ilvl w:val="0"/>
          <w:numId w:val="1028"/>
        </w:numPr>
      </w:pPr>
      <w:r>
        <w:rPr>
          <w:rFonts w:hint="eastAsia"/>
          <w:b/>
          <w:bCs/>
        </w:rPr>
        <w:t xml:space="preserve">A股影响：总体中性。</w:t>
      </w:r>
      <w:r>
        <w:t xml:space="preserve"> </w:t>
      </w:r>
      <w:r>
        <w:rPr>
          <w:rFonts w:hint="eastAsia"/>
        </w:rPr>
        <w:t xml:space="preserve">与头条生态文明和生态文旅主题形成叙事呼应，但自身不构成独立交易催化。</w:t>
      </w:r>
    </w:p>
    <w:bookmarkEnd w:id="31"/>
    <w:bookmarkEnd w:id="32"/>
    <w:bookmarkStart w:id="33"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主要驱动</w:t>
            </w:r>
          </w:p>
        </w:tc>
        <w:tc>
          <w:tcPr/>
          <w:p>
            <w:pPr>
              <w:pStyle w:val="Compact"/>
            </w:pPr>
            <w:r>
              <w:rPr>
                <w:rFonts w:hint="eastAsia"/>
              </w:rPr>
              <w:t xml:space="preserve">信号强度</w:t>
            </w:r>
          </w:p>
        </w:tc>
        <w:tc>
          <w:tcPr/>
          <w:p>
            <w:pPr>
              <w:pStyle w:val="Compact"/>
            </w:pPr>
            <w:r>
              <w:rPr>
                <w:rFonts w:hint="eastAsia"/>
              </w:rPr>
              <w:t xml:space="preserve">关键验证点</w:t>
            </w:r>
          </w:p>
        </w:tc>
      </w:tr>
      <w:tr>
        <w:tc>
          <w:tcPr/>
          <w:p>
            <w:pPr>
              <w:pStyle w:val="Compact"/>
            </w:pPr>
            <w:r>
              <w:rPr>
                <w:rFonts w:hint="eastAsia"/>
              </w:rPr>
              <w:t xml:space="preserve">水治理、环境监测、生态修复</w:t>
            </w:r>
          </w:p>
        </w:tc>
        <w:tc>
          <w:tcPr/>
          <w:p>
            <w:pPr>
              <w:pStyle w:val="Compact"/>
            </w:pPr>
            <w:r>
              <w:rPr>
                <w:rFonts w:hint="eastAsia"/>
              </w:rPr>
              <w:t xml:space="preserve">利好</w:t>
            </w:r>
          </w:p>
        </w:tc>
        <w:tc>
          <w:tcPr/>
          <w:p>
            <w:pPr>
              <w:pStyle w:val="Compact"/>
            </w:pPr>
            <w:r>
              <w:rPr>
                <w:rFonts w:hint="eastAsia"/>
              </w:rPr>
              <w:t xml:space="preserve">美丽中国“十五五”扩面提质，治理下沉县城和农村</w:t>
            </w:r>
          </w:p>
        </w:tc>
        <w:tc>
          <w:tcPr/>
          <w:p>
            <w:pPr>
              <w:pStyle w:val="Compact"/>
            </w:pPr>
            <w:r>
              <w:t xml:space="preserve">★★★★★</w:t>
            </w:r>
          </w:p>
        </w:tc>
        <w:tc>
          <w:tcPr/>
          <w:p>
            <w:pPr>
              <w:pStyle w:val="Compact"/>
            </w:pPr>
            <w:r>
              <w:rPr>
                <w:rFonts w:hint="eastAsia"/>
              </w:rPr>
              <w:t xml:space="preserve">规划全文、资金来源、项目清单、回款</w:t>
            </w:r>
          </w:p>
        </w:tc>
      </w:tr>
      <w:tr>
        <w:tc>
          <w:tcPr/>
          <w:p>
            <w:pPr>
              <w:pStyle w:val="Compact"/>
            </w:pPr>
            <w:r>
              <w:rPr>
                <w:rFonts w:hint="eastAsia"/>
              </w:rPr>
              <w:t xml:space="preserve">家电、家居、消费电子更新</w:t>
            </w:r>
          </w:p>
        </w:tc>
        <w:tc>
          <w:tcPr/>
          <w:p>
            <w:pPr>
              <w:pStyle w:val="Compact"/>
            </w:pPr>
            <w:r>
              <w:rPr>
                <w:rFonts w:hint="eastAsia"/>
              </w:rPr>
              <w:t xml:space="preserve">利好</w:t>
            </w:r>
          </w:p>
        </w:tc>
        <w:tc>
          <w:tcPr/>
          <w:p>
            <w:pPr>
              <w:pStyle w:val="Compact"/>
            </w:pPr>
            <w:r>
              <w:rPr>
                <w:rFonts w:hint="eastAsia"/>
              </w:rPr>
              <w:t xml:space="preserve">625亿元第四批以旧换新资金、消费贷款贴息</w:t>
            </w:r>
          </w:p>
        </w:tc>
        <w:tc>
          <w:tcPr/>
          <w:p>
            <w:pPr>
              <w:pStyle w:val="Compact"/>
            </w:pPr>
            <w:r>
              <w:t xml:space="preserve">★★★★</w:t>
            </w:r>
          </w:p>
        </w:tc>
        <w:tc>
          <w:tcPr/>
          <w:p>
            <w:pPr>
              <w:pStyle w:val="Compact"/>
            </w:pPr>
            <w:r>
              <w:rPr>
                <w:rFonts w:hint="eastAsia"/>
              </w:rPr>
              <w:t xml:space="preserve">补贴核销、终端销量、渠道库存、利润率</w:t>
            </w:r>
          </w:p>
        </w:tc>
      </w:tr>
      <w:tr>
        <w:tc>
          <w:tcPr/>
          <w:p>
            <w:pPr>
              <w:pStyle w:val="Compact"/>
            </w:pPr>
            <w:r>
              <w:rPr>
                <w:rFonts w:hint="eastAsia"/>
              </w:rPr>
              <w:t xml:space="preserve">文旅、景区、酒店餐饮、演艺</w:t>
            </w:r>
          </w:p>
        </w:tc>
        <w:tc>
          <w:tcPr/>
          <w:p>
            <w:pPr>
              <w:pStyle w:val="Compact"/>
            </w:pPr>
            <w:r>
              <w:rPr>
                <w:rFonts w:hint="eastAsia"/>
              </w:rPr>
              <w:t xml:space="preserve">温和利好</w:t>
            </w:r>
          </w:p>
        </w:tc>
        <w:tc>
          <w:tcPr/>
          <w:p>
            <w:pPr>
              <w:pStyle w:val="Compact"/>
            </w:pPr>
            <w:r>
              <w:rPr>
                <w:rFonts w:hint="eastAsia"/>
              </w:rPr>
              <w:t xml:space="preserve">假日客流、消费券、文博非遗和夜游场景</w:t>
            </w:r>
          </w:p>
        </w:tc>
        <w:tc>
          <w:tcPr/>
          <w:p>
            <w:pPr>
              <w:pStyle w:val="Compact"/>
            </w:pPr>
            <w:r>
              <w:t xml:space="preserve">★★★</w:t>
            </w:r>
          </w:p>
        </w:tc>
        <w:tc>
          <w:tcPr/>
          <w:p>
            <w:pPr>
              <w:pStyle w:val="Compact"/>
            </w:pPr>
            <w:r>
              <w:rPr>
                <w:rFonts w:hint="eastAsia"/>
              </w:rPr>
              <w:t xml:space="preserve">客单价、收入转化、节后持续性</w:t>
            </w:r>
          </w:p>
        </w:tc>
      </w:tr>
      <w:tr>
        <w:tc>
          <w:tcPr/>
          <w:p>
            <w:pPr>
              <w:pStyle w:val="Compact"/>
            </w:pPr>
            <w:r>
              <w:rPr>
                <w:rFonts w:hint="eastAsia"/>
              </w:rPr>
              <w:t xml:space="preserve">影视、院线、IP运营</w:t>
            </w:r>
          </w:p>
        </w:tc>
        <w:tc>
          <w:tcPr/>
          <w:p>
            <w:pPr>
              <w:pStyle w:val="Compact"/>
            </w:pPr>
            <w:r>
              <w:rPr>
                <w:rFonts w:hint="eastAsia"/>
              </w:rPr>
              <w:t xml:space="preserve">偏利好</w:t>
            </w:r>
          </w:p>
        </w:tc>
        <w:tc>
          <w:tcPr/>
          <w:p>
            <w:pPr>
              <w:pStyle w:val="Compact"/>
            </w:pPr>
            <w:r>
              <w:rPr>
                <w:rFonts w:hint="eastAsia"/>
              </w:rPr>
              <w:t xml:space="preserve">国庆档票房、“电影+”及国产片占主导</w:t>
            </w:r>
          </w:p>
        </w:tc>
        <w:tc>
          <w:tcPr/>
          <w:p>
            <w:pPr>
              <w:pStyle w:val="Compact"/>
            </w:pPr>
            <w:r>
              <w:t xml:space="preserve">★★★</w:t>
            </w:r>
          </w:p>
        </w:tc>
        <w:tc>
          <w:tcPr/>
          <w:p>
            <w:pPr>
              <w:pStyle w:val="Compact"/>
            </w:pPr>
            <w:r>
              <w:rPr>
                <w:rFonts w:hint="eastAsia"/>
              </w:rPr>
              <w:t xml:space="preserve">后续票房、内容供给、单银幕产出</w:t>
            </w:r>
          </w:p>
        </w:tc>
      </w:tr>
      <w:tr>
        <w:tc>
          <w:tcPr/>
          <w:p>
            <w:pPr>
              <w:pStyle w:val="Compact"/>
            </w:pPr>
            <w:r>
              <w:rPr>
                <w:rFonts w:hint="eastAsia"/>
              </w:rPr>
              <w:t xml:space="preserve">农机、植保、种业、农业服务</w:t>
            </w:r>
          </w:p>
        </w:tc>
        <w:tc>
          <w:tcPr/>
          <w:p>
            <w:pPr>
              <w:pStyle w:val="Compact"/>
            </w:pPr>
            <w:r>
              <w:rPr>
                <w:rFonts w:hint="eastAsia"/>
              </w:rPr>
              <w:t xml:space="preserve">利好</w:t>
            </w:r>
          </w:p>
        </w:tc>
        <w:tc>
          <w:tcPr/>
          <w:p>
            <w:pPr>
              <w:pStyle w:val="Compact"/>
            </w:pPr>
            <w:r>
              <w:rPr>
                <w:rFonts w:hint="eastAsia"/>
              </w:rPr>
              <w:t xml:space="preserve">秋粮收获、抗灾喷施、密植高产和病虫防控</w:t>
            </w:r>
          </w:p>
        </w:tc>
        <w:tc>
          <w:tcPr/>
          <w:p>
            <w:pPr>
              <w:pStyle w:val="Compact"/>
            </w:pPr>
            <w:r>
              <w:t xml:space="preserve">★★★★</w:t>
            </w:r>
          </w:p>
        </w:tc>
        <w:tc>
          <w:tcPr/>
          <w:p>
            <w:pPr>
              <w:pStyle w:val="Compact"/>
            </w:pPr>
            <w:r>
              <w:rPr>
                <w:rFonts w:hint="eastAsia"/>
              </w:rPr>
              <w:t xml:space="preserve">天气、病虫害、最终产量、财政执行</w:t>
            </w:r>
          </w:p>
        </w:tc>
      </w:tr>
      <w:tr>
        <w:tc>
          <w:tcPr/>
          <w:p>
            <w:pPr>
              <w:pStyle w:val="Compact"/>
            </w:pPr>
            <w:r>
              <w:rPr>
                <w:rFonts w:hint="eastAsia"/>
              </w:rPr>
              <w:t xml:space="preserve">油气勘探、油服、有色资源</w:t>
            </w:r>
          </w:p>
        </w:tc>
        <w:tc>
          <w:tcPr/>
          <w:p>
            <w:pPr>
              <w:pStyle w:val="Compact"/>
            </w:pPr>
            <w:r>
              <w:rPr>
                <w:rFonts w:hint="eastAsia"/>
              </w:rPr>
              <w:t xml:space="preserve">偏利好</w:t>
            </w:r>
          </w:p>
        </w:tc>
        <w:tc>
          <w:tcPr/>
          <w:p>
            <w:pPr>
              <w:pStyle w:val="Compact"/>
            </w:pPr>
            <w:r>
              <w:rPr>
                <w:rFonts w:hint="eastAsia"/>
              </w:rPr>
              <w:t xml:space="preserve">新增油气可采储量及超大型铜金、铅锌资源</w:t>
            </w:r>
          </w:p>
        </w:tc>
        <w:tc>
          <w:tcPr/>
          <w:p>
            <w:pPr>
              <w:pStyle w:val="Compact"/>
            </w:pPr>
            <w:r>
              <w:t xml:space="preserve">★★★★</w:t>
            </w:r>
          </w:p>
        </w:tc>
        <w:tc>
          <w:tcPr/>
          <w:p>
            <w:pPr>
              <w:pStyle w:val="Compact"/>
            </w:pPr>
            <w:r>
              <w:rPr>
                <w:rFonts w:hint="eastAsia"/>
              </w:rPr>
              <w:t xml:space="preserve">开发经济性、审批、投产周期、商品价格</w:t>
            </w:r>
          </w:p>
        </w:tc>
      </w:tr>
      <w:tr>
        <w:tc>
          <w:tcPr/>
          <w:p>
            <w:pPr>
              <w:pStyle w:val="Compact"/>
            </w:pPr>
            <w:r>
              <w:rPr>
                <w:rFonts w:hint="eastAsia"/>
              </w:rPr>
              <w:t xml:space="preserve">电网调峰、特高压、长时储能</w:t>
            </w:r>
          </w:p>
        </w:tc>
        <w:tc>
          <w:tcPr/>
          <w:p>
            <w:pPr>
              <w:pStyle w:val="Compact"/>
            </w:pPr>
            <w:r>
              <w:rPr>
                <w:rFonts w:hint="eastAsia"/>
              </w:rPr>
              <w:t xml:space="preserve">利好</w:t>
            </w:r>
          </w:p>
        </w:tc>
        <w:tc>
          <w:tcPr/>
          <w:p>
            <w:pPr>
              <w:pStyle w:val="Compact"/>
            </w:pPr>
            <w:r>
              <w:rPr>
                <w:rFonts w:hint="eastAsia"/>
              </w:rPr>
              <w:t xml:space="preserve">“宁湘直流”调峰电源投产、压缩二氧化碳储能并网</w:t>
            </w:r>
          </w:p>
        </w:tc>
        <w:tc>
          <w:tcPr/>
          <w:p>
            <w:pPr>
              <w:pStyle w:val="Compact"/>
            </w:pPr>
            <w:r>
              <w:t xml:space="preserve">★★★★</w:t>
            </w:r>
          </w:p>
        </w:tc>
        <w:tc>
          <w:tcPr/>
          <w:p>
            <w:pPr>
              <w:pStyle w:val="Compact"/>
            </w:pPr>
            <w:r>
              <w:rPr>
                <w:rFonts w:hint="eastAsia"/>
              </w:rPr>
              <w:t xml:space="preserve">运行效率、后续复制、招标与投资</w:t>
            </w:r>
          </w:p>
        </w:tc>
      </w:tr>
      <w:tr>
        <w:tc>
          <w:tcPr/>
          <w:p>
            <w:pPr>
              <w:pStyle w:val="Compact"/>
            </w:pPr>
            <w:r>
              <w:rPr>
                <w:rFonts w:hint="eastAsia"/>
              </w:rPr>
              <w:t xml:space="preserve">充电基础设施、交通数字化</w:t>
            </w:r>
          </w:p>
        </w:tc>
        <w:tc>
          <w:tcPr/>
          <w:p>
            <w:pPr>
              <w:pStyle w:val="Compact"/>
            </w:pPr>
            <w:r>
              <w:rPr>
                <w:rFonts w:hint="eastAsia"/>
              </w:rPr>
              <w:t xml:space="preserve">偏利好</w:t>
            </w:r>
          </w:p>
        </w:tc>
        <w:tc>
          <w:tcPr/>
          <w:p>
            <w:pPr>
              <w:pStyle w:val="Compact"/>
            </w:pPr>
            <w:r>
              <w:rPr>
                <w:rFonts w:hint="eastAsia"/>
              </w:rPr>
              <w:t xml:space="preserve">高速充电量同比增长51.34%，高峰服务区补能紧张</w:t>
            </w:r>
          </w:p>
        </w:tc>
        <w:tc>
          <w:tcPr/>
          <w:p>
            <w:pPr>
              <w:pStyle w:val="Compact"/>
            </w:pPr>
            <w:r>
              <w:t xml:space="preserve">★★★</w:t>
            </w:r>
          </w:p>
        </w:tc>
        <w:tc>
          <w:tcPr/>
          <w:p>
            <w:pPr>
              <w:pStyle w:val="Compact"/>
            </w:pPr>
            <w:r>
              <w:rPr>
                <w:rFonts w:hint="eastAsia"/>
              </w:rPr>
              <w:t xml:space="preserve">扩容计划、利用率、运营收益</w:t>
            </w:r>
          </w:p>
        </w:tc>
      </w:tr>
      <w:tr>
        <w:tc>
          <w:tcPr/>
          <w:p>
            <w:pPr>
              <w:pStyle w:val="Compact"/>
            </w:pPr>
            <w:r>
              <w:rPr>
                <w:rFonts w:hint="eastAsia"/>
              </w:rPr>
              <w:t xml:space="preserve">航空、物流、化工下游</w:t>
            </w:r>
          </w:p>
        </w:tc>
        <w:tc>
          <w:tcPr/>
          <w:p>
            <w:pPr>
              <w:pStyle w:val="Compact"/>
            </w:pPr>
            <w:r>
              <w:rPr>
                <w:rFonts w:hint="eastAsia"/>
              </w:rPr>
              <w:t xml:space="preserve">中性偏谨慎</w:t>
            </w:r>
          </w:p>
        </w:tc>
        <w:tc>
          <w:tcPr/>
          <w:p>
            <w:pPr>
              <w:pStyle w:val="Compact"/>
            </w:pPr>
            <w:r>
              <w:rPr>
                <w:rFonts w:hint="eastAsia"/>
              </w:rPr>
              <w:t xml:space="preserve">地缘冲突与柴油高价推升成本，储备释放提供对冲</w:t>
            </w:r>
          </w:p>
        </w:tc>
        <w:tc>
          <w:tcPr/>
          <w:p>
            <w:pPr>
              <w:pStyle w:val="Compact"/>
            </w:pPr>
            <w:r>
              <w:t xml:space="preserve">★★★★</w:t>
            </w:r>
          </w:p>
        </w:tc>
        <w:tc>
          <w:tcPr/>
          <w:p>
            <w:pPr>
              <w:pStyle w:val="Compact"/>
            </w:pPr>
            <w:r>
              <w:rPr>
                <w:rFonts w:hint="eastAsia"/>
              </w:rPr>
              <w:t xml:space="preserve">油价、航线、燃油成本传导</w:t>
            </w:r>
          </w:p>
        </w:tc>
      </w:tr>
      <w:tr>
        <w:tc>
          <w:tcPr/>
          <w:p>
            <w:pPr>
              <w:pStyle w:val="Compact"/>
            </w:pPr>
            <w:r>
              <w:rPr>
                <w:rFonts w:hint="eastAsia"/>
              </w:rPr>
              <w:t xml:space="preserve">对欧出口链</w:t>
            </w:r>
          </w:p>
        </w:tc>
        <w:tc>
          <w:tcPr/>
          <w:p>
            <w:pPr>
              <w:pStyle w:val="Compact"/>
            </w:pPr>
            <w:r>
              <w:rPr>
                <w:rFonts w:hint="eastAsia"/>
              </w:rPr>
              <w:t xml:space="preserve">偏谨慎</w:t>
            </w:r>
          </w:p>
        </w:tc>
        <w:tc>
          <w:tcPr/>
          <w:p>
            <w:pPr>
              <w:pStyle w:val="Compact"/>
            </w:pPr>
            <w:r>
              <w:rPr>
                <w:rFonts w:hint="eastAsia"/>
              </w:rPr>
              <w:t xml:space="preserve">欧元区通胀上升与潜在加息压力</w:t>
            </w:r>
          </w:p>
        </w:tc>
        <w:tc>
          <w:tcPr/>
          <w:p>
            <w:pPr>
              <w:pStyle w:val="Compact"/>
            </w:pPr>
            <w:r>
              <w:t xml:space="preserve">★★★★</w:t>
            </w:r>
          </w:p>
        </w:tc>
        <w:tc>
          <w:tcPr/>
          <w:p>
            <w:pPr>
              <w:pStyle w:val="Compact"/>
            </w:pPr>
            <w:r>
              <w:rPr>
                <w:rFonts w:hint="eastAsia"/>
              </w:rPr>
              <w:t xml:space="preserve">欧洲利率、需求与订单变化</w:t>
            </w:r>
          </w:p>
        </w:tc>
      </w:tr>
      <w:tr>
        <w:tc>
          <w:tcPr/>
          <w:p>
            <w:pPr>
              <w:pStyle w:val="Compact"/>
            </w:pPr>
            <w:r>
              <w:rPr>
                <w:rFonts w:hint="eastAsia"/>
              </w:rPr>
              <w:t xml:space="preserve">医疗防护、诊断监测</w:t>
            </w:r>
          </w:p>
        </w:tc>
        <w:tc>
          <w:tcPr/>
          <w:p>
            <w:pPr>
              <w:pStyle w:val="Compact"/>
            </w:pPr>
            <w:r>
              <w:rPr>
                <w:rFonts w:hint="eastAsia"/>
              </w:rPr>
              <w:t xml:space="preserve">事件性关注</w:t>
            </w:r>
          </w:p>
        </w:tc>
        <w:tc>
          <w:tcPr/>
          <w:p>
            <w:pPr>
              <w:pStyle w:val="Compact"/>
            </w:pPr>
            <w:r>
              <w:rPr>
                <w:rFonts w:hint="eastAsia"/>
              </w:rPr>
              <w:t xml:space="preserve">刚果（金）埃博拉疫情</w:t>
            </w:r>
          </w:p>
        </w:tc>
        <w:tc>
          <w:tcPr/>
          <w:p>
            <w:pPr>
              <w:pStyle w:val="Compact"/>
            </w:pPr>
            <w:r>
              <w:t xml:space="preserve">★★★</w:t>
            </w:r>
          </w:p>
        </w:tc>
        <w:tc>
          <w:tcPr/>
          <w:p>
            <w:pPr>
              <w:pStyle w:val="Compact"/>
            </w:pPr>
            <w:r>
              <w:rPr>
                <w:rFonts w:hint="eastAsia"/>
              </w:rPr>
              <w:t xml:space="preserve">疫情范围、产品适用性、真实订单</w:t>
            </w:r>
          </w:p>
        </w:tc>
      </w:tr>
    </w:tbl>
    <w:bookmarkEnd w:id="33"/>
    <w:bookmarkStart w:id="37" w:name="五交易与跟踪建议"/>
    <w:p>
      <w:pPr>
        <w:pStyle w:val="Heading2"/>
      </w:pPr>
      <w:r>
        <w:rPr>
          <w:rFonts w:hint="eastAsia"/>
        </w:rPr>
        <w:t xml:space="preserve">五、交易与跟踪建议</w:t>
      </w:r>
    </w:p>
    <w:bookmarkStart w:id="34" w:name="短线优先级"/>
    <w:p>
      <w:pPr>
        <w:pStyle w:val="Heading3"/>
      </w:pPr>
      <w:r>
        <w:t xml:space="preserve">1. </w:t>
      </w:r>
      <w:r>
        <w:rPr>
          <w:rFonts w:hint="eastAsia"/>
        </w:rPr>
        <w:t xml:space="preserve">短线优先级</w:t>
      </w:r>
    </w:p>
    <w:p>
      <w:pPr>
        <w:pStyle w:val="Compact"/>
        <w:numPr>
          <w:ilvl w:val="0"/>
          <w:numId w:val="1029"/>
        </w:numPr>
      </w:pPr>
      <w:r>
        <w:rPr>
          <w:rFonts w:hint="eastAsia"/>
          <w:b/>
          <w:bCs/>
        </w:rPr>
        <w:t xml:space="preserve">第一梯队：</w:t>
      </w:r>
      <w:r>
        <w:t xml:space="preserve"> </w:t>
      </w:r>
      <w:r>
        <w:rPr>
          <w:rFonts w:hint="eastAsia"/>
        </w:rPr>
        <w:t xml:space="preserve">促消费政策兑现链（家电、家居、消费更新）与美丽中国工程链（水治理、监测、县域环保）。前者有明确资金落地，后者有头条和“十五五”规划方向支撑。</w:t>
      </w:r>
    </w:p>
    <w:p>
      <w:pPr>
        <w:pStyle w:val="Compact"/>
        <w:numPr>
          <w:ilvl w:val="0"/>
          <w:numId w:val="1029"/>
        </w:numPr>
      </w:pPr>
      <w:r>
        <w:rPr>
          <w:rFonts w:hint="eastAsia"/>
          <w:b/>
          <w:bCs/>
        </w:rPr>
        <w:t xml:space="preserve">第二梯队：</w:t>
      </w:r>
      <w:r>
        <w:t xml:space="preserve"> </w:t>
      </w:r>
      <w:r>
        <w:rPr>
          <w:rFonts w:hint="eastAsia"/>
        </w:rPr>
        <w:t xml:space="preserve">长时储能、电网调峰、油气及有色资源勘探。均有项目或储量进展，但应区分“工程化验证”“资源发现”与上市公司短期订单。</w:t>
      </w:r>
    </w:p>
    <w:p>
      <w:pPr>
        <w:pStyle w:val="Compact"/>
        <w:numPr>
          <w:ilvl w:val="0"/>
          <w:numId w:val="1029"/>
        </w:numPr>
      </w:pPr>
      <w:r>
        <w:rPr>
          <w:rFonts w:hint="eastAsia"/>
          <w:b/>
          <w:bCs/>
        </w:rPr>
        <w:t xml:space="preserve">事件观察：</w:t>
      </w:r>
      <w:r>
        <w:t xml:space="preserve"> </w:t>
      </w:r>
      <w:r>
        <w:rPr>
          <w:rFonts w:hint="eastAsia"/>
        </w:rPr>
        <w:t xml:space="preserve">文旅影视、交通出行、体育消费。假日数据有热度，交易持续性取决于节后正式经营数据，避免把客流直接等同利润。</w:t>
      </w:r>
    </w:p>
    <w:bookmarkEnd w:id="34"/>
    <w:bookmarkStart w:id="35" w:name="中线方向"/>
    <w:p>
      <w:pPr>
        <w:pStyle w:val="Heading3"/>
      </w:pPr>
      <w:r>
        <w:t xml:space="preserve">2. </w:t>
      </w:r>
      <w:r>
        <w:rPr>
          <w:rFonts w:hint="eastAsia"/>
        </w:rPr>
        <w:t xml:space="preserve">中线方向</w:t>
      </w:r>
    </w:p>
    <w:p>
      <w:pPr>
        <w:pStyle w:val="Compact"/>
        <w:numPr>
          <w:ilvl w:val="0"/>
          <w:numId w:val="1030"/>
        </w:numPr>
      </w:pPr>
      <w:r>
        <w:rPr>
          <w:rFonts w:hint="eastAsia"/>
        </w:rPr>
        <w:t xml:space="preserve">关注规划和资金能够转化为订单、且回款机制清晰的县域水治理、农村环保和监测设备方向。</w:t>
      </w:r>
    </w:p>
    <w:p>
      <w:pPr>
        <w:pStyle w:val="Compact"/>
        <w:numPr>
          <w:ilvl w:val="0"/>
          <w:numId w:val="1030"/>
        </w:numPr>
      </w:pPr>
      <w:r>
        <w:rPr>
          <w:rFonts w:hint="eastAsia"/>
        </w:rPr>
        <w:t xml:space="preserve">关注以旧换新由资金拨付转向终端核销后的销量、库存和利润率变化。</w:t>
      </w:r>
    </w:p>
    <w:p>
      <w:pPr>
        <w:pStyle w:val="Compact"/>
        <w:numPr>
          <w:ilvl w:val="0"/>
          <w:numId w:val="1030"/>
        </w:numPr>
      </w:pPr>
      <w:r>
        <w:rPr>
          <w:rFonts w:hint="eastAsia"/>
        </w:rPr>
        <w:t xml:space="preserve">关注新型储能从首个示范项目走向标准化、规模化复制的成本与效率数据。</w:t>
      </w:r>
    </w:p>
    <w:p>
      <w:pPr>
        <w:pStyle w:val="Compact"/>
        <w:numPr>
          <w:ilvl w:val="0"/>
          <w:numId w:val="1030"/>
        </w:numPr>
      </w:pPr>
      <w:r>
        <w:rPr>
          <w:rFonts w:hint="eastAsia"/>
        </w:rPr>
        <w:t xml:space="preserve">关注农业高产技术、植保与农机服务在主产区的实际推广，而不是只依据单个示范田外推。</w:t>
      </w:r>
    </w:p>
    <w:bookmarkEnd w:id="35"/>
    <w:bookmarkStart w:id="36" w:name="风险控制"/>
    <w:p>
      <w:pPr>
        <w:pStyle w:val="Heading3"/>
      </w:pPr>
      <w:r>
        <w:t xml:space="preserve">3. </w:t>
      </w:r>
      <w:r>
        <w:rPr>
          <w:rFonts w:hint="eastAsia"/>
        </w:rPr>
        <w:t xml:space="preserve">风险控制</w:t>
      </w:r>
    </w:p>
    <w:p>
      <w:pPr>
        <w:pStyle w:val="Compact"/>
        <w:numPr>
          <w:ilvl w:val="0"/>
          <w:numId w:val="1031"/>
        </w:numPr>
      </w:pPr>
      <w:r>
        <w:rPr>
          <w:rFonts w:hint="eastAsia"/>
        </w:rPr>
        <w:t xml:space="preserve">国际能源与地缘风险仍高，油价及柴油供需波动会在上游受益与下游成本压力之间造成快速切换。</w:t>
      </w:r>
    </w:p>
    <w:p>
      <w:pPr>
        <w:pStyle w:val="Compact"/>
        <w:numPr>
          <w:ilvl w:val="0"/>
          <w:numId w:val="1031"/>
        </w:numPr>
      </w:pPr>
      <w:r>
        <w:rPr>
          <w:rFonts w:hint="eastAsia"/>
        </w:rPr>
        <w:t xml:space="preserve">欧元区通胀与潜在加息压力可能压制全球风险偏好及外需预期。</w:t>
      </w:r>
    </w:p>
    <w:p>
      <w:pPr>
        <w:pStyle w:val="Compact"/>
        <w:numPr>
          <w:ilvl w:val="0"/>
          <w:numId w:val="1031"/>
        </w:numPr>
      </w:pPr>
      <w:r>
        <w:rPr>
          <w:rFonts w:hint="eastAsia"/>
        </w:rPr>
        <w:t xml:space="preserve">假日客流、票房和人员流动属于高频数据，不能替代收入、利润、现金流和订单验证。</w:t>
      </w:r>
    </w:p>
    <w:p>
      <w:pPr>
        <w:pStyle w:val="Compact"/>
        <w:numPr>
          <w:ilvl w:val="0"/>
          <w:numId w:val="1031"/>
        </w:numPr>
      </w:pPr>
      <w:r>
        <w:rPr>
          <w:rFonts w:hint="eastAsia"/>
        </w:rPr>
        <w:t xml:space="preserve">对疫情、航空安全和地区冲突只做风险情景，不据标题追逐缺乏产品适用性或订单证据的概念。</w:t>
      </w:r>
    </w:p>
    <w:bookmarkEnd w:id="36"/>
    <w:bookmarkEnd w:id="37"/>
    <w:bookmarkStart w:id="38" w:name="六事实核验与推演边界"/>
    <w:p>
      <w:pPr>
        <w:pStyle w:val="Heading2"/>
      </w:pPr>
      <w:r>
        <w:rPr>
          <w:rFonts w:hint="eastAsia"/>
        </w:rPr>
        <w:t xml:space="preserve">六、事实核验与推演边界</w:t>
      </w:r>
    </w:p>
    <w:p>
      <w:pPr>
        <w:pStyle w:val="Compact"/>
        <w:numPr>
          <w:ilvl w:val="0"/>
          <w:numId w:val="1032"/>
        </w:numPr>
      </w:pPr>
      <w:r>
        <w:rPr>
          <w:rFonts w:hint="eastAsia"/>
        </w:rPr>
        <w:t xml:space="preserve">本稿覆盖底稿中的全部11个顶层条目；“国内联播快讯”5个子项与“国际联播快讯”5个子项均逐项分析。</w:t>
      </w:r>
    </w:p>
    <w:p>
      <w:pPr>
        <w:pStyle w:val="Compact"/>
        <w:numPr>
          <w:ilvl w:val="0"/>
          <w:numId w:val="1032"/>
        </w:numPr>
      </w:pPr>
      <w:r>
        <w:rPr>
          <w:rFonts w:hint="eastAsia"/>
        </w:rPr>
        <w:t xml:space="preserve">所有具体数字、日期、地点、项目状态均来自唯一底稿；未引用外部行情、券商观点、上市公司公告或网络补充材料。</w:t>
      </w:r>
    </w:p>
    <w:p>
      <w:pPr>
        <w:pStyle w:val="Compact"/>
        <w:numPr>
          <w:ilvl w:val="0"/>
          <w:numId w:val="1032"/>
        </w:numPr>
      </w:pPr>
      <w:r>
        <w:rPr>
          <w:rFonts w:hint="eastAsia"/>
        </w:rPr>
        <w:t xml:space="preserve">板块影响、时效判断和交易建议均标注为分析推演，不代表已发生的订单、利润或股价结果。</w:t>
      </w:r>
    </w:p>
    <w:p>
      <w:pPr>
        <w:pStyle w:val="Compact"/>
        <w:numPr>
          <w:ilvl w:val="0"/>
          <w:numId w:val="1032"/>
        </w:numPr>
      </w:pPr>
      <w:r>
        <w:rPr>
          <w:rFonts w:hint="eastAsia"/>
        </w:rPr>
        <w:t xml:space="preserve">对政策资金、资源储量、示范项目、客流和票房，均明确区分“新闻事实”与“上市公司业绩兑现”。</w:t>
      </w:r>
    </w:p>
    <w:p>
      <w:pPr>
        <w:pStyle w:val="Compact"/>
        <w:numPr>
          <w:ilvl w:val="0"/>
          <w:numId w:val="1032"/>
        </w:numPr>
      </w:pPr>
      <w:r>
        <w:rPr>
          <w:rFonts w:hint="eastAsia"/>
        </w:rPr>
        <w:t xml:space="preserve">报告不推荐具体个股，不承诺收益。</w:t>
      </w:r>
    </w:p>
    <w:p>
      <w:r>
        <w:pict>
          <v:rect style="width:0;height:1.5pt" o:hralign="center" o:hrstd="t" o:hr="t"/>
        </w:pict>
      </w:r>
    </w:p>
    <w:p>
      <w:pPr>
        <w:pStyle w:val="FirstParagraph"/>
      </w:pPr>
      <w:r>
        <w:rPr>
          <w:rFonts w:hint="eastAsia"/>
        </w:rPr>
        <w:t xml:space="preserve">分析与写稿模型：GPT-5.6</w:t>
      </w:r>
      <w:r>
        <w:t xml:space="preserve"> Sol (openai-codex)</w:t>
      </w:r>
    </w:p>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2026-10-03T13:07:04Z</dcterms:created>
  <dcterms:modified xsi:type="dcterms:W3CDTF">2026-10-03T13:07:04Z</dcterms:modified>
</cp:coreProperties>
</file>

<file path=docProps/custom.xml><?xml version="1.0" encoding="utf-8"?>
<Properties xmlns="http://schemas.openxmlformats.org/officeDocument/2006/custom-properties" xmlns:vt="http://schemas.openxmlformats.org/officeDocument/2006/docPropsVTypes"/>
</file>