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3" w:name="年10月2日新闻联播a股深度解读"/>
    <w:p>
      <w:pPr>
        <w:pStyle w:val="Heading1"/>
      </w:pPr>
      <w:r>
        <w:rPr>
          <w:rFonts w:hint="eastAsia"/>
        </w:rPr>
        <w:t xml:space="preserve">2026年10月2日《新闻联播》A股深度解读</w:t>
      </w:r>
    </w:p>
    <w:p>
      <w:pPr>
        <w:pStyle w:val="BlockText"/>
      </w:pPr>
      <w:r>
        <w:rPr>
          <w:rFonts w:hint="eastAsia"/>
        </w:rPr>
        <w:t xml:space="preserve">唯一联播原文：</w:t>
      </w:r>
      <w:r>
        <w:rPr>
          <w:rStyle w:val="VerbatimChar"/>
        </w:rPr>
        <w:t xml:space="preserve">/Users/qiji/.hermes/skills/finance/qiji-morning-know/memory/xinwenlianbo/2026-10-02.md</w:t>
      </w:r>
      <w:r>
        <w:br/>
      </w:r>
      <w:r>
        <w:rPr>
          <w:rFonts w:hint="eastAsia"/>
        </w:rPr>
        <w:t xml:space="preserve">分析边界：下文“原文事实”只整理指定文件明确记载的信息；“条件性A股推演”仅依据政策层级、需求、成本和产业链传导进行情景分析，不代表政策目标已经转化为上市公司订单、收入、利润或股价表现。本稿未引入行情、公司公告、其他新闻稿或第三方预测，不推荐具体个股。</w:t>
      </w:r>
    </w:p>
    <w:bookmarkStart w:id="9" w:name="一今日联播总评"/>
    <w:p>
      <w:pPr>
        <w:pStyle w:val="Heading2"/>
      </w:pPr>
      <w:r>
        <w:rPr>
          <w:rFonts w:hint="eastAsia"/>
        </w:rPr>
        <w:t xml:space="preserve">一、今日联播总评</w:t>
      </w:r>
    </w:p>
    <w:p>
      <w:pPr>
        <w:pStyle w:val="Compact"/>
        <w:numPr>
          <w:ilvl w:val="0"/>
          <w:numId w:val="1001"/>
        </w:numPr>
      </w:pPr>
      <w:r>
        <w:rPr>
          <w:rFonts w:hint="eastAsia"/>
          <w:b/>
          <w:bCs/>
        </w:rPr>
        <w:t xml:space="preserve">整体基调：国庆信心动员、假日消费活跃与服务业扩能提质并行，结构性偏积极。</w:t>
      </w:r>
      <w:r>
        <w:t xml:space="preserve"> </w:t>
      </w:r>
      <w:r>
        <w:rPr>
          <w:rFonts w:hint="eastAsia"/>
        </w:rPr>
        <w:t xml:space="preserve">头条是对习近平总书记国庆招待会重要讲话的反响，核心是坚定信心、锚定目标和以中国式现代化推进强国建设；真正具备可量化产业含义的中段信号集中在服务业扩能提质、物流、高达2500亿元的消费品以旧换新资金、生态保护、清洁能源与抽水蓄能。</w:t>
      </w:r>
    </w:p>
    <w:p>
      <w:pPr>
        <w:pStyle w:val="Compact"/>
        <w:numPr>
          <w:ilvl w:val="0"/>
          <w:numId w:val="1001"/>
        </w:numPr>
      </w:pPr>
      <w:r>
        <w:rPr>
          <w:rFonts w:hint="eastAsia"/>
          <w:b/>
          <w:bCs/>
        </w:rPr>
        <w:t xml:space="preserve">政策信号强度：中强。</w:t>
      </w:r>
      <w:r>
        <w:t xml:space="preserve"> </w:t>
      </w:r>
      <w:r>
        <w:rPr>
          <w:rFonts w:hint="eastAsia"/>
        </w:rPr>
        <w:t xml:space="preserve">“服务业扩能提质”同时覆盖研发设计、现代物流、软件信息、养老、托育、文旅、体育，并明确土地、金融等要素保障；消费品以旧换新资金已经全部下达，属于比原则表态更接近需求端的执行信号。国内快讯中的科技保险、铁路货运规则、光伏光热和变速抽水蓄能，则是细分制度与工程进展。</w:t>
      </w:r>
    </w:p>
    <w:p>
      <w:pPr>
        <w:pStyle w:val="Compact"/>
        <w:numPr>
          <w:ilvl w:val="0"/>
          <w:numId w:val="1001"/>
        </w:numPr>
      </w:pPr>
      <w:r>
        <w:rPr>
          <w:rFonts w:hint="eastAsia"/>
          <w:b/>
          <w:bCs/>
        </w:rPr>
        <w:t xml:space="preserve">对A股总体影响：结构性利好强于指数级利好。</w:t>
      </w:r>
      <w:r>
        <w:t xml:space="preserve"> </w:t>
      </w:r>
      <w:r>
        <w:rPr>
          <w:rFonts w:hint="eastAsia"/>
        </w:rPr>
        <w:t xml:space="preserve">消费电子、家电、新能源汽车、服务业、物流、科技服务、养老托育、文旅体育、科技保险、清洁能源和储能可获得主题或基本面关注；但节目未发布资本市场政策、降息降准、总量财政加码或上市公司订单，不能据此推导指数必然上涨。</w:t>
      </w:r>
    </w:p>
    <w:p>
      <w:pPr>
        <w:pStyle w:val="Compact"/>
        <w:numPr>
          <w:ilvl w:val="0"/>
          <w:numId w:val="1001"/>
        </w:numPr>
      </w:pPr>
      <w:r>
        <w:rPr>
          <w:rFonts w:hint="eastAsia"/>
          <w:b/>
          <w:bCs/>
        </w:rPr>
        <w:t xml:space="preserve">优先级排序：</w:t>
      </w:r>
      <w:r>
        <w:t xml:space="preserve"> </w:t>
      </w:r>
      <w:r>
        <w:rPr>
          <w:rFonts w:hint="eastAsia"/>
        </w:rPr>
        <w:t xml:space="preserve">消费品以旧换新资金全部下达＞服务业扩能提质及土地金融要素保障＞物流韧性与高技术制造货类＞科技保险风险保障扩容＞光伏光热与变速抽水蓄能工程＞假日文旅和红色旅游＞生态保护和国土绿化＞国际地缘风险。</w:t>
      </w:r>
    </w:p>
    <w:p>
      <w:pPr>
        <w:pStyle w:val="Compact"/>
        <w:numPr>
          <w:ilvl w:val="0"/>
          <w:numId w:val="1001"/>
        </w:numPr>
      </w:pPr>
      <w:r>
        <w:rPr>
          <w:rFonts w:hint="eastAsia"/>
          <w:b/>
          <w:bCs/>
        </w:rPr>
        <w:t xml:space="preserve">最需要防止的误读：</w:t>
      </w:r>
      <w:r>
        <w:t xml:space="preserve"> </w:t>
      </w:r>
      <w:r>
        <w:rPr>
          <w:rFonts w:hint="eastAsia"/>
        </w:rPr>
        <w:t xml:space="preserve">2500亿元是全年支持以旧换新的资金规模，不是上市公司收入；1.55万亿元是相关商品销售额，不是新增利润；新能源乘用车零售占比连续5个月超过60%不等于所有产业链环节盈利同步改善；8.7万亿元科技保险风险保障不是保费收入；清洁能源项目并网和机组安装完成不等于所有设备企业新增订单；节日客流和烟花、灯光秀热度也不等于景区或商业运营利润。</w:t>
      </w:r>
    </w:p>
    <w:p>
      <w:pPr>
        <w:pStyle w:val="Compact"/>
        <w:numPr>
          <w:ilvl w:val="0"/>
          <w:numId w:val="1001"/>
        </w:numPr>
      </w:pPr>
      <w:r>
        <w:rPr>
          <w:rFonts w:hint="eastAsia"/>
          <w:b/>
          <w:bCs/>
        </w:rPr>
        <w:t xml:space="preserve">一句话结论：</w:t>
      </w:r>
      <w:r>
        <w:t xml:space="preserve"> </w:t>
      </w:r>
      <w:r>
        <w:rPr>
          <w:rFonts w:hint="eastAsia"/>
        </w:rPr>
        <w:t xml:space="preserve">当日最清晰的交易与跟踪主线是“以旧换新资金落地—耐用品需求兑现”和“服务业扩能提质—生产性服务与银发消费扩容”，中线则关注物流升级、科技保险、清洁能源与储能，执行上必须等待销量、价格、份额、毛利、订单、回款和右侧量价共同确认。</w:t>
      </w:r>
    </w:p>
    <w:bookmarkEnd w:id="9"/>
    <w:bookmarkStart w:id="33" w:name="二全部23个事实单元逐条a股影响分析"/>
    <w:p>
      <w:pPr>
        <w:pStyle w:val="Heading2"/>
      </w:pPr>
      <w:r>
        <w:rPr>
          <w:rFonts w:hint="eastAsia"/>
        </w:rPr>
        <w:t xml:space="preserve">二、全部23个事实单元逐条A股影响分析</w:t>
      </w:r>
    </w:p>
    <w:bookmarkStart w:id="10" w:name="国庆招待会重要讲话引发反响"/>
    <w:p>
      <w:pPr>
        <w:pStyle w:val="Heading3"/>
      </w:pPr>
      <w:r>
        <w:t xml:space="preserve">1. </w:t>
      </w:r>
      <w:r>
        <w:rPr>
          <w:rFonts w:hint="eastAsia"/>
        </w:rPr>
        <w:t xml:space="preserve">国庆招待会重要讲话引发反响</w:t>
      </w:r>
    </w:p>
    <w:p>
      <w:pPr>
        <w:pStyle w:val="Compact"/>
        <w:numPr>
          <w:ilvl w:val="0"/>
          <w:numId w:val="1002"/>
        </w:numPr>
      </w:pPr>
      <w:r>
        <w:rPr>
          <w:rFonts w:hint="eastAsia"/>
          <w:b/>
          <w:bCs/>
        </w:rPr>
        <w:t xml:space="preserve">信号强度：★★★★☆｜方向：稳信心、中国式现代化与重点建设方向中长期偏正面｜时效：短中期至长期</w:t>
      </w:r>
    </w:p>
    <w:p>
      <w:pPr>
        <w:pStyle w:val="Compact"/>
        <w:numPr>
          <w:ilvl w:val="0"/>
          <w:numId w:val="1002"/>
        </w:numPr>
      </w:pPr>
      <w:r>
        <w:rPr>
          <w:rFonts w:hint="eastAsia"/>
          <w:b/>
          <w:bCs/>
        </w:rPr>
        <w:t xml:space="preserve">原文事实：</w:t>
      </w:r>
      <w:r>
        <w:t xml:space="preserve"> </w:t>
      </w:r>
      <w:r>
        <w:rPr>
          <w:rFonts w:hint="eastAsia"/>
        </w:rPr>
        <w:t xml:space="preserve">报道称，习近平总书记在庆祝中华人民共和国成立77周年招待会上的重要讲话引发干部群众反响。讲话回顾新中国成立77年来的成就，肯定今年以来各项事业的新进展新成效，着眼机遇与挑战提出要求；报道列举黑龙江秋粮收获和大型智能农机、重庆西渝高铁北碚天府嘉陵江特大桥即将合龙、重点实验室科技攻关，并提及港澳台同胞的积极反响。</w:t>
      </w:r>
    </w:p>
    <w:p>
      <w:pPr>
        <w:pStyle w:val="Compact"/>
        <w:numPr>
          <w:ilvl w:val="0"/>
          <w:numId w:val="1002"/>
        </w:numPr>
      </w:pPr>
      <w:r>
        <w:rPr>
          <w:rFonts w:hint="eastAsia"/>
          <w:b/>
          <w:bCs/>
        </w:rPr>
        <w:t xml:space="preserve">通俗解码：</w:t>
      </w:r>
      <w:r>
        <w:t xml:space="preserve"> </w:t>
      </w:r>
      <w:r>
        <w:rPr>
          <w:rFonts w:hint="eastAsia"/>
        </w:rPr>
        <w:t xml:space="preserve">这是国庆节点的最高层信心动员和执行要求，“坚定信心、锚定目标、一步一步扎实往前走”强调战略方向稳定与落实，不是某项新增行业政策。智能农机、高铁重点工程和重点实验室是落实场景，能够说明相关工作在推进，但没有新增投资、采购金额或企业归属。</w:t>
      </w:r>
    </w:p>
    <w:p>
      <w:pPr>
        <w:pStyle w:val="Compact"/>
        <w:numPr>
          <w:ilvl w:val="0"/>
          <w:numId w:val="1002"/>
        </w:numPr>
      </w:pPr>
      <w:r>
        <w:rPr>
          <w:rFonts w:hint="eastAsia"/>
          <w:b/>
          <w:bCs/>
        </w:rPr>
        <w:t xml:space="preserve">条件性A股推演：</w:t>
      </w:r>
      <w:r>
        <w:t xml:space="preserve"> </w:t>
      </w:r>
      <w:r>
        <w:rPr>
          <w:rFonts w:hint="eastAsia"/>
        </w:rPr>
        <w:t xml:space="preserve">农机智能化、轨道交通工程与装备、科研仪器及科技服务可获得中长期关注；更强的基本面判断须等待规划、财政、招标、订单和交付。</w:t>
      </w:r>
    </w:p>
    <w:p>
      <w:pPr>
        <w:pStyle w:val="Compact"/>
        <w:numPr>
          <w:ilvl w:val="0"/>
          <w:numId w:val="1002"/>
        </w:numPr>
      </w:pPr>
      <w:r>
        <w:rPr>
          <w:rFonts w:hint="eastAsia"/>
          <w:b/>
          <w:bCs/>
        </w:rPr>
        <w:t xml:space="preserve">验证与证伪：</w:t>
      </w:r>
      <w:r>
        <w:t xml:space="preserve"> </w:t>
      </w:r>
      <w:r>
        <w:rPr>
          <w:rFonts w:hint="eastAsia"/>
        </w:rPr>
        <w:t xml:space="preserve">跟踪秋粮产量和农机销量、西渝高铁工程节点与设备招标、重点实验室项目和采购。若只有信心表态而没有增量项目或订单，短线主题权重应下降。</w:t>
      </w:r>
    </w:p>
    <w:bookmarkEnd w:id="10"/>
    <w:bookmarkStart w:id="11" w:name="欢度国庆假期文旅非遗夜游与科技体验活跃"/>
    <w:p>
      <w:pPr>
        <w:pStyle w:val="Heading3"/>
      </w:pPr>
      <w:r>
        <w:t xml:space="preserve">2. </w:t>
      </w:r>
      <w:r>
        <w:rPr>
          <w:rFonts w:hint="eastAsia"/>
        </w:rPr>
        <w:t xml:space="preserve">欢度国庆假期，文旅、非遗、夜游与科技体验活跃</w:t>
      </w:r>
    </w:p>
    <w:p>
      <w:pPr>
        <w:pStyle w:val="Compact"/>
        <w:numPr>
          <w:ilvl w:val="0"/>
          <w:numId w:val="1003"/>
        </w:numPr>
      </w:pPr>
      <w:r>
        <w:rPr>
          <w:rFonts w:hint="eastAsia"/>
          <w:b/>
          <w:bCs/>
        </w:rPr>
        <w:t xml:space="preserve">信号强度：★★★☆☆｜方向：景区、酒店餐饮、文创非遗、夜游演艺与服务机器人事件性偏利好｜时效：国庆假期</w:t>
      </w:r>
    </w:p>
    <w:p>
      <w:pPr>
        <w:pStyle w:val="Compact"/>
        <w:numPr>
          <w:ilvl w:val="0"/>
          <w:numId w:val="1003"/>
        </w:numPr>
      </w:pPr>
      <w:r>
        <w:rPr>
          <w:rFonts w:hint="eastAsia"/>
          <w:b/>
          <w:bCs/>
        </w:rPr>
        <w:t xml:space="preserve">原文事实：</w:t>
      </w:r>
      <w:r>
        <w:t xml:space="preserve"> </w:t>
      </w:r>
      <w:r>
        <w:rPr>
          <w:rFonts w:hint="eastAsia"/>
        </w:rPr>
        <w:t xml:space="preserve">假期首日，北京天安门地区迎来超过30万游客；鼓浪屿、甘肃民勤、贵州荔波等地展示山水和文化旅游场景；海南构建海底、陆地、低空、山林等多元场景，三亚蜈支洲岛首日超过6000人登岛。山东临清、江苏建湖、四川新津、浙江德清新市古镇展示美食、戏曲、民俗、非遗、文创和特色小吃。上海推出科技主题游船，以智能机器人互动结合黄浦江夜景；天津海河灯光秀、武汉和南昌烟花活动，以及香港超过3万枚烟花、澳门文艺活动共同构成夜间消费场景。</w:t>
      </w:r>
    </w:p>
    <w:p>
      <w:pPr>
        <w:pStyle w:val="Compact"/>
        <w:numPr>
          <w:ilvl w:val="0"/>
          <w:numId w:val="1003"/>
        </w:numPr>
      </w:pPr>
      <w:r>
        <w:rPr>
          <w:rFonts w:hint="eastAsia"/>
          <w:b/>
          <w:bCs/>
        </w:rPr>
        <w:t xml:space="preserve">通俗解码：</w:t>
      </w:r>
      <w:r>
        <w:t xml:space="preserve"> </w:t>
      </w:r>
      <w:r>
        <w:rPr>
          <w:rFonts w:hint="eastAsia"/>
        </w:rPr>
        <w:t xml:space="preserve">这条报道显示假日需求广泛分布于景区、交通、餐饮、住宿、文创、夜游和科技互动，但只有部分客流数据，没有全国旅游收入、客单价、入住率或经营主体收益。</w:t>
      </w:r>
    </w:p>
    <w:p>
      <w:pPr>
        <w:pStyle w:val="Compact"/>
        <w:numPr>
          <w:ilvl w:val="0"/>
          <w:numId w:val="1003"/>
        </w:numPr>
      </w:pPr>
      <w:r>
        <w:rPr>
          <w:rFonts w:hint="eastAsia"/>
          <w:b/>
          <w:bCs/>
        </w:rPr>
        <w:t xml:space="preserve">条件性A股推演：</w:t>
      </w:r>
      <w:r>
        <w:t xml:space="preserve"> </w:t>
      </w:r>
      <w:r>
        <w:rPr>
          <w:rFonts w:hint="eastAsia"/>
        </w:rPr>
        <w:t xml:space="preserve">景区运营、酒店餐饮、旅游服务、夜游演艺、文创与非遗商业化、服务机器人和低空文旅场景可能受益。机器人在游船互动中出现，只能说明应用展示，不能直接推导规模订单。</w:t>
      </w:r>
    </w:p>
    <w:p>
      <w:pPr>
        <w:pStyle w:val="Compact"/>
        <w:numPr>
          <w:ilvl w:val="0"/>
          <w:numId w:val="1003"/>
        </w:numPr>
      </w:pPr>
      <w:r>
        <w:rPr>
          <w:rFonts w:hint="eastAsia"/>
          <w:b/>
          <w:bCs/>
        </w:rPr>
        <w:t xml:space="preserve">验证与证伪：</w:t>
      </w:r>
      <w:r>
        <w:t xml:space="preserve"> </w:t>
      </w:r>
      <w:r>
        <w:rPr>
          <w:rFonts w:hint="eastAsia"/>
        </w:rPr>
        <w:t xml:space="preserve">跟踪假期后续客流、客单价、酒店入住率、景区二次消费、游船和演艺上座率、机器人采购与运营合同。若客流增长伴随强折扣和高运营成本，利润弹性可能弱于收入。</w:t>
      </w:r>
    </w:p>
    <w:bookmarkEnd w:id="11"/>
    <w:bookmarkStart w:id="12" w:name="全国红色旅游经典景区迎来客流高峰"/>
    <w:p>
      <w:pPr>
        <w:pStyle w:val="Heading3"/>
      </w:pPr>
      <w:r>
        <w:t xml:space="preserve">3. </w:t>
      </w:r>
      <w:r>
        <w:rPr>
          <w:rFonts w:hint="eastAsia"/>
        </w:rPr>
        <w:t xml:space="preserve">全国红色旅游经典景区迎来客流高峰</w:t>
      </w:r>
    </w:p>
    <w:p>
      <w:pPr>
        <w:pStyle w:val="Compact"/>
        <w:numPr>
          <w:ilvl w:val="0"/>
          <w:numId w:val="1004"/>
        </w:numPr>
      </w:pPr>
      <w:r>
        <w:rPr>
          <w:rFonts w:hint="eastAsia"/>
          <w:b/>
          <w:bCs/>
        </w:rPr>
        <w:t xml:space="preserve">信号强度：★★★☆☆｜方向：红色文旅、研学、数字展陈与场馆服务短期偏正面｜时效：假期至研学周期</w:t>
      </w:r>
    </w:p>
    <w:p>
      <w:pPr>
        <w:pStyle w:val="Compact"/>
        <w:numPr>
          <w:ilvl w:val="0"/>
          <w:numId w:val="1004"/>
        </w:numPr>
      </w:pPr>
      <w:r>
        <w:rPr>
          <w:rFonts w:hint="eastAsia"/>
          <w:b/>
          <w:bCs/>
        </w:rPr>
        <w:t xml:space="preserve">原文事实：</w:t>
      </w:r>
      <w:r>
        <w:t xml:space="preserve"> </w:t>
      </w:r>
      <w:r>
        <w:rPr>
          <w:rFonts w:hint="eastAsia"/>
        </w:rPr>
        <w:t xml:space="preserve">贵州习水土城镇四渡赤水纪念馆游客量同比增长近三成，娄山关打造沉浸式文旅场景，贵阳长征文化数字艺术馆借助AI和全息影像再现长征场景、日接待超过2000人次。安徽金寨、浙江长兴、陕西延安、南京雨花台、青海原子城等地开展参观和研学；南京雨花台假期预计接待接近20万人次。全国现有红色旅游经典景区300处，登记在册不可移动革命文物4.2万余处、可移动革命文物超过150万件（套）。</w:t>
      </w:r>
    </w:p>
    <w:p>
      <w:pPr>
        <w:pStyle w:val="Compact"/>
        <w:numPr>
          <w:ilvl w:val="0"/>
          <w:numId w:val="1004"/>
        </w:numPr>
      </w:pPr>
      <w:r>
        <w:rPr>
          <w:rFonts w:hint="eastAsia"/>
          <w:b/>
          <w:bCs/>
        </w:rPr>
        <w:t xml:space="preserve">通俗解码：</w:t>
      </w:r>
      <w:r>
        <w:t xml:space="preserve"> </w:t>
      </w:r>
      <w:r>
        <w:rPr>
          <w:rFonts w:hint="eastAsia"/>
        </w:rPr>
        <w:t xml:space="preserve">红色旅游已从参观场馆延伸到沉浸式内容、研学、数字艺术和讲解服务。AI、全息影像的出现说明数字展陈有应用空间，但报道没有采购金额、供应商或付费转化。</w:t>
      </w:r>
    </w:p>
    <w:p>
      <w:pPr>
        <w:pStyle w:val="Compact"/>
        <w:numPr>
          <w:ilvl w:val="0"/>
          <w:numId w:val="1004"/>
        </w:numPr>
      </w:pPr>
      <w:r>
        <w:rPr>
          <w:rFonts w:hint="eastAsia"/>
          <w:b/>
          <w:bCs/>
        </w:rPr>
        <w:t xml:space="preserve">条件性A股推演：</w:t>
      </w:r>
      <w:r>
        <w:t xml:space="preserve"> </w:t>
      </w:r>
      <w:r>
        <w:rPr>
          <w:rFonts w:hint="eastAsia"/>
        </w:rPr>
        <w:t xml:space="preserve">文旅运营、研学服务、数字内容、AI展示、全息投影、场馆信息化和文物保护可获得结构性关注。</w:t>
      </w:r>
    </w:p>
    <w:p>
      <w:pPr>
        <w:pStyle w:val="Compact"/>
        <w:numPr>
          <w:ilvl w:val="0"/>
          <w:numId w:val="1004"/>
        </w:numPr>
      </w:pPr>
      <w:r>
        <w:rPr>
          <w:rFonts w:hint="eastAsia"/>
          <w:b/>
          <w:bCs/>
        </w:rPr>
        <w:t xml:space="preserve">验证与证伪：</w:t>
      </w:r>
      <w:r>
        <w:t xml:space="preserve"> </w:t>
      </w:r>
      <w:r>
        <w:rPr>
          <w:rFonts w:hint="eastAsia"/>
        </w:rPr>
        <w:t xml:space="preserve">跟踪客流转化、门票和二次消费、研学订单、数字展陈招标、项目毛利与回款；避免仅因“AI”字样泛化到所有AI公司。</w:t>
      </w:r>
    </w:p>
    <w:bookmarkEnd w:id="12"/>
    <w:bookmarkStart w:id="13" w:name="说说你眼中的中国范儿强调传统文化自信"/>
    <w:p>
      <w:pPr>
        <w:pStyle w:val="Heading3"/>
      </w:pPr>
      <w:r>
        <w:t xml:space="preserve">4. </w:t>
      </w:r>
      <w:r>
        <w:rPr>
          <w:rFonts w:hint="eastAsia"/>
        </w:rPr>
        <w:t xml:space="preserve">《说说你眼中的中国范儿》强调传统文化自信</w:t>
      </w:r>
    </w:p>
    <w:p>
      <w:pPr>
        <w:pStyle w:val="Compact"/>
        <w:numPr>
          <w:ilvl w:val="0"/>
          <w:numId w:val="1005"/>
        </w:numPr>
      </w:pPr>
      <w:r>
        <w:rPr>
          <w:rFonts w:hint="eastAsia"/>
          <w:b/>
          <w:bCs/>
        </w:rPr>
        <w:t xml:space="preserve">信号强度：★☆☆☆☆｜方向：传统文化传播中性偏正面，产业催化弱｜时效：短期</w:t>
      </w:r>
    </w:p>
    <w:p>
      <w:pPr>
        <w:pStyle w:val="Compact"/>
        <w:numPr>
          <w:ilvl w:val="0"/>
          <w:numId w:val="1005"/>
        </w:numPr>
      </w:pPr>
      <w:r>
        <w:rPr>
          <w:rFonts w:hint="eastAsia"/>
          <w:b/>
          <w:bCs/>
        </w:rPr>
        <w:t xml:space="preserve">原文事实：</w:t>
      </w:r>
      <w:r>
        <w:t xml:space="preserve"> </w:t>
      </w:r>
      <w:r>
        <w:rPr>
          <w:rFonts w:hint="eastAsia"/>
        </w:rPr>
        <w:t xml:space="preserve">报道仅说明中华优秀传统文化是中华民族精神命脉，并通过国庆海采感受传统文化带来的自信和力量，没有给出具体项目、产品、客流、收入或政策安排。</w:t>
      </w:r>
    </w:p>
    <w:p>
      <w:pPr>
        <w:pStyle w:val="Compact"/>
        <w:numPr>
          <w:ilvl w:val="0"/>
          <w:numId w:val="1005"/>
        </w:numPr>
      </w:pPr>
      <w:r>
        <w:rPr>
          <w:rFonts w:hint="eastAsia"/>
          <w:b/>
          <w:bCs/>
        </w:rPr>
        <w:t xml:space="preserve">通俗解码：</w:t>
      </w:r>
      <w:r>
        <w:t xml:space="preserve"> </w:t>
      </w:r>
      <w:r>
        <w:rPr>
          <w:rFonts w:hint="eastAsia"/>
        </w:rPr>
        <w:t xml:space="preserve">这是文化主题表达，不是文化产业扶持政策。</w:t>
      </w:r>
    </w:p>
    <w:p>
      <w:pPr>
        <w:pStyle w:val="Compact"/>
        <w:numPr>
          <w:ilvl w:val="0"/>
          <w:numId w:val="1005"/>
        </w:numPr>
      </w:pPr>
      <w:r>
        <w:rPr>
          <w:rFonts w:hint="eastAsia"/>
          <w:b/>
          <w:bCs/>
        </w:rPr>
        <w:t xml:space="preserve">条件性A股推演：</w:t>
      </w:r>
      <w:r>
        <w:t xml:space="preserve"> </w:t>
      </w:r>
      <w:r>
        <w:rPr>
          <w:rFonts w:hint="eastAsia"/>
        </w:rPr>
        <w:t xml:space="preserve">可作为国潮、非遗、文创和传统文化内容的情绪背景，但不足以单独形成可验证的交易主线。</w:t>
      </w:r>
    </w:p>
    <w:p>
      <w:pPr>
        <w:pStyle w:val="Compact"/>
        <w:numPr>
          <w:ilvl w:val="0"/>
          <w:numId w:val="1005"/>
        </w:numPr>
      </w:pPr>
      <w:r>
        <w:rPr>
          <w:rFonts w:hint="eastAsia"/>
          <w:b/>
          <w:bCs/>
        </w:rPr>
        <w:t xml:space="preserve">验证与证伪：</w:t>
      </w:r>
      <w:r>
        <w:t xml:space="preserve"> </w:t>
      </w:r>
      <w:r>
        <w:rPr>
          <w:rFonts w:hint="eastAsia"/>
        </w:rPr>
        <w:t xml:space="preserve">只有后续出现消费数据、版权授权、产品销售或正式项目时，才提升产业权重。</w:t>
      </w:r>
    </w:p>
    <w:bookmarkEnd w:id="13"/>
    <w:bookmarkStart w:id="14" w:name="多举措支持服务业扩能提质"/>
    <w:p>
      <w:pPr>
        <w:pStyle w:val="Heading3"/>
      </w:pPr>
      <w:r>
        <w:t xml:space="preserve">5. </w:t>
      </w:r>
      <w:r>
        <w:rPr>
          <w:rFonts w:hint="eastAsia"/>
        </w:rPr>
        <w:t xml:space="preserve">多举措支持服务业扩能提质</w:t>
      </w:r>
    </w:p>
    <w:p>
      <w:pPr>
        <w:pStyle w:val="Compact"/>
        <w:numPr>
          <w:ilvl w:val="0"/>
          <w:numId w:val="1006"/>
        </w:numPr>
      </w:pPr>
      <w:r>
        <w:rPr>
          <w:rFonts w:hint="eastAsia"/>
          <w:b/>
          <w:bCs/>
        </w:rPr>
        <w:t xml:space="preserve">信号强度：★★★★★｜方向：生产性服务业、养老托育、物流、软件信息、文旅体育中期偏利好｜时效：中期至长期</w:t>
      </w:r>
    </w:p>
    <w:p>
      <w:pPr>
        <w:pStyle w:val="Compact"/>
        <w:numPr>
          <w:ilvl w:val="0"/>
          <w:numId w:val="1006"/>
        </w:numPr>
      </w:pPr>
      <w:r>
        <w:rPr>
          <w:rFonts w:hint="eastAsia"/>
          <w:b/>
          <w:bCs/>
        </w:rPr>
        <w:t xml:space="preserve">原文事实：</w:t>
      </w:r>
      <w:r>
        <w:t xml:space="preserve"> </w:t>
      </w:r>
      <w:r>
        <w:rPr>
          <w:rFonts w:hint="eastAsia"/>
        </w:rPr>
        <w:t xml:space="preserve">国家发展改革委介绍一系列政策举措：生产性服务业方面，推动研发设计、现代物流、软件信息等专业服务深度嵌入产业链供应链；生活性服务业方面，全面推开养老服务消费补贴项目并增加优质供给。要素保障方面，推动低效工业用地再开发和闲置房屋再利用，引导生产性服务业向工业园区集聚，优先保障养老托育等用地；发挥结构性货币政策工具作用，重点支持科技服务、物流运输、文旅、体育等行业。今年上半年服务业对经济增长贡献率为66.1%，同比提高5.9个百分点。</w:t>
      </w:r>
    </w:p>
    <w:p>
      <w:pPr>
        <w:pStyle w:val="Compact"/>
        <w:numPr>
          <w:ilvl w:val="0"/>
          <w:numId w:val="1006"/>
        </w:numPr>
      </w:pPr>
      <w:r>
        <w:rPr>
          <w:rFonts w:hint="eastAsia"/>
          <w:b/>
          <w:bCs/>
        </w:rPr>
        <w:t xml:space="preserve">通俗解码：</w:t>
      </w:r>
      <w:r>
        <w:t xml:space="preserve"> </w:t>
      </w:r>
      <w:r>
        <w:rPr>
          <w:rFonts w:hint="eastAsia"/>
        </w:rPr>
        <w:t xml:space="preserve">这不是泛泛鼓励服务业，而是把产业方向、消费补贴、土地供给和结构性金融工具放在同一政策框架中。生产性服务要进入制造业链条，生活性服务要扩大养老等有效供给；“全面推开”比试点阶段更接近执行。</w:t>
      </w:r>
    </w:p>
    <w:p>
      <w:pPr>
        <w:pStyle w:val="Compact"/>
        <w:numPr>
          <w:ilvl w:val="0"/>
          <w:numId w:val="1006"/>
        </w:numPr>
      </w:pPr>
      <w:r>
        <w:rPr>
          <w:rFonts w:hint="eastAsia"/>
          <w:b/>
          <w:bCs/>
        </w:rPr>
        <w:t xml:space="preserve">条件性A股推演：</w:t>
      </w:r>
      <w:r>
        <w:t xml:space="preserve"> </w:t>
      </w:r>
      <w:r>
        <w:rPr>
          <w:rFonts w:hint="eastAsia"/>
        </w:rPr>
        <w:t xml:space="preserve">研发设计、工业软件与信息服务、供应链和现代物流、科技服务、养老服务、托育、文旅和体育运营具备中期政策支持。低效用地和闲置房屋再利用可能带来园区改造、适老化和存量资产运营机会，但不等于房地产总量刺激。</w:t>
      </w:r>
    </w:p>
    <w:p>
      <w:pPr>
        <w:pStyle w:val="Compact"/>
        <w:numPr>
          <w:ilvl w:val="0"/>
          <w:numId w:val="1006"/>
        </w:numPr>
      </w:pPr>
      <w:r>
        <w:rPr>
          <w:rFonts w:hint="eastAsia"/>
          <w:b/>
          <w:bCs/>
        </w:rPr>
        <w:t xml:space="preserve">验证与证伪：</w:t>
      </w:r>
      <w:r>
        <w:t xml:space="preserve"> </w:t>
      </w:r>
      <w:r>
        <w:rPr>
          <w:rFonts w:hint="eastAsia"/>
        </w:rPr>
        <w:t xml:space="preserve">跟踪养老补贴覆盖区域、标准和核销，结构性工具的投向与利率，服务业贷款和项目招标，园区集聚与用地安排，企业订单、毛利、应收和现金流。若补贴规模小、支付慢或需求转化不足，盈利弹性会低于政策热度。</w:t>
      </w:r>
    </w:p>
    <w:bookmarkEnd w:id="14"/>
    <w:bookmarkStart w:id="15" w:name="前8个月物流展现韧性高技术制造货类支撑增强"/>
    <w:p>
      <w:pPr>
        <w:pStyle w:val="Heading3"/>
      </w:pPr>
      <w:r>
        <w:t xml:space="preserve">6. </w:t>
      </w:r>
      <w:r>
        <w:rPr>
          <w:rFonts w:hint="eastAsia"/>
        </w:rPr>
        <w:t xml:space="preserve">前8个月物流展现韧性，高技术制造货类支撑增强</w:t>
      </w:r>
    </w:p>
    <w:p>
      <w:pPr>
        <w:pStyle w:val="Compact"/>
        <w:numPr>
          <w:ilvl w:val="0"/>
          <w:numId w:val="1007"/>
        </w:numPr>
      </w:pPr>
      <w:r>
        <w:rPr>
          <w:rFonts w:hint="eastAsia"/>
          <w:b/>
          <w:bCs/>
        </w:rPr>
        <w:t xml:space="preserve">信号强度：★★★★☆｜方向：物流运输、供应链服务与高技术制造结构性正面｜时效：短中期</w:t>
      </w:r>
    </w:p>
    <w:p>
      <w:pPr>
        <w:pStyle w:val="Compact"/>
        <w:numPr>
          <w:ilvl w:val="0"/>
          <w:numId w:val="1007"/>
        </w:numPr>
      </w:pPr>
      <w:r>
        <w:rPr>
          <w:rFonts w:hint="eastAsia"/>
          <w:b/>
          <w:bCs/>
        </w:rPr>
        <w:t xml:space="preserve">原文事实：</w:t>
      </w:r>
      <w:r>
        <w:t xml:space="preserve"> </w:t>
      </w:r>
      <w:r>
        <w:rPr>
          <w:rFonts w:hint="eastAsia"/>
        </w:rPr>
        <w:t xml:space="preserve">1—8月全国社会物流总额243.6万亿元，同比增长4.9%；制造业是增长核心引擎。8月工业品物流同比增长4.9%，高技术制造、机器人、集成电路、数字产品等新动能货类支撑作用增强。1—8月单位与居民物品物流总额同比增长3.4%，报道将其与扩内需、促消费政策落地联系起来。</w:t>
      </w:r>
    </w:p>
    <w:p>
      <w:pPr>
        <w:pStyle w:val="Compact"/>
        <w:numPr>
          <w:ilvl w:val="0"/>
          <w:numId w:val="1007"/>
        </w:numPr>
      </w:pPr>
      <w:r>
        <w:rPr>
          <w:rFonts w:hint="eastAsia"/>
          <w:b/>
          <w:bCs/>
        </w:rPr>
        <w:t xml:space="preserve">通俗解码：</w:t>
      </w:r>
      <w:r>
        <w:t xml:space="preserve"> </w:t>
      </w:r>
      <w:r>
        <w:rPr>
          <w:rFonts w:hint="eastAsia"/>
        </w:rPr>
        <w:t xml:space="preserve">总量是平稳增长，亮点在货类结构向高技术制造倾斜。物流额代表经物流活动处理的货物价值规模，不等于物流企业营业收入或利润。</w:t>
      </w:r>
    </w:p>
    <w:p>
      <w:pPr>
        <w:pStyle w:val="Compact"/>
        <w:numPr>
          <w:ilvl w:val="0"/>
          <w:numId w:val="1007"/>
        </w:numPr>
      </w:pPr>
      <w:r>
        <w:rPr>
          <w:rFonts w:hint="eastAsia"/>
          <w:b/>
          <w:bCs/>
        </w:rPr>
        <w:t xml:space="preserve">条件性A股推演：</w:t>
      </w:r>
      <w:r>
        <w:t xml:space="preserve"> </w:t>
      </w:r>
      <w:r>
        <w:rPr>
          <w:rFonts w:hint="eastAsia"/>
        </w:rPr>
        <w:t xml:space="preserve">综合物流、供应链管理、仓储自动化、工业物流和冷链等方向可能受益；机器人、集成电路和数字产品物流增长是产业活动线索，但仍需结合各行业实际产销和库存。</w:t>
      </w:r>
    </w:p>
    <w:p>
      <w:pPr>
        <w:pStyle w:val="Compact"/>
        <w:numPr>
          <w:ilvl w:val="0"/>
          <w:numId w:val="1007"/>
        </w:numPr>
      </w:pPr>
      <w:r>
        <w:rPr>
          <w:rFonts w:hint="eastAsia"/>
          <w:b/>
          <w:bCs/>
        </w:rPr>
        <w:t xml:space="preserve">验证与证伪：</w:t>
      </w:r>
      <w:r>
        <w:t xml:space="preserve"> </w:t>
      </w:r>
      <w:r>
        <w:rPr>
          <w:rFonts w:hint="eastAsia"/>
        </w:rPr>
        <w:t xml:space="preserve">跟踪货运量、运价、仓储周转、快递件量、制造业订单、库存、物流企业收入及单位成本。若物流额增长但价格竞争加剧，利润可能不升反降。</w:t>
      </w:r>
    </w:p>
    <w:bookmarkEnd w:id="15"/>
    <w:bookmarkStart w:id="16" w:name="亿元超长期特别国债支持消费品以旧换新资金全部下达"/>
    <w:p>
      <w:pPr>
        <w:pStyle w:val="Heading3"/>
      </w:pPr>
      <w:r>
        <w:t xml:space="preserve">7. </w:t>
      </w:r>
      <w:r>
        <w:rPr>
          <w:rFonts w:hint="eastAsia"/>
        </w:rPr>
        <w:t xml:space="preserve">2500亿元超长期特别国债支持消费品以旧换新资金全部下达</w:t>
      </w:r>
    </w:p>
    <w:p>
      <w:pPr>
        <w:pStyle w:val="Compact"/>
        <w:numPr>
          <w:ilvl w:val="0"/>
          <w:numId w:val="1008"/>
        </w:numPr>
      </w:pPr>
      <w:r>
        <w:rPr>
          <w:rFonts w:hint="eastAsia"/>
          <w:b/>
          <w:bCs/>
        </w:rPr>
        <w:t xml:space="preserve">信号强度：★★★★★｜方向：家电、消费电子、新能源汽车与回收渠道短中期偏利好｜时效：短期至中期</w:t>
      </w:r>
    </w:p>
    <w:p>
      <w:pPr>
        <w:pStyle w:val="Compact"/>
        <w:numPr>
          <w:ilvl w:val="0"/>
          <w:numId w:val="1008"/>
        </w:numPr>
      </w:pPr>
      <w:r>
        <w:rPr>
          <w:rFonts w:hint="eastAsia"/>
          <w:b/>
          <w:bCs/>
        </w:rPr>
        <w:t xml:space="preserve">原文事实：</w:t>
      </w:r>
      <w:r>
        <w:t xml:space="preserve"> </w:t>
      </w:r>
      <w:r>
        <w:rPr>
          <w:rFonts w:hint="eastAsia"/>
        </w:rPr>
        <w:t xml:space="preserve">第四批625亿元资金近日下达，至此全年2500亿元消费品以旧换新资金全部下达。1—8月相关商品销售额达到1.55万亿元，补贴惠及2.08亿人次；汽车以旧换新535.3万辆，6类家电9145.8万台，数码和智能产品购新1.08亿件。通信器材、高能效家电、可穿戴智能设备等零售额保持高速增长，新能源乘用车在乘用车新车零售量中的占比连续5个月超过60%。</w:t>
      </w:r>
    </w:p>
    <w:p>
      <w:pPr>
        <w:pStyle w:val="Compact"/>
        <w:numPr>
          <w:ilvl w:val="0"/>
          <w:numId w:val="1008"/>
        </w:numPr>
      </w:pPr>
      <w:r>
        <w:rPr>
          <w:rFonts w:hint="eastAsia"/>
          <w:b/>
          <w:bCs/>
        </w:rPr>
        <w:t xml:space="preserve">通俗解码：</w:t>
      </w:r>
      <w:r>
        <w:t xml:space="preserve"> </w:t>
      </w:r>
      <w:r>
        <w:rPr>
          <w:rFonts w:hint="eastAsia"/>
        </w:rPr>
        <w:t xml:space="preserve">“全部下达”意味着全年资金配置已完成，政策重点从资金安排转向地方执行、核销和销售兑现。高能效、智能化和新能源是结构升级方向；但销售额和补贴覆盖人数不是企业利润，补贴还可能带来提前消费和价格竞争。</w:t>
      </w:r>
    </w:p>
    <w:p>
      <w:pPr>
        <w:pStyle w:val="Compact"/>
        <w:numPr>
          <w:ilvl w:val="0"/>
          <w:numId w:val="1008"/>
        </w:numPr>
      </w:pPr>
      <w:r>
        <w:rPr>
          <w:rFonts w:hint="eastAsia"/>
          <w:b/>
          <w:bCs/>
        </w:rPr>
        <w:t xml:space="preserve">条件性A股推演：</w:t>
      </w:r>
      <w:r>
        <w:t xml:space="preserve"> </w:t>
      </w:r>
      <w:r>
        <w:rPr>
          <w:rFonts w:hint="eastAsia"/>
        </w:rPr>
        <w:t xml:space="preserve">白色家电、智能家居、手机与通信器材、可穿戴设备、新能源汽车及零部件、零售渠道、回收拆解和循环经济均可能受益。盈利弹性取决于品牌份额、产品结构、促销强度、渠道费用和回款。</w:t>
      </w:r>
    </w:p>
    <w:p>
      <w:pPr>
        <w:pStyle w:val="Compact"/>
        <w:numPr>
          <w:ilvl w:val="0"/>
          <w:numId w:val="1008"/>
        </w:numPr>
      </w:pPr>
      <w:r>
        <w:rPr>
          <w:rFonts w:hint="eastAsia"/>
          <w:b/>
          <w:bCs/>
        </w:rPr>
        <w:t xml:space="preserve">验证与证伪：</w:t>
      </w:r>
      <w:r>
        <w:t xml:space="preserve"> </w:t>
      </w:r>
      <w:r>
        <w:rPr>
          <w:rFonts w:hint="eastAsia"/>
        </w:rPr>
        <w:t xml:space="preserve">跟踪各地补贴细则与核销速度、周度月度销量、均价、库存、折扣、品牌份额、毛利率、渠道应收和经营现金流。若销量只是透支未来需求，或企业以降价换量，政策热度不必然转化为持续利润。</w:t>
      </w:r>
    </w:p>
    <w:bookmarkEnd w:id="16"/>
    <w:bookmarkStart w:id="17" w:name="重点区域生态保护红线保护成效显著"/>
    <w:p>
      <w:pPr>
        <w:pStyle w:val="Heading3"/>
      </w:pPr>
      <w:r>
        <w:t xml:space="preserve">8. </w:t>
      </w:r>
      <w:r>
        <w:rPr>
          <w:rFonts w:hint="eastAsia"/>
        </w:rPr>
        <w:t xml:space="preserve">重点区域生态保护红线保护成效显著</w:t>
      </w:r>
    </w:p>
    <w:p>
      <w:pPr>
        <w:pStyle w:val="Compact"/>
        <w:numPr>
          <w:ilvl w:val="0"/>
          <w:numId w:val="1009"/>
        </w:numPr>
      </w:pPr>
      <w:r>
        <w:rPr>
          <w:rFonts w:hint="eastAsia"/>
          <w:b/>
          <w:bCs/>
        </w:rPr>
        <w:t xml:space="preserve">信号强度：★★★☆☆｜方向：生态监测、水环境治理与自然保护长期正面｜时效：长期</w:t>
      </w:r>
    </w:p>
    <w:p>
      <w:pPr>
        <w:pStyle w:val="Compact"/>
        <w:numPr>
          <w:ilvl w:val="0"/>
          <w:numId w:val="1009"/>
        </w:numPr>
      </w:pPr>
      <w:r>
        <w:rPr>
          <w:rFonts w:hint="eastAsia"/>
          <w:b/>
          <w:bCs/>
        </w:rPr>
        <w:t xml:space="preserve">原文事实：</w:t>
      </w:r>
      <w:r>
        <w:t xml:space="preserve"> </w:t>
      </w:r>
      <w:r>
        <w:rPr>
          <w:rFonts w:hint="eastAsia"/>
        </w:rPr>
        <w:t xml:space="preserve">全国生态保护红线面积约319万平方公里，陆域红线占陆域国土面积超过30%。五年评估显示，长江经济带水生生物栖息地持续恢复；黄河流域水源涵养能力指数提升28.6%；青藏高原重点生物种数保护率提升8.7%；秦岭生物多样性保护增强，海岸带自然岸线保有指数提升；京津冀、长三角和粤港澳大湾区的红线生态功能稳中提质。</w:t>
      </w:r>
    </w:p>
    <w:p>
      <w:pPr>
        <w:pStyle w:val="Compact"/>
        <w:numPr>
          <w:ilvl w:val="0"/>
          <w:numId w:val="1009"/>
        </w:numPr>
      </w:pPr>
      <w:r>
        <w:rPr>
          <w:rFonts w:hint="eastAsia"/>
          <w:b/>
          <w:bCs/>
        </w:rPr>
        <w:t xml:space="preserve">通俗解码：</w:t>
      </w:r>
      <w:r>
        <w:t xml:space="preserve"> </w:t>
      </w:r>
      <w:r>
        <w:rPr>
          <w:rFonts w:hint="eastAsia"/>
        </w:rPr>
        <w:t xml:space="preserve">这是一项五年保护成效评估，说明生态红线制度形成了持续监测和治理需求，但报道没有发布新增治理预算或项目清单。</w:t>
      </w:r>
    </w:p>
    <w:p>
      <w:pPr>
        <w:pStyle w:val="Compact"/>
        <w:numPr>
          <w:ilvl w:val="0"/>
          <w:numId w:val="1009"/>
        </w:numPr>
      </w:pPr>
      <w:r>
        <w:rPr>
          <w:rFonts w:hint="eastAsia"/>
          <w:b/>
          <w:bCs/>
        </w:rPr>
        <w:t xml:space="preserve">条件性A股推演：</w:t>
      </w:r>
      <w:r>
        <w:t xml:space="preserve"> </w:t>
      </w:r>
      <w:r>
        <w:rPr>
          <w:rFonts w:hint="eastAsia"/>
        </w:rPr>
        <w:t xml:space="preserve">生态监测、水环境治理、遥感测绘、生物多样性调查和生态修复可作为长期政策需求方向。</w:t>
      </w:r>
    </w:p>
    <w:p>
      <w:pPr>
        <w:pStyle w:val="Compact"/>
        <w:numPr>
          <w:ilvl w:val="0"/>
          <w:numId w:val="1009"/>
        </w:numPr>
      </w:pPr>
      <w:r>
        <w:rPr>
          <w:rFonts w:hint="eastAsia"/>
          <w:b/>
          <w:bCs/>
        </w:rPr>
        <w:t xml:space="preserve">验证与证伪：</w:t>
      </w:r>
      <w:r>
        <w:t xml:space="preserve"> </w:t>
      </w:r>
      <w:r>
        <w:rPr>
          <w:rFonts w:hint="eastAsia"/>
        </w:rPr>
        <w:t xml:space="preserve">跟踪后续考核办法、预算、监测采购、修复工程招标和回款。若没有新增项目，短线催化有限。</w:t>
      </w:r>
    </w:p>
    <w:bookmarkEnd w:id="17"/>
    <w:bookmarkStart w:id="18" w:name="第二十届亚运会中国队继续夺金"/>
    <w:p>
      <w:pPr>
        <w:pStyle w:val="Heading3"/>
      </w:pPr>
      <w:r>
        <w:t xml:space="preserve">9. </w:t>
      </w:r>
      <w:r>
        <w:rPr>
          <w:rFonts w:hint="eastAsia"/>
        </w:rPr>
        <w:t xml:space="preserve">第二十届亚运会中国队继续夺金</w:t>
      </w:r>
    </w:p>
    <w:p>
      <w:pPr>
        <w:pStyle w:val="Compact"/>
        <w:numPr>
          <w:ilvl w:val="0"/>
          <w:numId w:val="1010"/>
        </w:numPr>
      </w:pPr>
      <w:r>
        <w:rPr>
          <w:rFonts w:hint="eastAsia"/>
          <w:b/>
          <w:bCs/>
        </w:rPr>
        <w:t xml:space="preserve">信号强度：★★☆☆☆｜方向：体育赛事、体育用品和赛事营销事件性正面｜时效：赛事期间</w:t>
      </w:r>
    </w:p>
    <w:p>
      <w:pPr>
        <w:pStyle w:val="Compact"/>
        <w:numPr>
          <w:ilvl w:val="0"/>
          <w:numId w:val="1010"/>
        </w:numPr>
      </w:pPr>
      <w:r>
        <w:rPr>
          <w:rFonts w:hint="eastAsia"/>
          <w:b/>
          <w:bCs/>
        </w:rPr>
        <w:t xml:space="preserve">原文事实：</w:t>
      </w:r>
      <w:r>
        <w:t xml:space="preserve"> </w:t>
      </w:r>
      <w:r>
        <w:rPr>
          <w:rFonts w:hint="eastAsia"/>
        </w:rPr>
        <w:t xml:space="preserve">朱静怡、李梦麒夺得射箭反曲弓混合团体金牌并获得2028年洛杉矶奥运会参赛资格；吴愉夺得拳击女子51公斤级金牌；陈琳夺得皮划艇激流回旋女子极限皮艇金牌，徐林曦获铜牌；王曦雨、张帅包揽网球女单金银牌，实现该项目亚运会六连冠；苑丽颖夺得场地自行车女子争先赛金牌，蒋雨露获铜牌；牛馨冉夺得柔道女子78公斤以上级金牌；张悦彤夺得女子攀石金牌，成为中国攀岩队亚运会个人项目首金；储守宏以4.714秒夺得男子速度攀岩金牌。</w:t>
      </w:r>
    </w:p>
    <w:p>
      <w:pPr>
        <w:pStyle w:val="Compact"/>
        <w:numPr>
          <w:ilvl w:val="0"/>
          <w:numId w:val="1010"/>
        </w:numPr>
      </w:pPr>
      <w:r>
        <w:rPr>
          <w:rFonts w:hint="eastAsia"/>
          <w:b/>
          <w:bCs/>
        </w:rPr>
        <w:t xml:space="preserve">通俗解码：</w:t>
      </w:r>
      <w:r>
        <w:t xml:space="preserve"> </w:t>
      </w:r>
      <w:r>
        <w:rPr>
          <w:rFonts w:hint="eastAsia"/>
        </w:rPr>
        <w:t xml:space="preserve">成绩提升体育关注度和赛事流量，但奖牌不是企业收入，也未披露赞助、门票、转播或商品销售数据。</w:t>
      </w:r>
    </w:p>
    <w:p>
      <w:pPr>
        <w:pStyle w:val="Compact"/>
        <w:numPr>
          <w:ilvl w:val="0"/>
          <w:numId w:val="1010"/>
        </w:numPr>
      </w:pPr>
      <w:r>
        <w:rPr>
          <w:rFonts w:hint="eastAsia"/>
          <w:b/>
          <w:bCs/>
        </w:rPr>
        <w:t xml:space="preserve">条件性A股推演：</w:t>
      </w:r>
      <w:r>
        <w:t xml:space="preserve"> </w:t>
      </w:r>
      <w:r>
        <w:rPr>
          <w:rFonts w:hint="eastAsia"/>
        </w:rPr>
        <w:t xml:space="preserve">体育用品、赛事运营、体育营销、场馆服务和大众健身可能获得短期关注。</w:t>
      </w:r>
    </w:p>
    <w:p>
      <w:pPr>
        <w:pStyle w:val="Compact"/>
        <w:numPr>
          <w:ilvl w:val="0"/>
          <w:numId w:val="1010"/>
        </w:numPr>
      </w:pPr>
      <w:r>
        <w:rPr>
          <w:rFonts w:hint="eastAsia"/>
          <w:b/>
          <w:bCs/>
        </w:rPr>
        <w:t xml:space="preserve">验证与证伪：</w:t>
      </w:r>
      <w:r>
        <w:t xml:space="preserve"> </w:t>
      </w:r>
      <w:r>
        <w:rPr>
          <w:rFonts w:hint="eastAsia"/>
        </w:rPr>
        <w:t xml:space="preserve">跟踪品牌销售、赞助权益、门票、转播、授权商品和平台流量；没有明确商业权益时不作个股映射。</w:t>
      </w:r>
    </w:p>
    <w:bookmarkEnd w:id="18"/>
    <w:bookmarkStart w:id="19" w:name="国庆期间冷空气活跃南方多阴雨"/>
    <w:p>
      <w:pPr>
        <w:pStyle w:val="Heading3"/>
      </w:pPr>
      <w:r>
        <w:t xml:space="preserve">10. </w:t>
      </w:r>
      <w:r>
        <w:rPr>
          <w:rFonts w:hint="eastAsia"/>
        </w:rPr>
        <w:t xml:space="preserve">国庆期间冷空气活跃，南方多阴雨</w:t>
      </w:r>
    </w:p>
    <w:p>
      <w:pPr>
        <w:pStyle w:val="Compact"/>
        <w:numPr>
          <w:ilvl w:val="0"/>
          <w:numId w:val="1011"/>
        </w:numPr>
      </w:pPr>
      <w:r>
        <w:rPr>
          <w:rFonts w:hint="eastAsia"/>
          <w:b/>
          <w:bCs/>
        </w:rPr>
        <w:t xml:space="preserve">信号强度：★★☆☆☆｜方向：假日出行、景区客流和交通安全存在区域性扰动｜时效：10月3日后两天</w:t>
      </w:r>
    </w:p>
    <w:p>
      <w:pPr>
        <w:pStyle w:val="Compact"/>
        <w:numPr>
          <w:ilvl w:val="0"/>
          <w:numId w:val="1011"/>
        </w:numPr>
      </w:pPr>
      <w:r>
        <w:rPr>
          <w:rFonts w:hint="eastAsia"/>
          <w:b/>
          <w:bCs/>
        </w:rPr>
        <w:t xml:space="preserve">原文事实：</w:t>
      </w:r>
      <w:r>
        <w:t xml:space="preserve"> </w:t>
      </w:r>
      <w:r>
        <w:rPr>
          <w:rFonts w:hint="eastAsia"/>
        </w:rPr>
        <w:t xml:space="preserve">东北部分地区最高气温不足15℃，华北至江南最高气温约20℃，华南高温缓解；北方出游整体气象条件适宜。10月3日后两天南方多阴雨，恰逢出游高峰，报道提示携带雨具、驾车减速并注意安全。</w:t>
      </w:r>
    </w:p>
    <w:p>
      <w:pPr>
        <w:pStyle w:val="Compact"/>
        <w:numPr>
          <w:ilvl w:val="0"/>
          <w:numId w:val="1011"/>
        </w:numPr>
      </w:pPr>
      <w:r>
        <w:rPr>
          <w:rFonts w:hint="eastAsia"/>
          <w:b/>
          <w:bCs/>
        </w:rPr>
        <w:t xml:space="preserve">通俗解码：</w:t>
      </w:r>
      <w:r>
        <w:t xml:space="preserve"> </w:t>
      </w:r>
      <w:r>
        <w:rPr>
          <w:rFonts w:hint="eastAsia"/>
        </w:rPr>
        <w:t xml:space="preserve">天气影响具有区域性：北方偏适宜，南方阴雨可能压制户外景区、道路效率和即时客流，同时增加交通保障需求。</w:t>
      </w:r>
    </w:p>
    <w:p>
      <w:pPr>
        <w:pStyle w:val="Compact"/>
        <w:numPr>
          <w:ilvl w:val="0"/>
          <w:numId w:val="1011"/>
        </w:numPr>
      </w:pPr>
      <w:r>
        <w:rPr>
          <w:rFonts w:hint="eastAsia"/>
          <w:b/>
          <w:bCs/>
        </w:rPr>
        <w:t xml:space="preserve">条件性A股推演：</w:t>
      </w:r>
      <w:r>
        <w:t xml:space="preserve"> </w:t>
      </w:r>
      <w:r>
        <w:rPr>
          <w:rFonts w:hint="eastAsia"/>
        </w:rPr>
        <w:t xml:space="preserve">对全国市场不构成主要政策线索；可影响南方景区、户外活动、航空铁路公路运行和雨具等季节性消费，但方向与幅度需要实际天气和客流验证。</w:t>
      </w:r>
    </w:p>
    <w:p>
      <w:pPr>
        <w:pStyle w:val="Compact"/>
        <w:numPr>
          <w:ilvl w:val="0"/>
          <w:numId w:val="1011"/>
        </w:numPr>
      </w:pPr>
      <w:r>
        <w:rPr>
          <w:rFonts w:hint="eastAsia"/>
          <w:b/>
          <w:bCs/>
        </w:rPr>
        <w:t xml:space="preserve">验证与证伪：</w:t>
      </w:r>
      <w:r>
        <w:t xml:space="preserve"> </w:t>
      </w:r>
      <w:r>
        <w:rPr>
          <w:rFonts w:hint="eastAsia"/>
        </w:rPr>
        <w:t xml:space="preserve">跟踪降雨范围、航班和列车运行、景区退订、道路拥堵及实际消费数据，不将天气预报泛化成全国文旅利空。</w:t>
      </w:r>
    </w:p>
    <w:bookmarkEnd w:id="19"/>
    <w:bookmarkStart w:id="20" w:name="国内快讯科技保险风险保障同比增长66.9"/>
    <w:p>
      <w:pPr>
        <w:pStyle w:val="Heading3"/>
      </w:pPr>
      <w:r>
        <w:t xml:space="preserve">11.1 </w:t>
      </w:r>
      <w:r>
        <w:rPr>
          <w:rFonts w:hint="eastAsia"/>
        </w:rPr>
        <w:t xml:space="preserve">国内快讯：科技保险风险保障同比增长66.9%</w:t>
      </w:r>
    </w:p>
    <w:p>
      <w:pPr>
        <w:pStyle w:val="Compact"/>
        <w:numPr>
          <w:ilvl w:val="0"/>
          <w:numId w:val="1012"/>
        </w:numPr>
      </w:pPr>
      <w:r>
        <w:rPr>
          <w:rFonts w:hint="eastAsia"/>
          <w:b/>
          <w:bCs/>
        </w:rPr>
        <w:t xml:space="preserve">信号强度：★★★★☆｜方向：科技保险、保险经纪与硬科技风险管理中期偏利好｜时效：中期</w:t>
      </w:r>
    </w:p>
    <w:p>
      <w:pPr>
        <w:pStyle w:val="Compact"/>
        <w:numPr>
          <w:ilvl w:val="0"/>
          <w:numId w:val="1012"/>
        </w:numPr>
      </w:pPr>
      <w:r>
        <w:rPr>
          <w:rFonts w:hint="eastAsia"/>
          <w:b/>
          <w:bCs/>
        </w:rPr>
        <w:t xml:space="preserve">原文事实：</w:t>
      </w:r>
      <w:r>
        <w:t xml:space="preserve"> </w:t>
      </w:r>
      <w:r>
        <w:rPr>
          <w:rFonts w:hint="eastAsia"/>
        </w:rPr>
        <w:t xml:space="preserve">今年1—8月，科技保险为科技活动提供风险保障8.7万亿元，同比增长66.9%；经营主体由初期4家试点增加到60余家，涉及重大技术装备、重点新材料等领域。</w:t>
      </w:r>
    </w:p>
    <w:p>
      <w:pPr>
        <w:pStyle w:val="Compact"/>
        <w:numPr>
          <w:ilvl w:val="0"/>
          <w:numId w:val="1012"/>
        </w:numPr>
      </w:pPr>
      <w:r>
        <w:rPr>
          <w:rFonts w:hint="eastAsia"/>
          <w:b/>
          <w:bCs/>
        </w:rPr>
        <w:t xml:space="preserve">通俗解码：</w:t>
      </w:r>
      <w:r>
        <w:t xml:space="preserve"> </w:t>
      </w:r>
      <w:r>
        <w:rPr>
          <w:rFonts w:hint="eastAsia"/>
        </w:rPr>
        <w:t xml:space="preserve">科技保险正在从少数试点扩围，服务重大装备和新材料等高风险创新活动。8.7万亿元是承保风险保障额度，不是保费收入，更不是保险公司利润。</w:t>
      </w:r>
    </w:p>
    <w:p>
      <w:pPr>
        <w:pStyle w:val="Compact"/>
        <w:numPr>
          <w:ilvl w:val="0"/>
          <w:numId w:val="1012"/>
        </w:numPr>
      </w:pPr>
      <w:r>
        <w:rPr>
          <w:rFonts w:hint="eastAsia"/>
          <w:b/>
          <w:bCs/>
        </w:rPr>
        <w:t xml:space="preserve">条件性A股推演：</w:t>
      </w:r>
      <w:r>
        <w:t xml:space="preserve"> </w:t>
      </w:r>
      <w:r>
        <w:rPr>
          <w:rFonts w:hint="eastAsia"/>
        </w:rPr>
        <w:t xml:space="preserve">财险、再保险、保险经纪、风险评估和科技企业融资生态可能受益；实际价值取决于保费、费率、赔付率、再保安排和风控能力。</w:t>
      </w:r>
    </w:p>
    <w:p>
      <w:pPr>
        <w:pStyle w:val="Compact"/>
        <w:numPr>
          <w:ilvl w:val="0"/>
          <w:numId w:val="1012"/>
        </w:numPr>
      </w:pPr>
      <w:r>
        <w:rPr>
          <w:rFonts w:hint="eastAsia"/>
          <w:b/>
          <w:bCs/>
        </w:rPr>
        <w:t xml:space="preserve">验证与证伪：</w:t>
      </w:r>
      <w:r>
        <w:t xml:space="preserve"> </w:t>
      </w:r>
      <w:r>
        <w:rPr>
          <w:rFonts w:hint="eastAsia"/>
        </w:rPr>
        <w:t xml:space="preserve">跟踪科技保险保费收入、产品结构、赔付率、承保利润、客户数及监管政策，不能用保障额度替代盈利指标。</w:t>
      </w:r>
    </w:p>
    <w:bookmarkEnd w:id="20"/>
    <w:bookmarkStart w:id="21" w:name="国内快讯前8个月国土绿化近7000万亩"/>
    <w:p>
      <w:pPr>
        <w:pStyle w:val="Heading3"/>
      </w:pPr>
      <w:r>
        <w:t xml:space="preserve">11.2 </w:t>
      </w:r>
      <w:r>
        <w:rPr>
          <w:rFonts w:hint="eastAsia"/>
        </w:rPr>
        <w:t xml:space="preserve">国内快讯：前8个月国土绿化近7000万亩</w:t>
      </w:r>
    </w:p>
    <w:p>
      <w:pPr>
        <w:pStyle w:val="Compact"/>
        <w:numPr>
          <w:ilvl w:val="0"/>
          <w:numId w:val="1013"/>
        </w:numPr>
      </w:pPr>
      <w:r>
        <w:rPr>
          <w:rFonts w:hint="eastAsia"/>
          <w:b/>
          <w:bCs/>
        </w:rPr>
        <w:t xml:space="preserve">信号强度：★★★☆☆｜方向：林草生态、苗木养护、生态旅游和林业产业长期正面｜时效：中长期</w:t>
      </w:r>
    </w:p>
    <w:p>
      <w:pPr>
        <w:pStyle w:val="Compact"/>
        <w:numPr>
          <w:ilvl w:val="0"/>
          <w:numId w:val="1013"/>
        </w:numPr>
      </w:pPr>
      <w:r>
        <w:rPr>
          <w:rFonts w:hint="eastAsia"/>
          <w:b/>
          <w:bCs/>
        </w:rPr>
        <w:t xml:space="preserve">原文事实：</w:t>
      </w:r>
      <w:r>
        <w:t xml:space="preserve"> </w:t>
      </w:r>
      <w:r>
        <w:rPr>
          <w:rFonts w:hint="eastAsia"/>
        </w:rPr>
        <w:t xml:space="preserve">“十五五”开局之年前8个月，全国完成国土绿化近7000万亩，林草产业总产值6万亿元，生态旅游接待16亿人次。</w:t>
      </w:r>
    </w:p>
    <w:p>
      <w:pPr>
        <w:pStyle w:val="Compact"/>
        <w:numPr>
          <w:ilvl w:val="0"/>
          <w:numId w:val="1013"/>
        </w:numPr>
      </w:pPr>
      <w:r>
        <w:rPr>
          <w:rFonts w:hint="eastAsia"/>
          <w:b/>
          <w:bCs/>
        </w:rPr>
        <w:t xml:space="preserve">通俗解码：</w:t>
      </w:r>
      <w:r>
        <w:t xml:space="preserve"> </w:t>
      </w:r>
      <w:r>
        <w:rPr>
          <w:rFonts w:hint="eastAsia"/>
        </w:rPr>
        <w:t xml:space="preserve">国土绿化、林草产业和生态旅游已形成较大规模，但总产值和接待人次是宏观口径，不能直接映射某家上市公司。</w:t>
      </w:r>
    </w:p>
    <w:p>
      <w:pPr>
        <w:pStyle w:val="Compact"/>
        <w:numPr>
          <w:ilvl w:val="0"/>
          <w:numId w:val="1013"/>
        </w:numPr>
      </w:pPr>
      <w:r>
        <w:rPr>
          <w:rFonts w:hint="eastAsia"/>
          <w:b/>
          <w:bCs/>
        </w:rPr>
        <w:t xml:space="preserve">条件性A股推演：</w:t>
      </w:r>
      <w:r>
        <w:t xml:space="preserve"> </w:t>
      </w:r>
      <w:r>
        <w:rPr>
          <w:rFonts w:hint="eastAsia"/>
        </w:rPr>
        <w:t xml:space="preserve">生态修复、林业经营、苗木与养护、林下经济和生态旅游可获得长期关注。</w:t>
      </w:r>
    </w:p>
    <w:p>
      <w:pPr>
        <w:pStyle w:val="Compact"/>
        <w:numPr>
          <w:ilvl w:val="0"/>
          <w:numId w:val="1013"/>
        </w:numPr>
      </w:pPr>
      <w:r>
        <w:rPr>
          <w:rFonts w:hint="eastAsia"/>
          <w:b/>
          <w:bCs/>
        </w:rPr>
        <w:t xml:space="preserve">验证与证伪：</w:t>
      </w:r>
      <w:r>
        <w:t xml:space="preserve"> </w:t>
      </w:r>
      <w:r>
        <w:rPr>
          <w:rFonts w:hint="eastAsia"/>
        </w:rPr>
        <w:t xml:space="preserve">跟踪中央和地方项目、招标、单亩投入、林产品价格、景区客单价及企业权益，警惕宏观大数引发锚定偏差。</w:t>
      </w:r>
    </w:p>
    <w:bookmarkEnd w:id="21"/>
    <w:bookmarkStart w:id="22" w:name="国内快讯国铁集团铁路货物运输规程实施"/>
    <w:p>
      <w:pPr>
        <w:pStyle w:val="Heading3"/>
      </w:pPr>
      <w:r>
        <w:t xml:space="preserve">11.3 </w:t>
      </w:r>
      <w:r>
        <w:rPr>
          <w:rFonts w:hint="eastAsia"/>
        </w:rPr>
        <w:t xml:space="preserve">国内快讯：《国铁集团铁路货物运输规程》实施</w:t>
      </w:r>
    </w:p>
    <w:p>
      <w:pPr>
        <w:pStyle w:val="Compact"/>
        <w:numPr>
          <w:ilvl w:val="0"/>
          <w:numId w:val="1014"/>
        </w:numPr>
      </w:pPr>
      <w:r>
        <w:rPr>
          <w:rFonts w:hint="eastAsia"/>
          <w:b/>
          <w:bCs/>
        </w:rPr>
        <w:t xml:space="preserve">信号强度：★★★☆☆｜方向：铁路货运服务质量与货主权益改善，中性偏正面｜时效：自10月1日起</w:t>
      </w:r>
    </w:p>
    <w:p>
      <w:pPr>
        <w:pStyle w:val="Compact"/>
        <w:numPr>
          <w:ilvl w:val="0"/>
          <w:numId w:val="1014"/>
        </w:numPr>
      </w:pPr>
      <w:r>
        <w:rPr>
          <w:rFonts w:hint="eastAsia"/>
          <w:b/>
          <w:bCs/>
        </w:rPr>
        <w:t xml:space="preserve">原文事实：</w:t>
      </w:r>
      <w:r>
        <w:t xml:space="preserve"> </w:t>
      </w:r>
      <w:r>
        <w:rPr>
          <w:rFonts w:hint="eastAsia"/>
        </w:rPr>
        <w:t xml:space="preserve">新规程修订多项铁路货运细则，将托运人向承运人提出赔偿或退补费用的有效期由180天改为三年，并将易腐货物容许运到期限缩短一天。</w:t>
      </w:r>
    </w:p>
    <w:p>
      <w:pPr>
        <w:pStyle w:val="Compact"/>
        <w:numPr>
          <w:ilvl w:val="0"/>
          <w:numId w:val="1014"/>
        </w:numPr>
      </w:pPr>
      <w:r>
        <w:rPr>
          <w:rFonts w:hint="eastAsia"/>
          <w:b/>
          <w:bCs/>
        </w:rPr>
        <w:t xml:space="preserve">通俗解码：</w:t>
      </w:r>
      <w:r>
        <w:t xml:space="preserve"> </w:t>
      </w:r>
      <w:r>
        <w:rPr>
          <w:rFonts w:hint="eastAsia"/>
        </w:rPr>
        <w:t xml:space="preserve">规则提高货主维权期限，也对易腐货物时效提出更高要求。它有助于服务规范化，但可能同步增加承运方的履约、理赔和运营管理压力。</w:t>
      </w:r>
    </w:p>
    <w:p>
      <w:pPr>
        <w:pStyle w:val="Compact"/>
        <w:numPr>
          <w:ilvl w:val="0"/>
          <w:numId w:val="1014"/>
        </w:numPr>
      </w:pPr>
      <w:r>
        <w:rPr>
          <w:rFonts w:hint="eastAsia"/>
          <w:b/>
          <w:bCs/>
        </w:rPr>
        <w:t xml:space="preserve">条件性A股推演：</w:t>
      </w:r>
      <w:r>
        <w:t xml:space="preserve"> </w:t>
      </w:r>
      <w:r>
        <w:rPr>
          <w:rFonts w:hint="eastAsia"/>
        </w:rPr>
        <w:t xml:space="preserve">铁路货运、冷链物流、货运信息化和供应链管理方向中性偏正面；承运主体成本端需观察。</w:t>
      </w:r>
    </w:p>
    <w:p>
      <w:pPr>
        <w:pStyle w:val="Compact"/>
        <w:numPr>
          <w:ilvl w:val="0"/>
          <w:numId w:val="1014"/>
        </w:numPr>
      </w:pPr>
      <w:r>
        <w:rPr>
          <w:rFonts w:hint="eastAsia"/>
          <w:b/>
          <w:bCs/>
        </w:rPr>
        <w:t xml:space="preserve">验证与证伪：</w:t>
      </w:r>
      <w:r>
        <w:t xml:space="preserve"> </w:t>
      </w:r>
      <w:r>
        <w:rPr>
          <w:rFonts w:hint="eastAsia"/>
        </w:rPr>
        <w:t xml:space="preserve">跟踪铁路货运量、时效、索赔与退补费用、冷链货源和数字化投入。若理赔及履约成本明显上升，利润影响可能与需求改善相抵。</w:t>
      </w:r>
    </w:p>
    <w:bookmarkEnd w:id="22"/>
    <w:bookmarkStart w:id="23" w:name="国内快讯首个三塔光伏光热基地并网发电"/>
    <w:p>
      <w:pPr>
        <w:pStyle w:val="Heading3"/>
      </w:pPr>
      <w:r>
        <w:t xml:space="preserve">11.4 </w:t>
      </w:r>
      <w:r>
        <w:rPr>
          <w:rFonts w:hint="eastAsia"/>
        </w:rPr>
        <w:t xml:space="preserve">国内快讯：首个三塔光伏光热基地并网发电</w:t>
      </w:r>
    </w:p>
    <w:p>
      <w:pPr>
        <w:pStyle w:val="Compact"/>
        <w:numPr>
          <w:ilvl w:val="0"/>
          <w:numId w:val="1015"/>
        </w:numPr>
      </w:pPr>
      <w:r>
        <w:rPr>
          <w:rFonts w:hint="eastAsia"/>
          <w:b/>
          <w:bCs/>
        </w:rPr>
        <w:t xml:space="preserve">信号强度：★★★★☆｜方向：光伏光热一体化、储热与新能源工程中长期偏利好｜时效：中长期</w:t>
      </w:r>
    </w:p>
    <w:p>
      <w:pPr>
        <w:pStyle w:val="Compact"/>
        <w:numPr>
          <w:ilvl w:val="0"/>
          <w:numId w:val="1015"/>
        </w:numPr>
      </w:pPr>
      <w:r>
        <w:rPr>
          <w:rFonts w:hint="eastAsia"/>
          <w:b/>
          <w:bCs/>
        </w:rPr>
        <w:t xml:space="preserve">原文事实：</w:t>
      </w:r>
      <w:r>
        <w:t xml:space="preserve"> </w:t>
      </w:r>
      <w:r>
        <w:rPr>
          <w:rFonts w:hint="eastAsia"/>
        </w:rPr>
        <w:t xml:space="preserve">青海共和光伏光热一体化清洁能源项目成功并网发电，总装机115万千瓦，年均上网电量可达25.3亿度，每年可节约标准煤79.4万吨。</w:t>
      </w:r>
    </w:p>
    <w:p>
      <w:pPr>
        <w:pStyle w:val="Compact"/>
        <w:numPr>
          <w:ilvl w:val="0"/>
          <w:numId w:val="1015"/>
        </w:numPr>
      </w:pPr>
      <w:r>
        <w:rPr>
          <w:rFonts w:hint="eastAsia"/>
          <w:b/>
          <w:bCs/>
        </w:rPr>
        <w:t xml:space="preserve">通俗解码：</w:t>
      </w:r>
      <w:r>
        <w:t xml:space="preserve"> </w:t>
      </w:r>
      <w:r>
        <w:rPr>
          <w:rFonts w:hint="eastAsia"/>
        </w:rPr>
        <w:t xml:space="preserve">项目从建设阶段进入并网运行阶段，光伏与光热一体化体现清洁能源的组合开发。报道确认的是单个项目及其设计/预计指标，不代表全国新增项目规模。</w:t>
      </w:r>
    </w:p>
    <w:p>
      <w:pPr>
        <w:pStyle w:val="Compact"/>
        <w:numPr>
          <w:ilvl w:val="0"/>
          <w:numId w:val="1015"/>
        </w:numPr>
      </w:pPr>
      <w:r>
        <w:rPr>
          <w:rFonts w:hint="eastAsia"/>
          <w:b/>
          <w:bCs/>
        </w:rPr>
        <w:t xml:space="preserve">条件性A股推演：</w:t>
      </w:r>
      <w:r>
        <w:t xml:space="preserve"> </w:t>
      </w:r>
      <w:r>
        <w:rPr>
          <w:rFonts w:hint="eastAsia"/>
        </w:rPr>
        <w:t xml:space="preserve">光热发电、储热材料、镜场设备、EPC、光伏配套、电网接入和运维方向具有示范意义。</w:t>
      </w:r>
    </w:p>
    <w:p>
      <w:pPr>
        <w:pStyle w:val="Compact"/>
        <w:numPr>
          <w:ilvl w:val="0"/>
          <w:numId w:val="1015"/>
        </w:numPr>
      </w:pPr>
      <w:r>
        <w:rPr>
          <w:rFonts w:hint="eastAsia"/>
          <w:b/>
          <w:bCs/>
        </w:rPr>
        <w:t xml:space="preserve">验证与证伪：</w:t>
      </w:r>
      <w:r>
        <w:t xml:space="preserve"> </w:t>
      </w:r>
      <w:r>
        <w:rPr>
          <w:rFonts w:hint="eastAsia"/>
        </w:rPr>
        <w:t xml:space="preserve">跟踪实际发电量、利用小时、电价、消纳、运行稳定性、成本和回款，以及后续同类项目招标。预计发电量不能直接当作实际收入。</w:t>
      </w:r>
    </w:p>
    <w:bookmarkEnd w:id="23"/>
    <w:bookmarkStart w:id="24" w:name="国内快讯首台国产变速抽水蓄能机组主体安装完成"/>
    <w:p>
      <w:pPr>
        <w:pStyle w:val="Heading3"/>
      </w:pPr>
      <w:r>
        <w:t xml:space="preserve">11.5 </w:t>
      </w:r>
      <w:r>
        <w:rPr>
          <w:rFonts w:hint="eastAsia"/>
        </w:rPr>
        <w:t xml:space="preserve">国内快讯：首台国产变速抽水蓄能机组主体安装完成</w:t>
      </w:r>
    </w:p>
    <w:p>
      <w:pPr>
        <w:pStyle w:val="Compact"/>
        <w:numPr>
          <w:ilvl w:val="0"/>
          <w:numId w:val="1016"/>
        </w:numPr>
      </w:pPr>
      <w:r>
        <w:rPr>
          <w:rFonts w:hint="eastAsia"/>
          <w:b/>
          <w:bCs/>
        </w:rPr>
        <w:t xml:space="preserve">信号强度：★★★★☆｜方向：抽水蓄能、变速机组、电网调节设备中长期偏利好｜时效：至2027年及以后</w:t>
      </w:r>
    </w:p>
    <w:p>
      <w:pPr>
        <w:pStyle w:val="Compact"/>
        <w:numPr>
          <w:ilvl w:val="0"/>
          <w:numId w:val="1016"/>
        </w:numPr>
      </w:pPr>
      <w:r>
        <w:rPr>
          <w:rFonts w:hint="eastAsia"/>
          <w:b/>
          <w:bCs/>
        </w:rPr>
        <w:t xml:space="preserve">原文事实：</w:t>
      </w:r>
      <w:r>
        <w:t xml:space="preserve"> </w:t>
      </w:r>
      <w:r>
        <w:rPr>
          <w:rFonts w:hint="eastAsia"/>
        </w:rPr>
        <w:t xml:space="preserve">我国首台国产变速抽水蓄能机组在广东肇庆浪江抽蓄工程完成主体安装；工程预计2027年上半年全面投产，每年可消纳清洁能源超过21亿度，相应减少二氧化碳排放约190万吨。</w:t>
      </w:r>
    </w:p>
    <w:p>
      <w:pPr>
        <w:pStyle w:val="Compact"/>
        <w:numPr>
          <w:ilvl w:val="0"/>
          <w:numId w:val="1016"/>
        </w:numPr>
      </w:pPr>
      <w:r>
        <w:rPr>
          <w:rFonts w:hint="eastAsia"/>
          <w:b/>
          <w:bCs/>
        </w:rPr>
        <w:t xml:space="preserve">通俗解码：</w:t>
      </w:r>
      <w:r>
        <w:t xml:space="preserve"> </w:t>
      </w:r>
      <w:r>
        <w:rPr>
          <w:rFonts w:hint="eastAsia"/>
        </w:rPr>
        <w:t xml:space="preserve">“首台国产”和“主体安装完成”具有技术自主化和工程进度意义，但尚未等于全面投产或稳定商业运行。</w:t>
      </w:r>
    </w:p>
    <w:p>
      <w:pPr>
        <w:pStyle w:val="Compact"/>
        <w:numPr>
          <w:ilvl w:val="0"/>
          <w:numId w:val="1016"/>
        </w:numPr>
      </w:pPr>
      <w:r>
        <w:rPr>
          <w:rFonts w:hint="eastAsia"/>
          <w:b/>
          <w:bCs/>
        </w:rPr>
        <w:t xml:space="preserve">条件性A股推演：</w:t>
      </w:r>
      <w:r>
        <w:t xml:space="preserve"> </w:t>
      </w:r>
      <w:r>
        <w:rPr>
          <w:rFonts w:hint="eastAsia"/>
        </w:rPr>
        <w:t xml:space="preserve">抽水蓄能主机、变频控制、电力电子、工程建设、电网调度和运维可能受益于后续项目推广。</w:t>
      </w:r>
    </w:p>
    <w:p>
      <w:pPr>
        <w:pStyle w:val="Compact"/>
        <w:numPr>
          <w:ilvl w:val="0"/>
          <w:numId w:val="1016"/>
        </w:numPr>
      </w:pPr>
      <w:r>
        <w:rPr>
          <w:rFonts w:hint="eastAsia"/>
          <w:b/>
          <w:bCs/>
        </w:rPr>
        <w:t xml:space="preserve">验证与证伪：</w:t>
      </w:r>
      <w:r>
        <w:t xml:space="preserve"> </w:t>
      </w:r>
      <w:r>
        <w:rPr>
          <w:rFonts w:hint="eastAsia"/>
        </w:rPr>
        <w:t xml:space="preserve">跟踪调试、并网、全面投产时间、效率、可靠性、后续采购和项目回款。若调试延期或成本超预期，示范效应需下调。</w:t>
      </w:r>
    </w:p>
    <w:bookmarkEnd w:id="24"/>
    <w:bookmarkStart w:id="25" w:name="国内快讯一刻钟便民生活服务月启动"/>
    <w:p>
      <w:pPr>
        <w:pStyle w:val="Heading3"/>
      </w:pPr>
      <w:r>
        <w:t xml:space="preserve">11.6 </w:t>
      </w:r>
      <w:r>
        <w:rPr>
          <w:rFonts w:hint="eastAsia"/>
        </w:rPr>
        <w:t xml:space="preserve">国内快讯：“一刻钟便民生活服务月”启动</w:t>
      </w:r>
    </w:p>
    <w:p>
      <w:pPr>
        <w:pStyle w:val="Compact"/>
        <w:numPr>
          <w:ilvl w:val="0"/>
          <w:numId w:val="1017"/>
        </w:numPr>
      </w:pPr>
      <w:r>
        <w:rPr>
          <w:rFonts w:hint="eastAsia"/>
          <w:b/>
          <w:bCs/>
        </w:rPr>
        <w:t xml:space="preserve">信号强度：★★★☆☆｜方向：养老家政、母婴亲子、社区商业和绿色食品短期偏利好｜时效：10月活动期</w:t>
      </w:r>
    </w:p>
    <w:p>
      <w:pPr>
        <w:pStyle w:val="Compact"/>
        <w:numPr>
          <w:ilvl w:val="0"/>
          <w:numId w:val="1017"/>
        </w:numPr>
      </w:pPr>
      <w:r>
        <w:rPr>
          <w:rFonts w:hint="eastAsia"/>
          <w:b/>
          <w:bCs/>
        </w:rPr>
        <w:t xml:space="preserve">原文事实：</w:t>
      </w:r>
      <w:r>
        <w:t xml:space="preserve"> </w:t>
      </w:r>
      <w:r>
        <w:rPr>
          <w:rFonts w:hint="eastAsia"/>
        </w:rPr>
        <w:t xml:space="preserve">第四届活动10月1日启动，各地鼓励养老机构和家政企业开展助洁、助浴等上门服务，组织母婴店、亲子餐厅开展优惠促销，推动绿色食品、有机农产品展销进社区。</w:t>
      </w:r>
    </w:p>
    <w:p>
      <w:pPr>
        <w:pStyle w:val="Compact"/>
        <w:numPr>
          <w:ilvl w:val="0"/>
          <w:numId w:val="1017"/>
        </w:numPr>
      </w:pPr>
      <w:r>
        <w:rPr>
          <w:rFonts w:hint="eastAsia"/>
          <w:b/>
          <w:bCs/>
        </w:rPr>
        <w:t xml:space="preserve">通俗解码：</w:t>
      </w:r>
      <w:r>
        <w:t xml:space="preserve"> </w:t>
      </w:r>
      <w:r>
        <w:rPr>
          <w:rFonts w:hint="eastAsia"/>
        </w:rPr>
        <w:t xml:space="preserve">政策意图是把生活服务送到社区，提高便民消费可达性。当前表述以“鼓励”和活动促销为主，没有补贴金额或强制采购。</w:t>
      </w:r>
    </w:p>
    <w:p>
      <w:pPr>
        <w:pStyle w:val="Compact"/>
        <w:numPr>
          <w:ilvl w:val="0"/>
          <w:numId w:val="1017"/>
        </w:numPr>
      </w:pPr>
      <w:r>
        <w:rPr>
          <w:rFonts w:hint="eastAsia"/>
          <w:b/>
          <w:bCs/>
        </w:rPr>
        <w:t xml:space="preserve">条件性A股推演：</w:t>
      </w:r>
      <w:r>
        <w:t xml:space="preserve"> </w:t>
      </w:r>
      <w:r>
        <w:rPr>
          <w:rFonts w:hint="eastAsia"/>
        </w:rPr>
        <w:t xml:space="preserve">居家养老、家政平台、社区零售、母婴消费、餐饮和绿色食品可能获得短期需求曝光。</w:t>
      </w:r>
    </w:p>
    <w:p>
      <w:pPr>
        <w:pStyle w:val="Compact"/>
        <w:numPr>
          <w:ilvl w:val="0"/>
          <w:numId w:val="1017"/>
        </w:numPr>
      </w:pPr>
      <w:r>
        <w:rPr>
          <w:rFonts w:hint="eastAsia"/>
          <w:b/>
          <w:bCs/>
        </w:rPr>
        <w:t xml:space="preserve">验证与证伪：</w:t>
      </w:r>
      <w:r>
        <w:t xml:space="preserve"> </w:t>
      </w:r>
      <w:r>
        <w:rPr>
          <w:rFonts w:hint="eastAsia"/>
        </w:rPr>
        <w:t xml:space="preserve">跟踪参与城市、活动订单、复购、获客成本、补贴和平台抽佣；一次性促销不等于持续盈利模式。</w:t>
      </w:r>
    </w:p>
    <w:bookmarkEnd w:id="25"/>
    <w:bookmarkStart w:id="26" w:name="国内快讯高校毕业生秋季专场推出89场就业服务活动"/>
    <w:p>
      <w:pPr>
        <w:pStyle w:val="Heading3"/>
      </w:pPr>
      <w:r>
        <w:t xml:space="preserve">11.7 </w:t>
      </w:r>
      <w:r>
        <w:rPr>
          <w:rFonts w:hint="eastAsia"/>
        </w:rPr>
        <w:t xml:space="preserve">国内快讯：高校毕业生秋季专场推出89场就业服务活动</w:t>
      </w:r>
    </w:p>
    <w:p>
      <w:pPr>
        <w:pStyle w:val="Compact"/>
        <w:numPr>
          <w:ilvl w:val="0"/>
          <w:numId w:val="1018"/>
        </w:numPr>
      </w:pPr>
      <w:r>
        <w:rPr>
          <w:rFonts w:hint="eastAsia"/>
          <w:b/>
          <w:bCs/>
        </w:rPr>
        <w:t xml:space="preserve">信号强度：★★★☆☆｜方向：招聘服务、人力资源与新兴产业人才供给中性偏正面｜时效：10月起</w:t>
      </w:r>
    </w:p>
    <w:p>
      <w:pPr>
        <w:pStyle w:val="Compact"/>
        <w:numPr>
          <w:ilvl w:val="0"/>
          <w:numId w:val="1018"/>
        </w:numPr>
      </w:pPr>
      <w:r>
        <w:rPr>
          <w:rFonts w:hint="eastAsia"/>
          <w:b/>
          <w:bCs/>
        </w:rPr>
        <w:t xml:space="preserve">原文事实：</w:t>
      </w:r>
      <w:r>
        <w:t xml:space="preserve"> </w:t>
      </w:r>
      <w:r>
        <w:rPr>
          <w:rFonts w:hint="eastAsia"/>
        </w:rPr>
        <w:t xml:space="preserve">2026年全国城市联合招聘高校毕业生秋季专场将推出89场就业服务活动，其中69场面向低空经济、新能源、现代服务等行业领域，采用线上线下形式，高校毕业生和用人单位可通过中国国家人才网参与。</w:t>
      </w:r>
    </w:p>
    <w:p>
      <w:pPr>
        <w:pStyle w:val="Compact"/>
        <w:numPr>
          <w:ilvl w:val="0"/>
          <w:numId w:val="1018"/>
        </w:numPr>
      </w:pPr>
      <w:r>
        <w:rPr>
          <w:rFonts w:hint="eastAsia"/>
          <w:b/>
          <w:bCs/>
        </w:rPr>
        <w:t xml:space="preserve">通俗解码：</w:t>
      </w:r>
      <w:r>
        <w:t xml:space="preserve"> </w:t>
      </w:r>
      <w:r>
        <w:rPr>
          <w:rFonts w:hint="eastAsia"/>
        </w:rPr>
        <w:t xml:space="preserve">这是就业服务供给和重点行业人才对接安排，69场行业专场显示低空经济、新能源和现代服务的人才需求受到重视，但招聘会数量不是企业订单或行业景气的充分证明。</w:t>
      </w:r>
    </w:p>
    <w:p>
      <w:pPr>
        <w:pStyle w:val="Compact"/>
        <w:numPr>
          <w:ilvl w:val="0"/>
          <w:numId w:val="1018"/>
        </w:numPr>
      </w:pPr>
      <w:r>
        <w:rPr>
          <w:rFonts w:hint="eastAsia"/>
          <w:b/>
          <w:bCs/>
        </w:rPr>
        <w:t xml:space="preserve">条件性A股推演：</w:t>
      </w:r>
      <w:r>
        <w:t xml:space="preserve"> </w:t>
      </w:r>
      <w:r>
        <w:rPr>
          <w:rFonts w:hint="eastAsia"/>
        </w:rPr>
        <w:t xml:space="preserve">人力资源服务、在线招聘和职业培训可能受益；低空经济、新能源和现代服务更多是人才需求方向提示。</w:t>
      </w:r>
    </w:p>
    <w:p>
      <w:pPr>
        <w:pStyle w:val="Compact"/>
        <w:numPr>
          <w:ilvl w:val="0"/>
          <w:numId w:val="1018"/>
        </w:numPr>
      </w:pPr>
      <w:r>
        <w:rPr>
          <w:rFonts w:hint="eastAsia"/>
          <w:b/>
          <w:bCs/>
        </w:rPr>
        <w:t xml:space="preserve">验证与证伪：</w:t>
      </w:r>
      <w:r>
        <w:t xml:space="preserve"> </w:t>
      </w:r>
      <w:r>
        <w:rPr>
          <w:rFonts w:hint="eastAsia"/>
        </w:rPr>
        <w:t xml:space="preserve">跟踪岗位数、招聘完成率、薪资、企业参会、培训付费和平台收入；若岗位质量或转化率偏低，活动数量的经济含义有限。</w:t>
      </w:r>
    </w:p>
    <w:bookmarkEnd w:id="26"/>
    <w:bookmarkStart w:id="27" w:name="驻多国使馆举办国庆活动"/>
    <w:p>
      <w:pPr>
        <w:pStyle w:val="Heading3"/>
      </w:pPr>
      <w:r>
        <w:t xml:space="preserve">12. </w:t>
      </w:r>
      <w:r>
        <w:rPr>
          <w:rFonts w:hint="eastAsia"/>
        </w:rPr>
        <w:t xml:space="preserve">驻多国使馆举办国庆活动</w:t>
      </w:r>
    </w:p>
    <w:p>
      <w:pPr>
        <w:pStyle w:val="Compact"/>
        <w:numPr>
          <w:ilvl w:val="0"/>
          <w:numId w:val="1019"/>
        </w:numPr>
      </w:pPr>
      <w:r>
        <w:rPr>
          <w:rFonts w:hint="eastAsia"/>
          <w:b/>
          <w:bCs/>
        </w:rPr>
        <w:t xml:space="preserve">信号强度：★★☆☆☆｜方向：双边合作环境长期轻度正面｜时效：长期</w:t>
      </w:r>
    </w:p>
    <w:p>
      <w:pPr>
        <w:pStyle w:val="Compact"/>
        <w:numPr>
          <w:ilvl w:val="0"/>
          <w:numId w:val="1019"/>
        </w:numPr>
      </w:pPr>
      <w:r>
        <w:rPr>
          <w:rFonts w:hint="eastAsia"/>
          <w:b/>
          <w:bCs/>
        </w:rPr>
        <w:t xml:space="preserve">原文事实：</w:t>
      </w:r>
      <w:r>
        <w:t xml:space="preserve"> </w:t>
      </w:r>
      <w:r>
        <w:rPr>
          <w:rFonts w:hint="eastAsia"/>
        </w:rPr>
        <w:t xml:space="preserve">中国驻俄罗斯、巴基斯坦、老挝、南非、越南、爱尔兰、加拿大、多哥、智利等国使馆举行国庆活动，多国嘉宾评价中国发展成就并表达推进友好合作的期待。</w:t>
      </w:r>
    </w:p>
    <w:p>
      <w:pPr>
        <w:pStyle w:val="Compact"/>
        <w:numPr>
          <w:ilvl w:val="0"/>
          <w:numId w:val="1019"/>
        </w:numPr>
      </w:pPr>
      <w:r>
        <w:rPr>
          <w:rFonts w:hint="eastAsia"/>
          <w:b/>
          <w:bCs/>
        </w:rPr>
        <w:t xml:space="preserve">通俗解码：</w:t>
      </w:r>
      <w:r>
        <w:t xml:space="preserve"> </w:t>
      </w:r>
      <w:r>
        <w:rPr>
          <w:rFonts w:hint="eastAsia"/>
        </w:rPr>
        <w:t xml:space="preserve">这是公共外交和关系维护，表达的是合作意愿，不是经贸协议、项目合同或关税变化。</w:t>
      </w:r>
    </w:p>
    <w:p>
      <w:pPr>
        <w:pStyle w:val="Compact"/>
        <w:numPr>
          <w:ilvl w:val="0"/>
          <w:numId w:val="1019"/>
        </w:numPr>
      </w:pPr>
      <w:r>
        <w:rPr>
          <w:rFonts w:hint="eastAsia"/>
          <w:b/>
          <w:bCs/>
        </w:rPr>
        <w:t xml:space="preserve">条件性A股推演：</w:t>
      </w:r>
      <w:r>
        <w:t xml:space="preserve"> </w:t>
      </w:r>
      <w:r>
        <w:rPr>
          <w:rFonts w:hint="eastAsia"/>
        </w:rPr>
        <w:t xml:space="preserve">对上述国家有业务的贸易物流、工程服务和跨境产业可获得长期环境观察，但短期缺少量化催化。</w:t>
      </w:r>
    </w:p>
    <w:p>
      <w:pPr>
        <w:pStyle w:val="Compact"/>
        <w:numPr>
          <w:ilvl w:val="0"/>
          <w:numId w:val="1019"/>
        </w:numPr>
      </w:pPr>
      <w:r>
        <w:rPr>
          <w:rFonts w:hint="eastAsia"/>
          <w:b/>
          <w:bCs/>
        </w:rPr>
        <w:t xml:space="preserve">验证与证伪：</w:t>
      </w:r>
      <w:r>
        <w:t xml:space="preserve"> </w:t>
      </w:r>
      <w:r>
        <w:rPr>
          <w:rFonts w:hint="eastAsia"/>
        </w:rPr>
        <w:t xml:space="preserve">等待正式协议、项目清单、投资审批、贸易数据或公司公告后再提高评级。</w:t>
      </w:r>
    </w:p>
    <w:bookmarkEnd w:id="27"/>
    <w:bookmarkStart w:id="28" w:name="国际快讯俄匈相互驱逐外交人员"/>
    <w:p>
      <w:pPr>
        <w:pStyle w:val="Heading3"/>
      </w:pPr>
      <w:r>
        <w:t xml:space="preserve">13.1 </w:t>
      </w:r>
      <w:r>
        <w:rPr>
          <w:rFonts w:hint="eastAsia"/>
        </w:rPr>
        <w:t xml:space="preserve">国际快讯：俄匈相互驱逐外交人员</w:t>
      </w:r>
    </w:p>
    <w:p>
      <w:pPr>
        <w:pStyle w:val="Compact"/>
        <w:numPr>
          <w:ilvl w:val="0"/>
          <w:numId w:val="1020"/>
        </w:numPr>
      </w:pPr>
      <w:r>
        <w:rPr>
          <w:rFonts w:hint="eastAsia"/>
          <w:b/>
          <w:bCs/>
        </w:rPr>
        <w:t xml:space="preserve">信号强度：★★★☆☆｜方向：欧洲地缘关系与风险偏好轻度负面｜时效：短期事件性</w:t>
      </w:r>
    </w:p>
    <w:p>
      <w:pPr>
        <w:pStyle w:val="Compact"/>
        <w:numPr>
          <w:ilvl w:val="0"/>
          <w:numId w:val="1020"/>
        </w:numPr>
      </w:pPr>
      <w:r>
        <w:rPr>
          <w:rFonts w:hint="eastAsia"/>
          <w:b/>
          <w:bCs/>
        </w:rPr>
        <w:t xml:space="preserve">原文事实：</w:t>
      </w:r>
      <w:r>
        <w:t xml:space="preserve"> </w:t>
      </w:r>
      <w:r>
        <w:rPr>
          <w:rFonts w:hint="eastAsia"/>
        </w:rPr>
        <w:t xml:space="preserve">俄罗斯外交部召见匈牙利驻俄使馆临时代办，抗议匈方要求俄外交人员离境，并要求匈牙利驻俄使馆及驻圣彼得堡、喀山领馆一批工作人员两周内离开。报道回顾匈牙利9月驱逐10名俄外交人员；匈方声明称无意加剧外交紧张。</w:t>
      </w:r>
    </w:p>
    <w:p>
      <w:pPr>
        <w:pStyle w:val="Compact"/>
        <w:numPr>
          <w:ilvl w:val="0"/>
          <w:numId w:val="1020"/>
        </w:numPr>
      </w:pPr>
      <w:r>
        <w:rPr>
          <w:rFonts w:hint="eastAsia"/>
          <w:b/>
          <w:bCs/>
        </w:rPr>
        <w:t xml:space="preserve">通俗解码：</w:t>
      </w:r>
      <w:r>
        <w:t xml:space="preserve"> </w:t>
      </w:r>
      <w:r>
        <w:rPr>
          <w:rFonts w:hint="eastAsia"/>
        </w:rPr>
        <w:t xml:space="preserve">双方外交摩擦升级到人员互逐，但匈方同时表达不愿升级。报道没有提到贸易、能源供应或制裁变化。</w:t>
      </w:r>
    </w:p>
    <w:p>
      <w:pPr>
        <w:pStyle w:val="Compact"/>
        <w:numPr>
          <w:ilvl w:val="0"/>
          <w:numId w:val="1020"/>
        </w:numPr>
      </w:pPr>
      <w:r>
        <w:rPr>
          <w:rFonts w:hint="eastAsia"/>
          <w:b/>
          <w:bCs/>
        </w:rPr>
        <w:t xml:space="preserve">条件性A股推演：</w:t>
      </w:r>
      <w:r>
        <w:t xml:space="preserve"> </w:t>
      </w:r>
      <w:r>
        <w:rPr>
          <w:rFonts w:hint="eastAsia"/>
        </w:rPr>
        <w:t xml:space="preserve">对A股直接影响弱，主要通过欧洲风险偏好和俄欧关系预期间接传导。</w:t>
      </w:r>
    </w:p>
    <w:p>
      <w:pPr>
        <w:pStyle w:val="Compact"/>
        <w:numPr>
          <w:ilvl w:val="0"/>
          <w:numId w:val="1020"/>
        </w:numPr>
      </w:pPr>
      <w:r>
        <w:rPr>
          <w:rFonts w:hint="eastAsia"/>
          <w:b/>
          <w:bCs/>
        </w:rPr>
        <w:t xml:space="preserve">验证与证伪：</w:t>
      </w:r>
      <w:r>
        <w:t xml:space="preserve"> </w:t>
      </w:r>
      <w:r>
        <w:rPr>
          <w:rFonts w:hint="eastAsia"/>
        </w:rPr>
        <w:t xml:space="preserve">跟踪是否出现更多外交或经济措施；若事件停留在外交层面，市场影响可能短暂。</w:t>
      </w:r>
    </w:p>
    <w:bookmarkEnd w:id="28"/>
    <w:bookmarkStart w:id="29" w:name="国际快讯美媒称美国向中东派第三艘航母并增兵"/>
    <w:p>
      <w:pPr>
        <w:pStyle w:val="Heading3"/>
      </w:pPr>
      <w:r>
        <w:t xml:space="preserve">13.2 </w:t>
      </w:r>
      <w:r>
        <w:rPr>
          <w:rFonts w:hint="eastAsia"/>
        </w:rPr>
        <w:t xml:space="preserve">国际快讯：美媒称美国向中东派第三艘航母并增兵</w:t>
      </w:r>
    </w:p>
    <w:p>
      <w:pPr>
        <w:pStyle w:val="Compact"/>
        <w:numPr>
          <w:ilvl w:val="0"/>
          <w:numId w:val="1021"/>
        </w:numPr>
      </w:pPr>
      <w:r>
        <w:rPr>
          <w:rFonts w:hint="eastAsia"/>
          <w:b/>
          <w:bCs/>
        </w:rPr>
        <w:t xml:space="preserve">信号强度：★★★★☆｜方向：原油、油运、黄金和全球风险偏好波动加大｜时效：短期至11月底</w:t>
      </w:r>
    </w:p>
    <w:p>
      <w:pPr>
        <w:pStyle w:val="Compact"/>
        <w:numPr>
          <w:ilvl w:val="0"/>
          <w:numId w:val="1021"/>
        </w:numPr>
      </w:pPr>
      <w:r>
        <w:rPr>
          <w:rFonts w:hint="eastAsia"/>
          <w:b/>
          <w:bCs/>
        </w:rPr>
        <w:t xml:space="preserve">原文事实：</w:t>
      </w:r>
      <w:r>
        <w:t xml:space="preserve"> </w:t>
      </w:r>
      <w:r>
        <w:rPr>
          <w:rFonts w:hint="eastAsia"/>
        </w:rPr>
        <w:t xml:space="preserve">美国媒体援引美官员称，美国正向中东派遣第三个航母打击群并增派近1万名士兵；“罗斯福”号9月27日离开加州，美国已有两艘航母在中东，相关舰艇、战斗机和海军陆战队员预计11月底抵达。</w:t>
      </w:r>
    </w:p>
    <w:p>
      <w:pPr>
        <w:pStyle w:val="Compact"/>
        <w:numPr>
          <w:ilvl w:val="0"/>
          <w:numId w:val="1021"/>
        </w:numPr>
      </w:pPr>
      <w:r>
        <w:rPr>
          <w:rFonts w:hint="eastAsia"/>
          <w:b/>
          <w:bCs/>
        </w:rPr>
        <w:t xml:space="preserve">通俗解码：</w:t>
      </w:r>
      <w:r>
        <w:t xml:space="preserve"> </w:t>
      </w:r>
      <w:r>
        <w:rPr>
          <w:rFonts w:hint="eastAsia"/>
        </w:rPr>
        <w:t xml:space="preserve">这是媒体援引官员的军事部署信息，意味着地区威慑和冲突风险上升，但报道没有确认战争扩大、油田受损或航道中断。</w:t>
      </w:r>
    </w:p>
    <w:p>
      <w:pPr>
        <w:pStyle w:val="Compact"/>
        <w:numPr>
          <w:ilvl w:val="0"/>
          <w:numId w:val="1021"/>
        </w:numPr>
      </w:pPr>
      <w:r>
        <w:rPr>
          <w:rFonts w:hint="eastAsia"/>
          <w:b/>
          <w:bCs/>
        </w:rPr>
        <w:t xml:space="preserve">条件性A股推演：</w:t>
      </w:r>
      <w:r>
        <w:t xml:space="preserve"> </w:t>
      </w:r>
      <w:r>
        <w:rPr>
          <w:rFonts w:hint="eastAsia"/>
        </w:rPr>
        <w:t xml:space="preserve">若紧张升级，原油、油运和贵金属风险溢价可能上升，航空、化工和高能耗行业成本可能承压；若部署仅用于威慑且未影响供给，价格冲击可能回落。</w:t>
      </w:r>
    </w:p>
    <w:p>
      <w:pPr>
        <w:pStyle w:val="Compact"/>
        <w:numPr>
          <w:ilvl w:val="0"/>
          <w:numId w:val="1021"/>
        </w:numPr>
      </w:pPr>
      <w:r>
        <w:rPr>
          <w:rFonts w:hint="eastAsia"/>
          <w:b/>
          <w:bCs/>
        </w:rPr>
        <w:t xml:space="preserve">验证与证伪：</w:t>
      </w:r>
      <w:r>
        <w:t xml:space="preserve"> </w:t>
      </w:r>
      <w:r>
        <w:rPr>
          <w:rFonts w:hint="eastAsia"/>
        </w:rPr>
        <w:t xml:space="preserve">跟踪美国正式声明、部署进度、地区冲突、关键航道、原油供给、运价和保险费率，不做单一方向押注。</w:t>
      </w:r>
    </w:p>
    <w:bookmarkEnd w:id="29"/>
    <w:bookmarkStart w:id="30" w:name="国际快讯也门胡塞武装与沙特主导多国联军冲突"/>
    <w:p>
      <w:pPr>
        <w:pStyle w:val="Heading3"/>
      </w:pPr>
      <w:r>
        <w:t xml:space="preserve">13.3 </w:t>
      </w:r>
      <w:r>
        <w:rPr>
          <w:rFonts w:hint="eastAsia"/>
        </w:rPr>
        <w:t xml:space="preserve">国际快讯：也门胡塞武装与沙特主导多国联军冲突</w:t>
      </w:r>
    </w:p>
    <w:p>
      <w:pPr>
        <w:pStyle w:val="Compact"/>
        <w:numPr>
          <w:ilvl w:val="0"/>
          <w:numId w:val="1022"/>
        </w:numPr>
      </w:pPr>
      <w:r>
        <w:rPr>
          <w:rFonts w:hint="eastAsia"/>
          <w:b/>
          <w:bCs/>
        </w:rPr>
        <w:t xml:space="preserve">信号强度：★★★★☆｜方向：中东安全、原油与航运风险偏好偏负面｜时效：短期事件性</w:t>
      </w:r>
    </w:p>
    <w:p>
      <w:pPr>
        <w:pStyle w:val="Compact"/>
        <w:numPr>
          <w:ilvl w:val="0"/>
          <w:numId w:val="1022"/>
        </w:numPr>
      </w:pPr>
      <w:r>
        <w:rPr>
          <w:rFonts w:hint="eastAsia"/>
          <w:b/>
          <w:bCs/>
        </w:rPr>
        <w:t xml:space="preserve">原文事实：</w:t>
      </w:r>
      <w:r>
        <w:t xml:space="preserve"> </w:t>
      </w:r>
      <w:r>
        <w:rPr>
          <w:rFonts w:hint="eastAsia"/>
        </w:rPr>
        <w:t xml:space="preserve">胡塞武装称沙特空袭也门首都萨那、萨达省、塔伊兹省等控制区，并称使用无人机和导弹袭击沙特主导多国联军在亚丁的一处军事设施；多国联军称拦截并摧毁胡塞武装向沙特西南部海米斯穆谢特和吉赞发射的导弹和无人机。</w:t>
      </w:r>
    </w:p>
    <w:p>
      <w:pPr>
        <w:pStyle w:val="Compact"/>
        <w:numPr>
          <w:ilvl w:val="0"/>
          <w:numId w:val="1022"/>
        </w:numPr>
      </w:pPr>
      <w:r>
        <w:rPr>
          <w:rFonts w:hint="eastAsia"/>
          <w:b/>
          <w:bCs/>
        </w:rPr>
        <w:t xml:space="preserve">通俗解码：</w:t>
      </w:r>
      <w:r>
        <w:t xml:space="preserve"> </w:t>
      </w:r>
      <w:r>
        <w:rPr>
          <w:rFonts w:hint="eastAsia"/>
        </w:rPr>
        <w:t xml:space="preserve">报道呈现双方各自说法，确认的是冲突与拦截声明，不能在缺乏独立证据时扩大为能源设施或国际航道已经受损。</w:t>
      </w:r>
    </w:p>
    <w:p>
      <w:pPr>
        <w:pStyle w:val="Compact"/>
        <w:numPr>
          <w:ilvl w:val="0"/>
          <w:numId w:val="1022"/>
        </w:numPr>
      </w:pPr>
      <w:r>
        <w:rPr>
          <w:rFonts w:hint="eastAsia"/>
          <w:b/>
          <w:bCs/>
        </w:rPr>
        <w:t xml:space="preserve">条件性A股推演：</w:t>
      </w:r>
      <w:r>
        <w:t xml:space="preserve"> </w:t>
      </w:r>
      <w:r>
        <w:rPr>
          <w:rFonts w:hint="eastAsia"/>
        </w:rPr>
        <w:t xml:space="preserve">地缘风险可能提高能源、航运和保险的风险溢价，并压制全球风险偏好；实际方向取决于冲突是否外溢至产油设施和航道。</w:t>
      </w:r>
    </w:p>
    <w:p>
      <w:pPr>
        <w:pStyle w:val="Compact"/>
        <w:numPr>
          <w:ilvl w:val="0"/>
          <w:numId w:val="1022"/>
        </w:numPr>
      </w:pPr>
      <w:r>
        <w:rPr>
          <w:rFonts w:hint="eastAsia"/>
          <w:b/>
          <w:bCs/>
        </w:rPr>
        <w:t xml:space="preserve">验证与证伪：</w:t>
      </w:r>
      <w:r>
        <w:t xml:space="preserve"> </w:t>
      </w:r>
      <w:r>
        <w:rPr>
          <w:rFonts w:hint="eastAsia"/>
        </w:rPr>
        <w:t xml:space="preserve">跟踪官方通报、能源设施、红海及周边航线、油价、运价和保险费率。若冲突未外溢，A股影响可能以短期情绪为主。</w:t>
      </w:r>
    </w:p>
    <w:bookmarkEnd w:id="30"/>
    <w:bookmarkStart w:id="31" w:name="国际快讯瑞士冰川一年消融5.5"/>
    <w:p>
      <w:pPr>
        <w:pStyle w:val="Heading3"/>
      </w:pPr>
      <w:r>
        <w:t xml:space="preserve">13.4 </w:t>
      </w:r>
      <w:r>
        <w:rPr>
          <w:rFonts w:hint="eastAsia"/>
        </w:rPr>
        <w:t xml:space="preserve">国际快讯：瑞士冰川一年消融5.5%</w:t>
      </w:r>
    </w:p>
    <w:p>
      <w:pPr>
        <w:pStyle w:val="Compact"/>
        <w:numPr>
          <w:ilvl w:val="0"/>
          <w:numId w:val="1023"/>
        </w:numPr>
      </w:pPr>
      <w:r>
        <w:rPr>
          <w:rFonts w:hint="eastAsia"/>
          <w:b/>
          <w:bCs/>
        </w:rPr>
        <w:t xml:space="preserve">信号强度：★★★☆☆｜方向：气候适应、水资源管理和环境监测长期正面｜时效：长期</w:t>
      </w:r>
    </w:p>
    <w:p>
      <w:pPr>
        <w:pStyle w:val="Compact"/>
        <w:numPr>
          <w:ilvl w:val="0"/>
          <w:numId w:val="1023"/>
        </w:numPr>
      </w:pPr>
      <w:r>
        <w:rPr>
          <w:rFonts w:hint="eastAsia"/>
          <w:b/>
          <w:bCs/>
        </w:rPr>
        <w:t xml:space="preserve">原文事实：</w:t>
      </w:r>
      <w:r>
        <w:t xml:space="preserve"> </w:t>
      </w:r>
      <w:r>
        <w:rPr>
          <w:rFonts w:hint="eastAsia"/>
        </w:rPr>
        <w:t xml:space="preserve">瑞士监测机构报告称，受冬季降雪少和5月至9月强热浪影响，2025年10月至2026年9月瑞士冰川总冰量减少5.5%，幅度为历史第二，仅次于2021—2022年度的5.9%；2022—2026年累计缩减近20%，并影响瑞士乃至欧洲水资源。</w:t>
      </w:r>
    </w:p>
    <w:p>
      <w:pPr>
        <w:pStyle w:val="Compact"/>
        <w:numPr>
          <w:ilvl w:val="0"/>
          <w:numId w:val="1023"/>
        </w:numPr>
      </w:pPr>
      <w:r>
        <w:rPr>
          <w:rFonts w:hint="eastAsia"/>
          <w:b/>
          <w:bCs/>
        </w:rPr>
        <w:t xml:space="preserve">通俗解码：</w:t>
      </w:r>
      <w:r>
        <w:t xml:space="preserve"> </w:t>
      </w:r>
      <w:r>
        <w:rPr>
          <w:rFonts w:hint="eastAsia"/>
        </w:rPr>
        <w:t xml:space="preserve">这是海外气候监测数据，强调极端气候和水资源风险，不是中国国内新增环保政策。</w:t>
      </w:r>
    </w:p>
    <w:p>
      <w:pPr>
        <w:pStyle w:val="Compact"/>
        <w:numPr>
          <w:ilvl w:val="0"/>
          <w:numId w:val="1023"/>
        </w:numPr>
      </w:pPr>
      <w:r>
        <w:rPr>
          <w:rFonts w:hint="eastAsia"/>
          <w:b/>
          <w:bCs/>
        </w:rPr>
        <w:t xml:space="preserve">条件性A股推演：</w:t>
      </w:r>
      <w:r>
        <w:t xml:space="preserve"> </w:t>
      </w:r>
      <w:r>
        <w:rPr>
          <w:rFonts w:hint="eastAsia"/>
        </w:rPr>
        <w:t xml:space="preserve">对A股直接影响较弱，可作为气候监测、水资源管理、节水和防灾方向的长期背景。</w:t>
      </w:r>
    </w:p>
    <w:p>
      <w:pPr>
        <w:pStyle w:val="Compact"/>
        <w:numPr>
          <w:ilvl w:val="0"/>
          <w:numId w:val="1023"/>
        </w:numPr>
      </w:pPr>
      <w:r>
        <w:rPr>
          <w:rFonts w:hint="eastAsia"/>
          <w:b/>
          <w:bCs/>
        </w:rPr>
        <w:t xml:space="preserve">验证与证伪：</w:t>
      </w:r>
      <w:r>
        <w:t xml:space="preserve"> </w:t>
      </w:r>
      <w:r>
        <w:rPr>
          <w:rFonts w:hint="eastAsia"/>
        </w:rPr>
        <w:t xml:space="preserve">需等待国内政策、项目与预算，不能将瑞士数据直接转化为国内企业订单。</w:t>
      </w:r>
    </w:p>
    <w:bookmarkEnd w:id="31"/>
    <w:bookmarkStart w:id="32" w:name="神州锦绣节目结尾"/>
    <w:p>
      <w:pPr>
        <w:pStyle w:val="Heading3"/>
      </w:pPr>
      <w:r>
        <w:t xml:space="preserve">14. </w:t>
      </w:r>
      <w:r>
        <w:rPr>
          <w:rFonts w:hint="eastAsia"/>
        </w:rPr>
        <w:t xml:space="preserve">“神州锦绣”节目结尾</w:t>
      </w:r>
    </w:p>
    <w:p>
      <w:pPr>
        <w:pStyle w:val="Compact"/>
        <w:numPr>
          <w:ilvl w:val="0"/>
          <w:numId w:val="1024"/>
        </w:numPr>
      </w:pPr>
      <w:r>
        <w:rPr>
          <w:rFonts w:hint="eastAsia"/>
          <w:b/>
          <w:bCs/>
        </w:rPr>
        <w:t xml:space="preserve">信号强度：★☆☆☆☆｜方向：节庆文化与自然景观传播中性｜时效：短期</w:t>
      </w:r>
    </w:p>
    <w:p>
      <w:pPr>
        <w:pStyle w:val="Compact"/>
        <w:numPr>
          <w:ilvl w:val="0"/>
          <w:numId w:val="1024"/>
        </w:numPr>
      </w:pPr>
      <w:r>
        <w:rPr>
          <w:rFonts w:hint="eastAsia"/>
          <w:b/>
          <w:bCs/>
        </w:rPr>
        <w:t xml:space="preserve">原文事实：</w:t>
      </w:r>
      <w:r>
        <w:t xml:space="preserve"> </w:t>
      </w:r>
      <w:r>
        <w:rPr>
          <w:rFonts w:hint="eastAsia"/>
        </w:rPr>
        <w:t xml:space="preserve">节目以“华夏大地，江河奔涌，生生不息”为主题展示水韵华章，没有具体景区、客流、项目或商业数据。</w:t>
      </w:r>
    </w:p>
    <w:p>
      <w:pPr>
        <w:pStyle w:val="Compact"/>
        <w:numPr>
          <w:ilvl w:val="0"/>
          <w:numId w:val="1024"/>
        </w:numPr>
      </w:pPr>
      <w:r>
        <w:rPr>
          <w:rFonts w:hint="eastAsia"/>
          <w:b/>
          <w:bCs/>
        </w:rPr>
        <w:t xml:space="preserve">通俗解码：</w:t>
      </w:r>
      <w:r>
        <w:t xml:space="preserve"> </w:t>
      </w:r>
      <w:r>
        <w:rPr>
          <w:rFonts w:hint="eastAsia"/>
        </w:rPr>
        <w:t xml:space="preserve">这是节目片尾的景观展示，不构成产业政策或独立投资线索。</w:t>
      </w:r>
    </w:p>
    <w:p>
      <w:pPr>
        <w:pStyle w:val="Compact"/>
        <w:numPr>
          <w:ilvl w:val="0"/>
          <w:numId w:val="1024"/>
        </w:numPr>
      </w:pPr>
      <w:r>
        <w:rPr>
          <w:rFonts w:hint="eastAsia"/>
          <w:b/>
          <w:bCs/>
        </w:rPr>
        <w:t xml:space="preserve">条件性A股推演：</w:t>
      </w:r>
      <w:r>
        <w:t xml:space="preserve"> </w:t>
      </w:r>
      <w:r>
        <w:rPr>
          <w:rFonts w:hint="eastAsia"/>
        </w:rPr>
        <w:t xml:space="preserve">不作具体板块或个股映射。</w:t>
      </w:r>
    </w:p>
    <w:p>
      <w:pPr>
        <w:pStyle w:val="Compact"/>
        <w:numPr>
          <w:ilvl w:val="0"/>
          <w:numId w:val="1024"/>
        </w:numPr>
      </w:pPr>
      <w:r>
        <w:rPr>
          <w:rFonts w:hint="eastAsia"/>
          <w:b/>
          <w:bCs/>
        </w:rPr>
        <w:t xml:space="preserve">验证与证伪：</w:t>
      </w:r>
      <w:r>
        <w:t xml:space="preserve"> </w:t>
      </w:r>
      <w:r>
        <w:rPr>
          <w:rFonts w:hint="eastAsia"/>
        </w:rPr>
        <w:t xml:space="preserve">如需评估文旅，应另看客流、收入、客单价和经营主体权益；本条本身不足以支撑交易。</w:t>
      </w:r>
    </w:p>
    <w:bookmarkEnd w:id="32"/>
    <w:bookmarkEnd w:id="33"/>
    <w:bookmarkStart w:id="34" w:name="三核心政策与市场信号"/>
    <w:p>
      <w:pPr>
        <w:pStyle w:val="Heading2"/>
      </w:pPr>
      <w:r>
        <w:rPr>
          <w:rFonts w:hint="eastAsia"/>
        </w:rPr>
        <w:t xml:space="preserve">三、核心政策与市场信号</w:t>
      </w:r>
    </w:p>
    <w:p>
      <w:pPr>
        <w:pStyle w:val="Compact"/>
        <w:numPr>
          <w:ilvl w:val="0"/>
          <w:numId w:val="1025"/>
        </w:numPr>
      </w:pPr>
      <w:r>
        <w:rPr>
          <w:b/>
          <w:bCs/>
        </w:rPr>
        <w:t xml:space="preserve">★★★★★ </w:t>
      </w:r>
      <w:r>
        <w:rPr>
          <w:rFonts w:hint="eastAsia"/>
          <w:b/>
          <w:bCs/>
        </w:rPr>
        <w:t xml:space="preserve">2500亿元以旧换新资金已全部下达，需求兑现进入关键观察期。</w:t>
      </w:r>
      <w:r>
        <w:t xml:space="preserve"> </w:t>
      </w:r>
      <w:r>
        <w:rPr>
          <w:rFonts w:hint="eastAsia"/>
        </w:rPr>
        <w:t xml:space="preserve">1.55万亿元相关销售额、2.08亿人次、535.3万辆汽车、9145.8万台家电和1.08亿件数码智能产品提供了明确数据基础，下一步要从“政策规模”切换到销量、价格、份额、毛利和现金流验证。</w:t>
      </w:r>
    </w:p>
    <w:p>
      <w:pPr>
        <w:pStyle w:val="Compact"/>
        <w:numPr>
          <w:ilvl w:val="0"/>
          <w:numId w:val="1025"/>
        </w:numPr>
      </w:pPr>
      <w:r>
        <w:rPr>
          <w:b/>
          <w:bCs/>
        </w:rPr>
        <w:t xml:space="preserve">★★★★★ </w:t>
      </w:r>
      <w:r>
        <w:rPr>
          <w:rFonts w:hint="eastAsia"/>
          <w:b/>
          <w:bCs/>
        </w:rPr>
        <w:t xml:space="preserve">服务业扩能提质形成“产业方向＋消费补贴＋土地＋金融”组合。</w:t>
      </w:r>
      <w:r>
        <w:t xml:space="preserve"> </w:t>
      </w:r>
      <w:r>
        <w:rPr>
          <w:rFonts w:hint="eastAsia"/>
        </w:rPr>
        <w:t xml:space="preserve">生产性服务嵌入产业链，养老服务消费补贴全面推开，科技服务、物流、文旅和体育获得结构性工具支持，是当天覆盖面最广的中期政策信号。</w:t>
      </w:r>
    </w:p>
    <w:p>
      <w:pPr>
        <w:pStyle w:val="Compact"/>
        <w:numPr>
          <w:ilvl w:val="0"/>
          <w:numId w:val="1025"/>
        </w:numPr>
      </w:pPr>
      <w:r>
        <w:rPr>
          <w:b/>
          <w:bCs/>
        </w:rPr>
        <w:t xml:space="preserve">★★★★☆ </w:t>
      </w:r>
      <w:r>
        <w:rPr>
          <w:rFonts w:hint="eastAsia"/>
          <w:b/>
          <w:bCs/>
        </w:rPr>
        <w:t xml:space="preserve">物流总量平稳、结构向高技术制造倾斜。</w:t>
      </w:r>
      <w:r>
        <w:t xml:space="preserve"> </w:t>
      </w:r>
      <w:r>
        <w:rPr>
          <w:rFonts w:hint="eastAsia"/>
        </w:rPr>
        <w:t xml:space="preserve">243.6万亿元和4.9%的宏观数据说明韧性，机器人、集成电路和数字产品货类的支撑增强更值得观察，但物流额不能替代企业收入和利润。</w:t>
      </w:r>
    </w:p>
    <w:p>
      <w:pPr>
        <w:pStyle w:val="Compact"/>
        <w:numPr>
          <w:ilvl w:val="0"/>
          <w:numId w:val="1025"/>
        </w:numPr>
      </w:pPr>
      <w:r>
        <w:rPr>
          <w:b/>
          <w:bCs/>
        </w:rPr>
        <w:t xml:space="preserve">★★★★☆ </w:t>
      </w:r>
      <w:r>
        <w:rPr>
          <w:rFonts w:hint="eastAsia"/>
          <w:b/>
          <w:bCs/>
        </w:rPr>
        <w:t xml:space="preserve">科技保险由4家试点扩至60余家经营主体。</w:t>
      </w:r>
      <w:r>
        <w:t xml:space="preserve"> </w:t>
      </w:r>
      <w:r>
        <w:rPr>
          <w:rFonts w:hint="eastAsia"/>
        </w:rPr>
        <w:t xml:space="preserve">8.7万亿元风险保障和66.9%的同比增长显示风险管理基础设施扩容，真正的盈利判断仍取决于保费、费率、赔付和承保利润。</w:t>
      </w:r>
    </w:p>
    <w:p>
      <w:pPr>
        <w:pStyle w:val="Compact"/>
        <w:numPr>
          <w:ilvl w:val="0"/>
          <w:numId w:val="1025"/>
        </w:numPr>
      </w:pPr>
      <w:r>
        <w:rPr>
          <w:b/>
          <w:bCs/>
        </w:rPr>
        <w:t xml:space="preserve">★★★★☆ </w:t>
      </w:r>
      <w:r>
        <w:rPr>
          <w:rFonts w:hint="eastAsia"/>
          <w:b/>
          <w:bCs/>
        </w:rPr>
        <w:t xml:space="preserve">清洁能源和储能出现两个工程节点。</w:t>
      </w:r>
      <w:r>
        <w:t xml:space="preserve"> </w:t>
      </w:r>
      <w:r>
        <w:rPr>
          <w:rFonts w:hint="eastAsia"/>
        </w:rPr>
        <w:t xml:space="preserve">青海115万千瓦光伏光热项目并网，国产变速抽蓄机组完成主体安装，分别提供新能源供给和电网调节的示范线索，后续要看实际运行及复制订单。</w:t>
      </w:r>
    </w:p>
    <w:p>
      <w:pPr>
        <w:pStyle w:val="Compact"/>
        <w:numPr>
          <w:ilvl w:val="0"/>
          <w:numId w:val="1025"/>
        </w:numPr>
      </w:pPr>
      <w:r>
        <w:rPr>
          <w:b/>
          <w:bCs/>
        </w:rPr>
        <w:t xml:space="preserve">★★★☆☆ </w:t>
      </w:r>
      <w:r>
        <w:rPr>
          <w:rFonts w:hint="eastAsia"/>
          <w:b/>
          <w:bCs/>
        </w:rPr>
        <w:t xml:space="preserve">假日文旅覆盖自然景区、非遗、红色研学、夜游和科技互动。</w:t>
      </w:r>
      <w:r>
        <w:t xml:space="preserve"> </w:t>
      </w:r>
      <w:r>
        <w:rPr>
          <w:rFonts w:hint="eastAsia"/>
        </w:rPr>
        <w:t xml:space="preserve">多地客流数据积极，但全国收入、客单价和利润仍待验证，南方阴雨还可能形成区域扰动。</w:t>
      </w:r>
    </w:p>
    <w:p>
      <w:pPr>
        <w:pStyle w:val="Compact"/>
        <w:numPr>
          <w:ilvl w:val="0"/>
          <w:numId w:val="1025"/>
        </w:numPr>
      </w:pPr>
      <w:r>
        <w:rPr>
          <w:b/>
          <w:bCs/>
        </w:rPr>
        <w:t xml:space="preserve">★★★★☆ </w:t>
      </w:r>
      <w:r>
        <w:rPr>
          <w:rFonts w:hint="eastAsia"/>
          <w:b/>
          <w:bCs/>
        </w:rPr>
        <w:t xml:space="preserve">外部风险集中在中东军事部署与也门冲突。</w:t>
      </w:r>
      <w:r>
        <w:t xml:space="preserve"> </w:t>
      </w:r>
      <w:r>
        <w:rPr>
          <w:rFonts w:hint="eastAsia"/>
        </w:rPr>
        <w:t xml:space="preserve">影响路径主要是油价、运价、保险和风险偏好；在能源设施或航道未被确认受损前，不应把风险事件写成供应中断事实。</w:t>
      </w:r>
    </w:p>
    <w:bookmarkEnd w:id="34"/>
    <w:bookmarkStart w:id="35" w:name="四板块影响汇总"/>
    <w:p>
      <w:pPr>
        <w:pStyle w:val="Heading2"/>
      </w:pPr>
      <w:r>
        <w:rPr>
          <w:rFonts w:hint="eastAsia"/>
        </w:rPr>
        <w:t xml:space="preserve">四、板块影响汇总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rFonts w:hint="eastAsia"/>
              </w:rPr>
              <w:t xml:space="preserve">板块</w:t>
            </w:r>
          </w:p>
        </w:tc>
        <w:tc>
          <w:tcPr/>
          <w:p>
            <w:pPr>
              <w:pStyle w:val="Compact"/>
            </w:pPr>
            <w:r>
              <w:rPr>
                <w:rFonts w:hint="eastAsia"/>
              </w:rPr>
              <w:t xml:space="preserve">综合影响</w:t>
            </w:r>
          </w:p>
        </w:tc>
        <w:tc>
          <w:tcPr/>
          <w:p>
            <w:pPr>
              <w:pStyle w:val="Compact"/>
            </w:pPr>
            <w:r>
              <w:rPr>
                <w:rFonts w:hint="eastAsia"/>
              </w:rPr>
              <w:t xml:space="preserve">驱动事实</w:t>
            </w:r>
          </w:p>
        </w:tc>
        <w:tc>
          <w:tcPr/>
          <w:p>
            <w:pPr>
              <w:pStyle w:val="Compact"/>
            </w:pPr>
            <w:r>
              <w:rPr>
                <w:rFonts w:hint="eastAsia"/>
              </w:rPr>
              <w:t xml:space="preserve">信号强度</w:t>
            </w:r>
          </w:p>
        </w:tc>
        <w:tc>
          <w:tcPr/>
          <w:p>
            <w:pPr>
              <w:pStyle w:val="Compact"/>
            </w:pPr>
            <w:r>
              <w:rPr>
                <w:rFonts w:hint="eastAsia"/>
              </w:rPr>
              <w:t xml:space="preserve">关键验证指标</w:t>
            </w:r>
          </w:p>
        </w:tc>
      </w:tr>
      <w:tr>
        <w:tc>
          <w:tcPr/>
          <w:p>
            <w:pPr>
              <w:pStyle w:val="Compact"/>
            </w:pPr>
            <w:r>
              <w:rPr>
                <w:rFonts w:hint="eastAsia"/>
              </w:rPr>
              <w:t xml:space="preserve">家电/智能家居</w:t>
            </w:r>
          </w:p>
        </w:tc>
        <w:tc>
          <w:tcPr/>
          <w:p>
            <w:pPr>
              <w:pStyle w:val="Compact"/>
            </w:pPr>
            <w:r>
              <w:rPr>
                <w:rFonts w:hint="eastAsia"/>
              </w:rPr>
              <w:t xml:space="preserve">短中期偏利好</w:t>
            </w:r>
          </w:p>
        </w:tc>
        <w:tc>
          <w:tcPr/>
          <w:p>
            <w:pPr>
              <w:pStyle w:val="Compact"/>
            </w:pPr>
            <w:r>
              <w:rPr>
                <w:rFonts w:hint="eastAsia"/>
              </w:rPr>
              <w:t xml:space="preserve">2500亿元资金全部下达、6类家电9145.8万台</w:t>
            </w:r>
          </w:p>
        </w:tc>
        <w:tc>
          <w:tcPr/>
          <w:p>
            <w:pPr>
              <w:pStyle w:val="Compact"/>
            </w:pPr>
            <w:r>
              <w:t xml:space="preserve">★★★★★</w:t>
            </w:r>
          </w:p>
        </w:tc>
        <w:tc>
          <w:tcPr/>
          <w:p>
            <w:pPr>
              <w:pStyle w:val="Compact"/>
            </w:pPr>
            <w:r>
              <w:rPr>
                <w:rFonts w:hint="eastAsia"/>
              </w:rPr>
              <w:t xml:space="preserve">销量、均价、份额、补贴核销、毛利、库存</w:t>
            </w:r>
          </w:p>
        </w:tc>
      </w:tr>
      <w:tr>
        <w:tc>
          <w:tcPr/>
          <w:p>
            <w:pPr>
              <w:pStyle w:val="Compact"/>
            </w:pPr>
            <w:r>
              <w:rPr>
                <w:rFonts w:hint="eastAsia"/>
              </w:rPr>
              <w:t xml:space="preserve">消费电子/可穿戴</w:t>
            </w:r>
          </w:p>
        </w:tc>
        <w:tc>
          <w:tcPr/>
          <w:p>
            <w:pPr>
              <w:pStyle w:val="Compact"/>
            </w:pPr>
            <w:r>
              <w:rPr>
                <w:rFonts w:hint="eastAsia"/>
              </w:rPr>
              <w:t xml:space="preserve">短中期偏利好</w:t>
            </w:r>
          </w:p>
        </w:tc>
        <w:tc>
          <w:tcPr/>
          <w:p>
            <w:pPr>
              <w:pStyle w:val="Compact"/>
            </w:pPr>
            <w:r>
              <w:rPr>
                <w:rFonts w:hint="eastAsia"/>
              </w:rPr>
              <w:t xml:space="preserve">数码智能产品1.08亿件、相关零售高速增长</w:t>
            </w:r>
          </w:p>
        </w:tc>
        <w:tc>
          <w:tcPr/>
          <w:p>
            <w:pPr>
              <w:pStyle w:val="Compact"/>
            </w:pPr>
            <w:r>
              <w:t xml:space="preserve">★★★★★</w:t>
            </w:r>
          </w:p>
        </w:tc>
        <w:tc>
          <w:tcPr/>
          <w:p>
            <w:pPr>
              <w:pStyle w:val="Compact"/>
            </w:pPr>
            <w:r>
              <w:rPr>
                <w:rFonts w:hint="eastAsia"/>
              </w:rPr>
              <w:t xml:space="preserve">销量、产品结构、渠道库存、毛利、现金流</w:t>
            </w:r>
          </w:p>
        </w:tc>
      </w:tr>
      <w:tr>
        <w:tc>
          <w:tcPr/>
          <w:p>
            <w:pPr>
              <w:pStyle w:val="Compact"/>
            </w:pPr>
            <w:r>
              <w:rPr>
                <w:rFonts w:hint="eastAsia"/>
              </w:rPr>
              <w:t xml:space="preserve">新能源汽车及零部件</w:t>
            </w:r>
          </w:p>
        </w:tc>
        <w:tc>
          <w:tcPr/>
          <w:p>
            <w:pPr>
              <w:pStyle w:val="Compact"/>
            </w:pPr>
            <w:r>
              <w:rPr>
                <w:rFonts w:hint="eastAsia"/>
              </w:rPr>
              <w:t xml:space="preserve">需求正面、竞争风险并存</w:t>
            </w:r>
          </w:p>
        </w:tc>
        <w:tc>
          <w:tcPr/>
          <w:p>
            <w:pPr>
              <w:pStyle w:val="Compact"/>
            </w:pPr>
            <w:r>
              <w:rPr>
                <w:rFonts w:hint="eastAsia"/>
              </w:rPr>
              <w:t xml:space="preserve">汽车以旧换新535.3万辆、新能源零售占比连续5个月超60%</w:t>
            </w:r>
          </w:p>
        </w:tc>
        <w:tc>
          <w:tcPr/>
          <w:p>
            <w:pPr>
              <w:pStyle w:val="Compact"/>
            </w:pPr>
            <w:r>
              <w:t xml:space="preserve">★★★★★</w:t>
            </w:r>
          </w:p>
        </w:tc>
        <w:tc>
          <w:tcPr/>
          <w:p>
            <w:pPr>
              <w:pStyle w:val="Compact"/>
            </w:pPr>
            <w:r>
              <w:rPr>
                <w:rFonts w:hint="eastAsia"/>
              </w:rPr>
              <w:t xml:space="preserve">销量、折扣、单车利润、库存、回款</w:t>
            </w:r>
          </w:p>
        </w:tc>
      </w:tr>
      <w:tr>
        <w:tc>
          <w:tcPr/>
          <w:p>
            <w:pPr>
              <w:pStyle w:val="Compact"/>
            </w:pPr>
            <w:r>
              <w:rPr>
                <w:rFonts w:hint="eastAsia"/>
              </w:rPr>
              <w:t xml:space="preserve">回收拆解/循环经济</w:t>
            </w:r>
          </w:p>
        </w:tc>
        <w:tc>
          <w:tcPr/>
          <w:p>
            <w:pPr>
              <w:pStyle w:val="Compact"/>
            </w:pPr>
            <w:r>
              <w:rPr>
                <w:rFonts w:hint="eastAsia"/>
              </w:rPr>
              <w:t xml:space="preserve">政策带动、盈利待核验</w:t>
            </w:r>
          </w:p>
        </w:tc>
        <w:tc>
          <w:tcPr/>
          <w:p>
            <w:pPr>
              <w:pStyle w:val="Compact"/>
            </w:pPr>
            <w:r>
              <w:rPr>
                <w:rFonts w:hint="eastAsia"/>
              </w:rPr>
              <w:t xml:space="preserve">消费品以旧换新</w:t>
            </w:r>
          </w:p>
        </w:tc>
        <w:tc>
          <w:tcPr/>
          <w:p>
            <w:pPr>
              <w:pStyle w:val="Compact"/>
            </w:pPr>
            <w:r>
              <w:t xml:space="preserve">★★★★☆</w:t>
            </w:r>
          </w:p>
        </w:tc>
        <w:tc>
          <w:tcPr/>
          <w:p>
            <w:pPr>
              <w:pStyle w:val="Compact"/>
            </w:pPr>
            <w:r>
              <w:rPr>
                <w:rFonts w:hint="eastAsia"/>
              </w:rPr>
              <w:t xml:space="preserve">回收量、拆解价差、规范渠道、补贴回款</w:t>
            </w:r>
          </w:p>
        </w:tc>
      </w:tr>
      <w:tr>
        <w:tc>
          <w:tcPr/>
          <w:p>
            <w:pPr>
              <w:pStyle w:val="Compact"/>
            </w:pPr>
            <w:r>
              <w:rPr>
                <w:rFonts w:hint="eastAsia"/>
              </w:rPr>
              <w:t xml:space="preserve">研发设计/科技服务</w:t>
            </w:r>
          </w:p>
        </w:tc>
        <w:tc>
          <w:tcPr/>
          <w:p>
            <w:pPr>
              <w:pStyle w:val="Compact"/>
            </w:pPr>
            <w:r>
              <w:rPr>
                <w:rFonts w:hint="eastAsia"/>
              </w:rPr>
              <w:t xml:space="preserve">中期偏利好</w:t>
            </w:r>
          </w:p>
        </w:tc>
        <w:tc>
          <w:tcPr/>
          <w:p>
            <w:pPr>
              <w:pStyle w:val="Compact"/>
            </w:pPr>
            <w:r>
              <w:rPr>
                <w:rFonts w:hint="eastAsia"/>
              </w:rPr>
              <w:t xml:space="preserve">生产性服务嵌入产业链、结构性工具支持</w:t>
            </w:r>
          </w:p>
        </w:tc>
        <w:tc>
          <w:tcPr/>
          <w:p>
            <w:pPr>
              <w:pStyle w:val="Compact"/>
            </w:pPr>
            <w:r>
              <w:t xml:space="preserve">★★★★★</w:t>
            </w:r>
          </w:p>
        </w:tc>
        <w:tc>
          <w:tcPr/>
          <w:p>
            <w:pPr>
              <w:pStyle w:val="Compact"/>
            </w:pPr>
            <w:r>
              <w:rPr>
                <w:rFonts w:hint="eastAsia"/>
              </w:rPr>
              <w:t xml:space="preserve">服务订单、客户渗透、毛利、应收</w:t>
            </w:r>
          </w:p>
        </w:tc>
      </w:tr>
      <w:tr>
        <w:tc>
          <w:tcPr/>
          <w:p>
            <w:pPr>
              <w:pStyle w:val="Compact"/>
            </w:pPr>
            <w:r>
              <w:rPr>
                <w:rFonts w:hint="eastAsia"/>
              </w:rPr>
              <w:t xml:space="preserve">软件信息/工业服务</w:t>
            </w:r>
          </w:p>
        </w:tc>
        <w:tc>
          <w:tcPr/>
          <w:p>
            <w:pPr>
              <w:pStyle w:val="Compact"/>
            </w:pPr>
            <w:r>
              <w:rPr>
                <w:rFonts w:hint="eastAsia"/>
              </w:rPr>
              <w:t xml:space="preserve">中期偏利好</w:t>
            </w:r>
          </w:p>
        </w:tc>
        <w:tc>
          <w:tcPr/>
          <w:p>
            <w:pPr>
              <w:pStyle w:val="Compact"/>
            </w:pPr>
            <w:r>
              <w:rPr>
                <w:rFonts w:hint="eastAsia"/>
              </w:rPr>
              <w:t xml:space="preserve">软件信息等专业服务嵌入供应链</w:t>
            </w:r>
          </w:p>
        </w:tc>
        <w:tc>
          <w:tcPr/>
          <w:p>
            <w:pPr>
              <w:pStyle w:val="Compact"/>
            </w:pPr>
            <w:r>
              <w:t xml:space="preserve">★★★★★</w:t>
            </w:r>
          </w:p>
        </w:tc>
        <w:tc>
          <w:tcPr/>
          <w:p>
            <w:pPr>
              <w:pStyle w:val="Compact"/>
            </w:pPr>
            <w:r>
              <w:rPr>
                <w:rFonts w:hint="eastAsia"/>
              </w:rPr>
              <w:t xml:space="preserve">项目招标、续费、验收、回款</w:t>
            </w:r>
          </w:p>
        </w:tc>
      </w:tr>
      <w:tr>
        <w:tc>
          <w:tcPr/>
          <w:p>
            <w:pPr>
              <w:pStyle w:val="Compact"/>
            </w:pPr>
            <w:r>
              <w:rPr>
                <w:rFonts w:hint="eastAsia"/>
              </w:rPr>
              <w:t xml:space="preserve">养老托育/家政</w:t>
            </w:r>
          </w:p>
        </w:tc>
        <w:tc>
          <w:tcPr/>
          <w:p>
            <w:pPr>
              <w:pStyle w:val="Compact"/>
            </w:pPr>
            <w:r>
              <w:rPr>
                <w:rFonts w:hint="eastAsia"/>
              </w:rPr>
              <w:t xml:space="preserve">中期偏利好</w:t>
            </w:r>
          </w:p>
        </w:tc>
        <w:tc>
          <w:tcPr/>
          <w:p>
            <w:pPr>
              <w:pStyle w:val="Compact"/>
            </w:pPr>
            <w:r>
              <w:rPr>
                <w:rFonts w:hint="eastAsia"/>
              </w:rPr>
              <w:t xml:space="preserve">养老补贴全面推开、优先用地、便民服务月</w:t>
            </w:r>
          </w:p>
        </w:tc>
        <w:tc>
          <w:tcPr/>
          <w:p>
            <w:pPr>
              <w:pStyle w:val="Compact"/>
            </w:pPr>
            <w:r>
              <w:t xml:space="preserve">★★★★★</w:t>
            </w:r>
          </w:p>
        </w:tc>
        <w:tc>
          <w:tcPr/>
          <w:p>
            <w:pPr>
              <w:pStyle w:val="Compact"/>
            </w:pPr>
            <w:r>
              <w:rPr>
                <w:rFonts w:hint="eastAsia"/>
              </w:rPr>
              <w:t xml:space="preserve">补贴标准、覆盖人数、客单价、复购、支付周期</w:t>
            </w:r>
          </w:p>
        </w:tc>
      </w:tr>
      <w:tr>
        <w:tc>
          <w:tcPr/>
          <w:p>
            <w:pPr>
              <w:pStyle w:val="Compact"/>
            </w:pPr>
            <w:r>
              <w:rPr>
                <w:rFonts w:hint="eastAsia"/>
              </w:rPr>
              <w:t xml:space="preserve">现代物流/供应链</w:t>
            </w:r>
          </w:p>
        </w:tc>
        <w:tc>
          <w:tcPr/>
          <w:p>
            <w:pPr>
              <w:pStyle w:val="Compact"/>
            </w:pPr>
            <w:r>
              <w:rPr>
                <w:rFonts w:hint="eastAsia"/>
              </w:rPr>
              <w:t xml:space="preserve">中期偏利好</w:t>
            </w:r>
          </w:p>
        </w:tc>
        <w:tc>
          <w:tcPr/>
          <w:p>
            <w:pPr>
              <w:pStyle w:val="Compact"/>
            </w:pPr>
            <w:r>
              <w:rPr>
                <w:rFonts w:hint="eastAsia"/>
              </w:rPr>
              <w:t xml:space="preserve">社会物流总额增长4.9%、金融支持物流运输</w:t>
            </w:r>
          </w:p>
        </w:tc>
        <w:tc>
          <w:tcPr/>
          <w:p>
            <w:pPr>
              <w:pStyle w:val="Compact"/>
            </w:pPr>
            <w:r>
              <w:t xml:space="preserve">★★★★☆</w:t>
            </w:r>
          </w:p>
        </w:tc>
        <w:tc>
          <w:tcPr/>
          <w:p>
            <w:pPr>
              <w:pStyle w:val="Compact"/>
            </w:pPr>
            <w:r>
              <w:rPr>
                <w:rFonts w:hint="eastAsia"/>
              </w:rPr>
              <w:t xml:space="preserve">货量、运价、周转率、单位成本、现金流</w:t>
            </w:r>
          </w:p>
        </w:tc>
      </w:tr>
      <w:tr>
        <w:tc>
          <w:tcPr/>
          <w:p>
            <w:pPr>
              <w:pStyle w:val="Compact"/>
            </w:pPr>
            <w:r>
              <w:rPr>
                <w:rFonts w:hint="eastAsia"/>
              </w:rPr>
              <w:t xml:space="preserve">铁路货运/冷链</w:t>
            </w:r>
          </w:p>
        </w:tc>
        <w:tc>
          <w:tcPr/>
          <w:p>
            <w:pPr>
              <w:pStyle w:val="Compact"/>
            </w:pPr>
            <w:r>
              <w:rPr>
                <w:rFonts w:hint="eastAsia"/>
              </w:rPr>
              <w:t xml:space="preserve">中性偏正面</w:t>
            </w:r>
          </w:p>
        </w:tc>
        <w:tc>
          <w:tcPr/>
          <w:p>
            <w:pPr>
              <w:pStyle w:val="Compact"/>
            </w:pPr>
            <w:r>
              <w:rPr>
                <w:rFonts w:hint="eastAsia"/>
              </w:rPr>
              <w:t xml:space="preserve">新规延长索赔期、压缩易腐货物期限</w:t>
            </w:r>
          </w:p>
        </w:tc>
        <w:tc>
          <w:tcPr/>
          <w:p>
            <w:pPr>
              <w:pStyle w:val="Compact"/>
            </w:pPr>
            <w:r>
              <w:t xml:space="preserve">★★★☆☆</w:t>
            </w:r>
          </w:p>
        </w:tc>
        <w:tc>
          <w:tcPr/>
          <w:p>
            <w:pPr>
              <w:pStyle w:val="Compact"/>
            </w:pPr>
            <w:r>
              <w:rPr>
                <w:rFonts w:hint="eastAsia"/>
              </w:rPr>
              <w:t xml:space="preserve">货运量、时效、索赔、冷链货源、成本</w:t>
            </w:r>
          </w:p>
        </w:tc>
      </w:tr>
      <w:tr>
        <w:tc>
          <w:tcPr/>
          <w:p>
            <w:pPr>
              <w:pStyle w:val="Compact"/>
            </w:pPr>
            <w:r>
              <w:rPr>
                <w:rFonts w:hint="eastAsia"/>
              </w:rPr>
              <w:t xml:space="preserve">科技保险</w:t>
            </w:r>
          </w:p>
        </w:tc>
        <w:tc>
          <w:tcPr/>
          <w:p>
            <w:pPr>
              <w:pStyle w:val="Compact"/>
            </w:pPr>
            <w:r>
              <w:rPr>
                <w:rFonts w:hint="eastAsia"/>
              </w:rPr>
              <w:t xml:space="preserve">中期偏利好</w:t>
            </w:r>
          </w:p>
        </w:tc>
        <w:tc>
          <w:tcPr/>
          <w:p>
            <w:pPr>
              <w:pStyle w:val="Compact"/>
            </w:pPr>
            <w:r>
              <w:rPr>
                <w:rFonts w:hint="eastAsia"/>
              </w:rPr>
              <w:t xml:space="preserve">8.7万亿元风险保障、同比增长66.9%</w:t>
            </w:r>
          </w:p>
        </w:tc>
        <w:tc>
          <w:tcPr/>
          <w:p>
            <w:pPr>
              <w:pStyle w:val="Compact"/>
            </w:pPr>
            <w:r>
              <w:t xml:space="preserve">★★★★☆</w:t>
            </w:r>
          </w:p>
        </w:tc>
        <w:tc>
          <w:tcPr/>
          <w:p>
            <w:pPr>
              <w:pStyle w:val="Compact"/>
            </w:pPr>
            <w:r>
              <w:rPr>
                <w:rFonts w:hint="eastAsia"/>
              </w:rPr>
              <w:t xml:space="preserve">保费、费率、赔付率、承保利润、再保</w:t>
            </w:r>
          </w:p>
        </w:tc>
      </w:tr>
      <w:tr>
        <w:tc>
          <w:tcPr/>
          <w:p>
            <w:pPr>
              <w:pStyle w:val="Compact"/>
            </w:pPr>
            <w:r>
              <w:rPr>
                <w:rFonts w:hint="eastAsia"/>
              </w:rPr>
              <w:t xml:space="preserve">光伏光热/储热</w:t>
            </w:r>
          </w:p>
        </w:tc>
        <w:tc>
          <w:tcPr/>
          <w:p>
            <w:pPr>
              <w:pStyle w:val="Compact"/>
            </w:pPr>
            <w:r>
              <w:rPr>
                <w:rFonts w:hint="eastAsia"/>
              </w:rPr>
              <w:t xml:space="preserve">中长期偏利好</w:t>
            </w:r>
          </w:p>
        </w:tc>
        <w:tc>
          <w:tcPr/>
          <w:p>
            <w:pPr>
              <w:pStyle w:val="Compact"/>
            </w:pPr>
            <w:r>
              <w:rPr>
                <w:rFonts w:hint="eastAsia"/>
              </w:rPr>
              <w:t xml:space="preserve">115万千瓦项目并网</w:t>
            </w:r>
          </w:p>
        </w:tc>
        <w:tc>
          <w:tcPr/>
          <w:p>
            <w:pPr>
              <w:pStyle w:val="Compact"/>
            </w:pPr>
            <w:r>
              <w:t xml:space="preserve">★★★★☆</w:t>
            </w:r>
          </w:p>
        </w:tc>
        <w:tc>
          <w:tcPr/>
          <w:p>
            <w:pPr>
              <w:pStyle w:val="Compact"/>
            </w:pPr>
            <w:r>
              <w:rPr>
                <w:rFonts w:hint="eastAsia"/>
              </w:rPr>
              <w:t xml:space="preserve">发电量、利用小时、电价、消纳、后续招标</w:t>
            </w:r>
          </w:p>
        </w:tc>
      </w:tr>
      <w:tr>
        <w:tc>
          <w:tcPr/>
          <w:p>
            <w:pPr>
              <w:pStyle w:val="Compact"/>
            </w:pPr>
            <w:r>
              <w:rPr>
                <w:rFonts w:hint="eastAsia"/>
              </w:rPr>
              <w:t xml:space="preserve">抽水蓄能/电网设备</w:t>
            </w:r>
          </w:p>
        </w:tc>
        <w:tc>
          <w:tcPr/>
          <w:p>
            <w:pPr>
              <w:pStyle w:val="Compact"/>
            </w:pPr>
            <w:r>
              <w:rPr>
                <w:rFonts w:hint="eastAsia"/>
              </w:rPr>
              <w:t xml:space="preserve">中长期偏利好</w:t>
            </w:r>
          </w:p>
        </w:tc>
        <w:tc>
          <w:tcPr/>
          <w:p>
            <w:pPr>
              <w:pStyle w:val="Compact"/>
            </w:pPr>
            <w:r>
              <w:rPr>
                <w:rFonts w:hint="eastAsia"/>
              </w:rPr>
              <w:t xml:space="preserve">首台国产变速机组主体安装完成</w:t>
            </w:r>
          </w:p>
        </w:tc>
        <w:tc>
          <w:tcPr/>
          <w:p>
            <w:pPr>
              <w:pStyle w:val="Compact"/>
            </w:pPr>
            <w:r>
              <w:t xml:space="preserve">★★★★☆</w:t>
            </w:r>
          </w:p>
        </w:tc>
        <w:tc>
          <w:tcPr/>
          <w:p>
            <w:pPr>
              <w:pStyle w:val="Compact"/>
            </w:pPr>
            <w:r>
              <w:rPr>
                <w:rFonts w:hint="eastAsia"/>
              </w:rPr>
              <w:t xml:space="preserve">调试、投产、效率、可靠性、复制订单</w:t>
            </w:r>
          </w:p>
        </w:tc>
      </w:tr>
      <w:tr>
        <w:tc>
          <w:tcPr/>
          <w:p>
            <w:pPr>
              <w:pStyle w:val="Compact"/>
            </w:pPr>
            <w:r>
              <w:rPr>
                <w:rFonts w:hint="eastAsia"/>
              </w:rPr>
              <w:t xml:space="preserve">文旅/酒店餐饮</w:t>
            </w:r>
          </w:p>
        </w:tc>
        <w:tc>
          <w:tcPr/>
          <w:p>
            <w:pPr>
              <w:pStyle w:val="Compact"/>
            </w:pPr>
            <w:r>
              <w:rPr>
                <w:rFonts w:hint="eastAsia"/>
              </w:rPr>
              <w:t xml:space="preserve">假期偏利好、区域分化</w:t>
            </w:r>
          </w:p>
        </w:tc>
        <w:tc>
          <w:tcPr/>
          <w:p>
            <w:pPr>
              <w:pStyle w:val="Compact"/>
            </w:pPr>
            <w:r>
              <w:rPr>
                <w:rFonts w:hint="eastAsia"/>
              </w:rPr>
              <w:t xml:space="preserve">多地客流、夜游、非遗；南方阴雨</w:t>
            </w:r>
          </w:p>
        </w:tc>
        <w:tc>
          <w:tcPr/>
          <w:p>
            <w:pPr>
              <w:pStyle w:val="Compact"/>
            </w:pPr>
            <w:r>
              <w:t xml:space="preserve">★★★☆☆</w:t>
            </w:r>
          </w:p>
        </w:tc>
        <w:tc>
          <w:tcPr/>
          <w:p>
            <w:pPr>
              <w:pStyle w:val="Compact"/>
            </w:pPr>
            <w:r>
              <w:rPr>
                <w:rFonts w:hint="eastAsia"/>
              </w:rPr>
              <w:t xml:space="preserve">客流、客单价、入住率、天气、运营成本</w:t>
            </w:r>
          </w:p>
        </w:tc>
      </w:tr>
      <w:tr>
        <w:tc>
          <w:tcPr/>
          <w:p>
            <w:pPr>
              <w:pStyle w:val="Compact"/>
            </w:pPr>
            <w:r>
              <w:rPr>
                <w:rFonts w:hint="eastAsia"/>
              </w:rPr>
              <w:t xml:space="preserve">红色研学/数字展陈</w:t>
            </w:r>
          </w:p>
        </w:tc>
        <w:tc>
          <w:tcPr/>
          <w:p>
            <w:pPr>
              <w:pStyle w:val="Compact"/>
            </w:pPr>
            <w:r>
              <w:rPr>
                <w:rFonts w:hint="eastAsia"/>
              </w:rPr>
              <w:t xml:space="preserve">结构性正面</w:t>
            </w:r>
          </w:p>
        </w:tc>
        <w:tc>
          <w:tcPr/>
          <w:p>
            <w:pPr>
              <w:pStyle w:val="Compact"/>
            </w:pPr>
            <w:r>
              <w:rPr>
                <w:rFonts w:hint="eastAsia"/>
              </w:rPr>
              <w:t xml:space="preserve">景区高峰、AI与全息影像应用</w:t>
            </w:r>
          </w:p>
        </w:tc>
        <w:tc>
          <w:tcPr/>
          <w:p>
            <w:pPr>
              <w:pStyle w:val="Compact"/>
            </w:pPr>
            <w:r>
              <w:t xml:space="preserve">★★★☆☆</w:t>
            </w:r>
          </w:p>
        </w:tc>
        <w:tc>
          <w:tcPr/>
          <w:p>
            <w:pPr>
              <w:pStyle w:val="Compact"/>
            </w:pPr>
            <w:r>
              <w:rPr>
                <w:rFonts w:hint="eastAsia"/>
              </w:rPr>
              <w:t xml:space="preserve">研学订单、展陈招标、付费转化、回款</w:t>
            </w:r>
          </w:p>
        </w:tc>
      </w:tr>
      <w:tr>
        <w:tc>
          <w:tcPr/>
          <w:p>
            <w:pPr>
              <w:pStyle w:val="Compact"/>
            </w:pPr>
            <w:r>
              <w:rPr>
                <w:rFonts w:hint="eastAsia"/>
              </w:rPr>
              <w:t xml:space="preserve">体育赛事/体育用品</w:t>
            </w:r>
          </w:p>
        </w:tc>
        <w:tc>
          <w:tcPr/>
          <w:p>
            <w:pPr>
              <w:pStyle w:val="Compact"/>
            </w:pPr>
            <w:r>
              <w:rPr>
                <w:rFonts w:hint="eastAsia"/>
              </w:rPr>
              <w:t xml:space="preserve">事件性正面</w:t>
            </w:r>
          </w:p>
        </w:tc>
        <w:tc>
          <w:tcPr/>
          <w:p>
            <w:pPr>
              <w:pStyle w:val="Compact"/>
            </w:pPr>
            <w:r>
              <w:rPr>
                <w:rFonts w:hint="eastAsia"/>
              </w:rPr>
              <w:t xml:space="preserve">亚运会成绩、服务业政策支持体育</w:t>
            </w:r>
          </w:p>
        </w:tc>
        <w:tc>
          <w:tcPr/>
          <w:p>
            <w:pPr>
              <w:pStyle w:val="Compact"/>
            </w:pPr>
            <w:r>
              <w:t xml:space="preserve">★★★☆☆</w:t>
            </w:r>
          </w:p>
        </w:tc>
        <w:tc>
          <w:tcPr/>
          <w:p>
            <w:pPr>
              <w:pStyle w:val="Compact"/>
            </w:pPr>
            <w:r>
              <w:rPr>
                <w:rFonts w:hint="eastAsia"/>
              </w:rPr>
              <w:t xml:space="preserve">门票、赞助、销售、授权、赛事合同</w:t>
            </w:r>
          </w:p>
        </w:tc>
      </w:tr>
      <w:tr>
        <w:tc>
          <w:tcPr/>
          <w:p>
            <w:pPr>
              <w:pStyle w:val="Compact"/>
            </w:pPr>
            <w:r>
              <w:rPr>
                <w:rFonts w:hint="eastAsia"/>
              </w:rPr>
              <w:t xml:space="preserve">生态监测/修复</w:t>
            </w:r>
          </w:p>
        </w:tc>
        <w:tc>
          <w:tcPr/>
          <w:p>
            <w:pPr>
              <w:pStyle w:val="Compact"/>
            </w:pPr>
            <w:r>
              <w:rPr>
                <w:rFonts w:hint="eastAsia"/>
              </w:rPr>
              <w:t xml:space="preserve">长期正面、短期催化弱</w:t>
            </w:r>
          </w:p>
        </w:tc>
        <w:tc>
          <w:tcPr/>
          <w:p>
            <w:pPr>
              <w:pStyle w:val="Compact"/>
            </w:pPr>
            <w:r>
              <w:rPr>
                <w:rFonts w:hint="eastAsia"/>
              </w:rPr>
              <w:t xml:space="preserve">生态红线五年评估、国土绿化</w:t>
            </w:r>
          </w:p>
        </w:tc>
        <w:tc>
          <w:tcPr/>
          <w:p>
            <w:pPr>
              <w:pStyle w:val="Compact"/>
            </w:pPr>
            <w:r>
              <w:t xml:space="preserve">★★★☆☆</w:t>
            </w:r>
          </w:p>
        </w:tc>
        <w:tc>
          <w:tcPr/>
          <w:p>
            <w:pPr>
              <w:pStyle w:val="Compact"/>
            </w:pPr>
            <w:r>
              <w:rPr>
                <w:rFonts w:hint="eastAsia"/>
              </w:rPr>
              <w:t xml:space="preserve">预算、项目、招标、验收、回款</w:t>
            </w:r>
          </w:p>
        </w:tc>
      </w:tr>
      <w:tr>
        <w:tc>
          <w:tcPr/>
          <w:p>
            <w:pPr>
              <w:pStyle w:val="Compact"/>
            </w:pPr>
            <w:r>
              <w:rPr>
                <w:rFonts w:hint="eastAsia"/>
              </w:rPr>
              <w:t xml:space="preserve">人力资源/招聘服务</w:t>
            </w:r>
          </w:p>
        </w:tc>
        <w:tc>
          <w:tcPr/>
          <w:p>
            <w:pPr>
              <w:pStyle w:val="Compact"/>
            </w:pPr>
            <w:r>
              <w:rPr>
                <w:rFonts w:hint="eastAsia"/>
              </w:rPr>
              <w:t xml:space="preserve">中性偏正面</w:t>
            </w:r>
          </w:p>
        </w:tc>
        <w:tc>
          <w:tcPr/>
          <w:p>
            <w:pPr>
              <w:pStyle w:val="Compact"/>
            </w:pPr>
            <w:r>
              <w:rPr>
                <w:rFonts w:hint="eastAsia"/>
              </w:rPr>
              <w:t xml:space="preserve">89场招聘、69场聚焦新兴行业</w:t>
            </w:r>
          </w:p>
        </w:tc>
        <w:tc>
          <w:tcPr/>
          <w:p>
            <w:pPr>
              <w:pStyle w:val="Compact"/>
            </w:pPr>
            <w:r>
              <w:t xml:space="preserve">★★★☆☆</w:t>
            </w:r>
          </w:p>
        </w:tc>
        <w:tc>
          <w:tcPr/>
          <w:p>
            <w:pPr>
              <w:pStyle w:val="Compact"/>
            </w:pPr>
            <w:r>
              <w:rPr>
                <w:rFonts w:hint="eastAsia"/>
              </w:rPr>
              <w:t xml:space="preserve">岗位数、转化率、薪资、平台收入</w:t>
            </w:r>
          </w:p>
        </w:tc>
      </w:tr>
      <w:tr>
        <w:tc>
          <w:tcPr/>
          <w:p>
            <w:pPr>
              <w:pStyle w:val="Compact"/>
            </w:pPr>
            <w:r>
              <w:rPr>
                <w:rFonts w:hint="eastAsia"/>
              </w:rPr>
              <w:t xml:space="preserve">原油/油运/贵金属</w:t>
            </w:r>
          </w:p>
        </w:tc>
        <w:tc>
          <w:tcPr/>
          <w:p>
            <w:pPr>
              <w:pStyle w:val="Compact"/>
            </w:pPr>
            <w:r>
              <w:rPr>
                <w:rFonts w:hint="eastAsia"/>
              </w:rPr>
              <w:t xml:space="preserve">风险溢价可能上升</w:t>
            </w:r>
          </w:p>
        </w:tc>
        <w:tc>
          <w:tcPr/>
          <w:p>
            <w:pPr>
              <w:pStyle w:val="Compact"/>
            </w:pPr>
            <w:r>
              <w:rPr>
                <w:rFonts w:hint="eastAsia"/>
              </w:rPr>
              <w:t xml:space="preserve">美向中东增兵、也门冲突</w:t>
            </w:r>
          </w:p>
        </w:tc>
        <w:tc>
          <w:tcPr/>
          <w:p>
            <w:pPr>
              <w:pStyle w:val="Compact"/>
            </w:pPr>
            <w:r>
              <w:t xml:space="preserve">★★★★☆</w:t>
            </w:r>
          </w:p>
        </w:tc>
        <w:tc>
          <w:tcPr/>
          <w:p>
            <w:pPr>
              <w:pStyle w:val="Compact"/>
            </w:pPr>
            <w:r>
              <w:rPr>
                <w:rFonts w:hint="eastAsia"/>
              </w:rPr>
              <w:t xml:space="preserve">正式部署、油供给、航道、运价、保险</w:t>
            </w:r>
          </w:p>
        </w:tc>
      </w:tr>
      <w:tr>
        <w:tc>
          <w:tcPr/>
          <w:p>
            <w:pPr>
              <w:pStyle w:val="Compact"/>
            </w:pPr>
            <w:r>
              <w:rPr>
                <w:rFonts w:hint="eastAsia"/>
              </w:rPr>
              <w:t xml:space="preserve">航空/化工等成本端</w:t>
            </w:r>
          </w:p>
        </w:tc>
        <w:tc>
          <w:tcPr/>
          <w:p>
            <w:pPr>
              <w:pStyle w:val="Compact"/>
            </w:pPr>
            <w:r>
              <w:rPr>
                <w:rFonts w:hint="eastAsia"/>
              </w:rPr>
              <w:t xml:space="preserve">潜在承压</w:t>
            </w:r>
          </w:p>
        </w:tc>
        <w:tc>
          <w:tcPr/>
          <w:p>
            <w:pPr>
              <w:pStyle w:val="Compact"/>
            </w:pPr>
            <w:r>
              <w:rPr>
                <w:rFonts w:hint="eastAsia"/>
              </w:rPr>
              <w:t xml:space="preserve">中东风险可能推高能源价格</w:t>
            </w:r>
          </w:p>
        </w:tc>
        <w:tc>
          <w:tcPr/>
          <w:p>
            <w:pPr>
              <w:pStyle w:val="Compact"/>
            </w:pPr>
            <w:r>
              <w:t xml:space="preserve">★★★★☆</w:t>
            </w:r>
          </w:p>
        </w:tc>
        <w:tc>
          <w:tcPr/>
          <w:p>
            <w:pPr>
              <w:pStyle w:val="Compact"/>
            </w:pPr>
            <w:r>
              <w:rPr>
                <w:rFonts w:hint="eastAsia"/>
              </w:rPr>
              <w:t xml:space="preserve">油价、汇率、票价、产品价差、套保</w:t>
            </w:r>
          </w:p>
        </w:tc>
      </w:tr>
    </w:tbl>
    <w:bookmarkEnd w:id="35"/>
    <w:bookmarkStart w:id="40" w:name="五明确操作建议"/>
    <w:p>
      <w:pPr>
        <w:pStyle w:val="Heading2"/>
      </w:pPr>
      <w:r>
        <w:rPr>
          <w:rFonts w:hint="eastAsia"/>
        </w:rPr>
        <w:t xml:space="preserve">五、明确操作建议</w:t>
      </w:r>
    </w:p>
    <w:bookmarkStart w:id="36" w:name="短线节后13个交易日"/>
    <w:p>
      <w:pPr>
        <w:pStyle w:val="Heading3"/>
      </w:pPr>
      <w:r>
        <w:t xml:space="preserve">1. </w:t>
      </w:r>
      <w:r>
        <w:rPr>
          <w:rFonts w:hint="eastAsia"/>
        </w:rPr>
        <w:t xml:space="preserve">短线（节后1—3个交易日）</w:t>
      </w:r>
    </w:p>
    <w:p>
      <w:pPr>
        <w:pStyle w:val="Compact"/>
        <w:numPr>
          <w:ilvl w:val="0"/>
          <w:numId w:val="1026"/>
        </w:numPr>
      </w:pPr>
      <w:r>
        <w:rPr>
          <w:rFonts w:hint="eastAsia"/>
          <w:b/>
          <w:bCs/>
        </w:rPr>
        <w:t xml:space="preserve">第一观察线：以旧换新兑现。</w:t>
      </w:r>
      <w:r>
        <w:t xml:space="preserve"> </w:t>
      </w:r>
      <w:r>
        <w:rPr>
          <w:rFonts w:hint="eastAsia"/>
        </w:rPr>
        <w:t xml:space="preserve">优先看家电、消费电子和新能源汽车的高频销量、补贴核销、渠道库存与价格，不因2500亿元的大数字追高。只有销量增长且毛利、回款不恶化，才具备更强基本面质量。</w:t>
      </w:r>
    </w:p>
    <w:p>
      <w:pPr>
        <w:pStyle w:val="Compact"/>
        <w:numPr>
          <w:ilvl w:val="0"/>
          <w:numId w:val="1026"/>
        </w:numPr>
      </w:pPr>
      <w:r>
        <w:rPr>
          <w:rFonts w:hint="eastAsia"/>
          <w:b/>
          <w:bCs/>
        </w:rPr>
        <w:t xml:space="preserve">第二观察线：假日文旅与服务消费。</w:t>
      </w:r>
      <w:r>
        <w:t xml:space="preserve"> </w:t>
      </w:r>
      <w:r>
        <w:rPr>
          <w:rFonts w:hint="eastAsia"/>
        </w:rPr>
        <w:t xml:space="preserve">客流是起点，客单价、入住率、票价、二次消费和成本才决定利润。南方阴雨可能造成区域分化，应区分全国性平台与单一区域景区。</w:t>
      </w:r>
    </w:p>
    <w:p>
      <w:pPr>
        <w:pStyle w:val="Compact"/>
        <w:numPr>
          <w:ilvl w:val="0"/>
          <w:numId w:val="1026"/>
        </w:numPr>
      </w:pPr>
      <w:r>
        <w:rPr>
          <w:rFonts w:hint="eastAsia"/>
          <w:b/>
          <w:bCs/>
        </w:rPr>
        <w:t xml:space="preserve">第三观察线：科技服务、物流和科技保险。</w:t>
      </w:r>
      <w:r>
        <w:t xml:space="preserve"> </w:t>
      </w:r>
      <w:r>
        <w:rPr>
          <w:rFonts w:hint="eastAsia"/>
        </w:rPr>
        <w:t xml:space="preserve">政策强度较高，但短线缺乏具体企业订单；等待节后资金对产业细分形成量价确认，不追“服务业”宽泛概念。</w:t>
      </w:r>
    </w:p>
    <w:p>
      <w:pPr>
        <w:pStyle w:val="Compact"/>
        <w:numPr>
          <w:ilvl w:val="0"/>
          <w:numId w:val="1026"/>
        </w:numPr>
      </w:pPr>
      <w:r>
        <w:rPr>
          <w:rFonts w:hint="eastAsia"/>
          <w:b/>
          <w:bCs/>
        </w:rPr>
        <w:t xml:space="preserve">风险线：中东地缘。</w:t>
      </w:r>
      <w:r>
        <w:t xml:space="preserve"> </w:t>
      </w:r>
      <w:r>
        <w:rPr>
          <w:rFonts w:hint="eastAsia"/>
        </w:rPr>
        <w:t xml:space="preserve">原油、油运、贵金属可能获得风险溢价，航空和部分化工成本可能承压；军事部署与冲突均可能快速反转，仓位宜轻、止损明确。</w:t>
      </w:r>
    </w:p>
    <w:bookmarkEnd w:id="36"/>
    <w:bookmarkStart w:id="37" w:name="中线14周及更长"/>
    <w:p>
      <w:pPr>
        <w:pStyle w:val="Heading3"/>
      </w:pPr>
      <w:r>
        <w:t xml:space="preserve">2. </w:t>
      </w:r>
      <w:r>
        <w:rPr>
          <w:rFonts w:hint="eastAsia"/>
        </w:rPr>
        <w:t xml:space="preserve">中线（1—4周及更长）</w:t>
      </w:r>
    </w:p>
    <w:p>
      <w:pPr>
        <w:pStyle w:val="Compact"/>
        <w:numPr>
          <w:ilvl w:val="0"/>
          <w:numId w:val="1027"/>
        </w:numPr>
      </w:pPr>
      <w:r>
        <w:rPr>
          <w:rFonts w:hint="eastAsia"/>
          <w:b/>
          <w:bCs/>
        </w:rPr>
        <w:t xml:space="preserve">第一梯队：服务业扩能提质。</w:t>
      </w:r>
      <w:r>
        <w:t xml:space="preserve"> </w:t>
      </w:r>
      <w:r>
        <w:rPr>
          <w:rFonts w:hint="eastAsia"/>
        </w:rPr>
        <w:t xml:space="preserve">按“养老补贴/结构性工具/土地安排—地方细则—项目与贷款—收入—回款”验证，重点区分生产性服务与生活性服务，避免把所有服务业视作同一逻辑。</w:t>
      </w:r>
    </w:p>
    <w:p>
      <w:pPr>
        <w:pStyle w:val="Compact"/>
        <w:numPr>
          <w:ilvl w:val="0"/>
          <w:numId w:val="1027"/>
        </w:numPr>
      </w:pPr>
      <w:r>
        <w:rPr>
          <w:rFonts w:hint="eastAsia"/>
          <w:b/>
          <w:bCs/>
        </w:rPr>
        <w:t xml:space="preserve">第二梯队：耐用品更新。</w:t>
      </w:r>
      <w:r>
        <w:t xml:space="preserve"> </w:t>
      </w:r>
      <w:r>
        <w:rPr>
          <w:rFonts w:hint="eastAsia"/>
        </w:rPr>
        <w:t xml:space="preserve">跟踪资金下达后的边际销售效果、是否透支未来需求，以及品牌集中度、产品升级和企业盈利质量。</w:t>
      </w:r>
    </w:p>
    <w:p>
      <w:pPr>
        <w:pStyle w:val="Compact"/>
        <w:numPr>
          <w:ilvl w:val="0"/>
          <w:numId w:val="1027"/>
        </w:numPr>
      </w:pPr>
      <w:r>
        <w:rPr>
          <w:rFonts w:hint="eastAsia"/>
          <w:b/>
          <w:bCs/>
        </w:rPr>
        <w:t xml:space="preserve">第三梯队：清洁能源与储能。</w:t>
      </w:r>
      <w:r>
        <w:t xml:space="preserve"> </w:t>
      </w:r>
      <w:r>
        <w:rPr>
          <w:rFonts w:hint="eastAsia"/>
        </w:rPr>
        <w:t xml:space="preserve">光伏光热项目已并网，变速抽蓄机组处于主体安装完成阶段；后续复制价值取决于运行效率、经济性和新增项目，而非单一里程碑。</w:t>
      </w:r>
    </w:p>
    <w:p>
      <w:pPr>
        <w:pStyle w:val="Compact"/>
        <w:numPr>
          <w:ilvl w:val="0"/>
          <w:numId w:val="1027"/>
        </w:numPr>
      </w:pPr>
      <w:r>
        <w:rPr>
          <w:rFonts w:hint="eastAsia"/>
          <w:b/>
          <w:bCs/>
        </w:rPr>
        <w:t xml:space="preserve">第四梯队：物流与科技保险。</w:t>
      </w:r>
      <w:r>
        <w:t xml:space="preserve"> </w:t>
      </w:r>
      <w:r>
        <w:rPr>
          <w:rFonts w:hint="eastAsia"/>
        </w:rPr>
        <w:t xml:space="preserve">物流关注高技术货类、运价和单位成本；科技保险关注从风险保障额到保费和承保利润的转化。</w:t>
      </w:r>
    </w:p>
    <w:p>
      <w:pPr>
        <w:pStyle w:val="Compact"/>
        <w:numPr>
          <w:ilvl w:val="0"/>
          <w:numId w:val="1027"/>
        </w:numPr>
      </w:pPr>
      <w:r>
        <w:rPr>
          <w:rFonts w:hint="eastAsia"/>
          <w:b/>
          <w:bCs/>
        </w:rPr>
        <w:t xml:space="preserve">长期观察：</w:t>
      </w:r>
      <w:r>
        <w:t xml:space="preserve"> </w:t>
      </w:r>
      <w:r>
        <w:rPr>
          <w:rFonts w:hint="eastAsia"/>
        </w:rPr>
        <w:t xml:space="preserve">生态红线、国土绿化、气候和水资源方向具备长期需求，但需等待预算与工程招标；驻外活动只提供合作氛围，不构成订单依据。</w:t>
      </w:r>
    </w:p>
    <w:bookmarkEnd w:id="37"/>
    <w:bookmarkStart w:id="38" w:name="仓位与行为纪律"/>
    <w:p>
      <w:pPr>
        <w:pStyle w:val="Heading3"/>
      </w:pPr>
      <w:r>
        <w:t xml:space="preserve">3. </w:t>
      </w:r>
      <w:r>
        <w:rPr>
          <w:rFonts w:hint="eastAsia"/>
        </w:rPr>
        <w:t xml:space="preserve">仓位与行为纪律</w:t>
      </w:r>
    </w:p>
    <w:p>
      <w:pPr>
        <w:pStyle w:val="Compact"/>
        <w:numPr>
          <w:ilvl w:val="0"/>
          <w:numId w:val="1028"/>
        </w:numPr>
      </w:pPr>
      <w:r>
        <w:rPr>
          <w:rFonts w:hint="eastAsia"/>
          <w:b/>
          <w:bCs/>
        </w:rPr>
        <w:t xml:space="preserve">总体判断：</w:t>
      </w:r>
      <w:r>
        <w:t xml:space="preserve"> </w:t>
      </w:r>
      <w:r>
        <w:rPr>
          <w:rFonts w:hint="eastAsia"/>
        </w:rPr>
        <w:t xml:space="preserve">本稿没有引入节前A股指数、成交额、资金流、估值和公司公告，不能只凭联播内容预测节后指数涨跌或决定满仓。</w:t>
      </w:r>
    </w:p>
    <w:p>
      <w:pPr>
        <w:pStyle w:val="Compact"/>
        <w:numPr>
          <w:ilvl w:val="0"/>
          <w:numId w:val="1028"/>
        </w:numPr>
      </w:pPr>
      <w:r>
        <w:rPr>
          <w:rFonts w:hint="eastAsia"/>
          <w:b/>
          <w:bCs/>
        </w:rPr>
        <w:t xml:space="preserve">右侧条件：</w:t>
      </w:r>
      <w:r>
        <w:t xml:space="preserve"> </w:t>
      </w:r>
      <w:r>
        <w:rPr>
          <w:rFonts w:hint="eastAsia"/>
        </w:rPr>
        <w:t xml:space="preserve">只参与趋势已经形成、缩量回踩不破关键结构并再次放量确认的方向；保守者等待站稳前高，趋势破位或基本面被证伪时退出。</w:t>
      </w:r>
    </w:p>
    <w:p>
      <w:pPr>
        <w:pStyle w:val="Compact"/>
        <w:numPr>
          <w:ilvl w:val="0"/>
          <w:numId w:val="1028"/>
        </w:numPr>
      </w:pPr>
      <w:r>
        <w:rPr>
          <w:rFonts w:hint="eastAsia"/>
          <w:b/>
          <w:bCs/>
        </w:rPr>
        <w:t xml:space="preserve">仓位纪律：</w:t>
      </w:r>
      <w:r>
        <w:t xml:space="preserve"> </w:t>
      </w:r>
      <w:r>
        <w:rPr>
          <w:rFonts w:hint="eastAsia"/>
        </w:rPr>
        <w:t xml:space="preserve">初始观察仓约三成；销量、补贴、订单、盈利和量价共同确认后再提高到六至七成，保留三成机动；极高确定性才考虑更高仓位。</w:t>
      </w:r>
    </w:p>
    <w:p>
      <w:pPr>
        <w:pStyle w:val="Compact"/>
        <w:numPr>
          <w:ilvl w:val="0"/>
          <w:numId w:val="1028"/>
        </w:numPr>
      </w:pPr>
      <w:r>
        <w:rPr>
          <w:rFonts w:hint="eastAsia"/>
          <w:b/>
          <w:bCs/>
        </w:rPr>
        <w:t xml:space="preserve">行为风险：</w:t>
      </w:r>
      <w:r>
        <w:t xml:space="preserve"> </w:t>
      </w:r>
      <w:r>
        <w:rPr>
          <w:rFonts w:hint="eastAsia"/>
        </w:rPr>
        <w:t xml:space="preserve">警惕2500亿元、1.55万亿元、2.08亿人次、243.6万亿元、8.7万亿元、66.9%、115万千瓦、25.3亿度和21亿度等醒目数字引发注意力偏差、锚定、FOMO、确认偏误和羊群效应。它们分别是资金、销售额、覆盖人次、物流额、风险保障额、增速、装机和预计电量，不是个股利润保证。</w:t>
      </w:r>
    </w:p>
    <w:bookmarkEnd w:id="38"/>
    <w:bookmarkStart w:id="39" w:name="后续验证清单"/>
    <w:p>
      <w:pPr>
        <w:pStyle w:val="Heading3"/>
      </w:pPr>
      <w:r>
        <w:t xml:space="preserve">4. </w:t>
      </w:r>
      <w:r>
        <w:rPr>
          <w:rFonts w:hint="eastAsia"/>
        </w:rPr>
        <w:t xml:space="preserve">后续验证清单</w:t>
      </w:r>
    </w:p>
    <w:p>
      <w:pPr>
        <w:pStyle w:val="Compact"/>
        <w:numPr>
          <w:ilvl w:val="0"/>
          <w:numId w:val="1029"/>
        </w:numPr>
      </w:pPr>
      <w:r>
        <w:rPr>
          <w:rFonts w:hint="eastAsia"/>
        </w:rPr>
        <w:t xml:space="preserve">第四批625亿元下达后的地方额度、补贴细则、申领和核销进度。</w:t>
      </w:r>
    </w:p>
    <w:p>
      <w:pPr>
        <w:pStyle w:val="Compact"/>
        <w:numPr>
          <w:ilvl w:val="0"/>
          <w:numId w:val="1029"/>
        </w:numPr>
      </w:pPr>
      <w:r>
        <w:rPr>
          <w:rFonts w:hint="eastAsia"/>
        </w:rPr>
        <w:t xml:space="preserve">家电、数码智能产品和汽车的销量、均价、折扣、库存、品牌份额和毛利率。</w:t>
      </w:r>
    </w:p>
    <w:p>
      <w:pPr>
        <w:pStyle w:val="Compact"/>
        <w:numPr>
          <w:ilvl w:val="0"/>
          <w:numId w:val="1029"/>
        </w:numPr>
      </w:pPr>
      <w:r>
        <w:rPr>
          <w:rFonts w:hint="eastAsia"/>
        </w:rPr>
        <w:t xml:space="preserve">新能源乘用车占比持续性、单车利润、渠道库存和产业链回款。</w:t>
      </w:r>
    </w:p>
    <w:p>
      <w:pPr>
        <w:pStyle w:val="Compact"/>
        <w:numPr>
          <w:ilvl w:val="0"/>
          <w:numId w:val="1029"/>
        </w:numPr>
      </w:pPr>
      <w:r>
        <w:rPr>
          <w:rFonts w:hint="eastAsia"/>
        </w:rPr>
        <w:t xml:space="preserve">养老服务消费补贴的覆盖范围、标准、支付周期和订单转化。</w:t>
      </w:r>
    </w:p>
    <w:p>
      <w:pPr>
        <w:pStyle w:val="Compact"/>
        <w:numPr>
          <w:ilvl w:val="0"/>
          <w:numId w:val="1029"/>
        </w:numPr>
      </w:pPr>
      <w:r>
        <w:rPr>
          <w:rFonts w:hint="eastAsia"/>
        </w:rPr>
        <w:t xml:space="preserve">结构性货币政策工具对科技服务、物流、文旅和体育的实际贷款投放。</w:t>
      </w:r>
    </w:p>
    <w:p>
      <w:pPr>
        <w:pStyle w:val="Compact"/>
        <w:numPr>
          <w:ilvl w:val="0"/>
          <w:numId w:val="1029"/>
        </w:numPr>
      </w:pPr>
      <w:r>
        <w:rPr>
          <w:rFonts w:hint="eastAsia"/>
        </w:rPr>
        <w:t xml:space="preserve">低效工业用地、闲置房屋再利用和养老托育用地的地方项目。</w:t>
      </w:r>
    </w:p>
    <w:p>
      <w:pPr>
        <w:pStyle w:val="Compact"/>
        <w:numPr>
          <w:ilvl w:val="0"/>
          <w:numId w:val="1029"/>
        </w:numPr>
      </w:pPr>
      <w:r>
        <w:rPr>
          <w:rFonts w:hint="eastAsia"/>
        </w:rPr>
        <w:t xml:space="preserve">社会物流额、货运量、运价、仓储周转和物流企业单位成本。</w:t>
      </w:r>
    </w:p>
    <w:p>
      <w:pPr>
        <w:pStyle w:val="Compact"/>
        <w:numPr>
          <w:ilvl w:val="0"/>
          <w:numId w:val="1029"/>
        </w:numPr>
      </w:pPr>
      <w:r>
        <w:rPr>
          <w:rFonts w:hint="eastAsia"/>
        </w:rPr>
        <w:t xml:space="preserve">科技保险的保费、费率、赔付率、承保利润与再保险安排。</w:t>
      </w:r>
    </w:p>
    <w:p>
      <w:pPr>
        <w:pStyle w:val="Compact"/>
        <w:numPr>
          <w:ilvl w:val="0"/>
          <w:numId w:val="1029"/>
        </w:numPr>
      </w:pPr>
      <w:r>
        <w:rPr>
          <w:rFonts w:hint="eastAsia"/>
        </w:rPr>
        <w:t xml:space="preserve">青海光伏光热项目实际发电量、利用小时、电价、消纳和运维表现。</w:t>
      </w:r>
    </w:p>
    <w:p>
      <w:pPr>
        <w:pStyle w:val="Compact"/>
        <w:numPr>
          <w:ilvl w:val="0"/>
          <w:numId w:val="1029"/>
        </w:numPr>
      </w:pPr>
      <w:r>
        <w:rPr>
          <w:rFonts w:hint="eastAsia"/>
        </w:rPr>
        <w:t xml:space="preserve">国产变速抽蓄机组调试、并网、2027年投产节点与后续复制订单。</w:t>
      </w:r>
    </w:p>
    <w:p>
      <w:pPr>
        <w:pStyle w:val="Compact"/>
        <w:numPr>
          <w:ilvl w:val="0"/>
          <w:numId w:val="1029"/>
        </w:numPr>
      </w:pPr>
      <w:r>
        <w:rPr>
          <w:rFonts w:hint="eastAsia"/>
        </w:rPr>
        <w:t xml:space="preserve">铁路货运新规实施后的时效、索赔、退补费用和冷链货源变化。</w:t>
      </w:r>
    </w:p>
    <w:p>
      <w:pPr>
        <w:pStyle w:val="Compact"/>
        <w:numPr>
          <w:ilvl w:val="0"/>
          <w:numId w:val="1029"/>
        </w:numPr>
      </w:pPr>
      <w:r>
        <w:rPr>
          <w:rFonts w:hint="eastAsia"/>
        </w:rPr>
        <w:t xml:space="preserve">国庆文旅客流、客单价、酒店入住、夜游与景区二次消费。</w:t>
      </w:r>
    </w:p>
    <w:p>
      <w:pPr>
        <w:pStyle w:val="Compact"/>
        <w:numPr>
          <w:ilvl w:val="0"/>
          <w:numId w:val="1029"/>
        </w:numPr>
      </w:pPr>
      <w:r>
        <w:rPr>
          <w:rFonts w:hint="eastAsia"/>
        </w:rPr>
        <w:t xml:space="preserve">红色研学与数字展陈的项目招标、付费转化、毛利和回款。</w:t>
      </w:r>
    </w:p>
    <w:p>
      <w:pPr>
        <w:pStyle w:val="Compact"/>
        <w:numPr>
          <w:ilvl w:val="0"/>
          <w:numId w:val="1029"/>
        </w:numPr>
      </w:pPr>
      <w:r>
        <w:rPr>
          <w:rFonts w:hint="eastAsia"/>
        </w:rPr>
        <w:t xml:space="preserve">国土绿化、生态红线监测与修复工程的预算、招标和验收。</w:t>
      </w:r>
    </w:p>
    <w:p>
      <w:pPr>
        <w:pStyle w:val="Compact"/>
        <w:numPr>
          <w:ilvl w:val="0"/>
          <w:numId w:val="1029"/>
        </w:numPr>
      </w:pPr>
      <w:r>
        <w:rPr>
          <w:rFonts w:hint="eastAsia"/>
        </w:rPr>
        <w:t xml:space="preserve">招聘专场的岗位数量、行业分布、招聘完成率和薪资变化。</w:t>
      </w:r>
    </w:p>
    <w:p>
      <w:pPr>
        <w:pStyle w:val="Compact"/>
        <w:numPr>
          <w:ilvl w:val="0"/>
          <w:numId w:val="1029"/>
        </w:numPr>
      </w:pPr>
      <w:r>
        <w:rPr>
          <w:rFonts w:hint="eastAsia"/>
        </w:rPr>
        <w:t xml:space="preserve">美国中东部署、也门冲突、能源设施和关键航道是否出现增量变化。</w:t>
      </w:r>
    </w:p>
    <w:p>
      <w:pPr>
        <w:pStyle w:val="Compact"/>
        <w:numPr>
          <w:ilvl w:val="0"/>
          <w:numId w:val="1029"/>
        </w:numPr>
      </w:pPr>
      <w:r>
        <w:rPr>
          <w:rFonts w:hint="eastAsia"/>
        </w:rPr>
        <w:t xml:space="preserve">国际油价、油运和保险费率，以及航空、化工等行业的成本传导。</w:t>
      </w:r>
    </w:p>
    <w:bookmarkEnd w:id="39"/>
    <w:bookmarkEnd w:id="40"/>
    <w:bookmarkStart w:id="41" w:name="六事实核验与完整性结论"/>
    <w:p>
      <w:pPr>
        <w:pStyle w:val="Heading2"/>
      </w:pPr>
      <w:r>
        <w:rPr>
          <w:rFonts w:hint="eastAsia"/>
        </w:rPr>
        <w:t xml:space="preserve">六、事实核验与完整性结论</w:t>
      </w:r>
    </w:p>
    <w:p>
      <w:pPr>
        <w:pStyle w:val="Compact"/>
        <w:numPr>
          <w:ilvl w:val="0"/>
          <w:numId w:val="1030"/>
        </w:numPr>
      </w:pPr>
      <w:r>
        <w:rPr>
          <w:rFonts w:hint="eastAsia"/>
          <w:b/>
          <w:bCs/>
        </w:rPr>
        <w:t xml:space="preserve">稿源核验：</w:t>
      </w:r>
      <w:r>
        <w:t xml:space="preserve"> </w:t>
      </w:r>
      <w:r>
        <w:rPr>
          <w:rFonts w:hint="eastAsia"/>
        </w:rPr>
        <w:t xml:space="preserve">只使用用户指定的2026年10月2日存档；文件标题日期为20261002，包含“新闻摘要”“详细新闻”、14条分项央视链接和央视日页来源。本报告没有使用外部新闻稿、行情、上市公司公告或第三方预测补充联播事实。</w:t>
      </w:r>
    </w:p>
    <w:p>
      <w:pPr>
        <w:pStyle w:val="Compact"/>
        <w:numPr>
          <w:ilvl w:val="0"/>
          <w:numId w:val="1030"/>
        </w:numPr>
      </w:pPr>
      <w:r>
        <w:rPr>
          <w:rFonts w:hint="eastAsia"/>
          <w:b/>
          <w:bCs/>
        </w:rPr>
        <w:t xml:space="preserve">标题计数核验：</w:t>
      </w:r>
      <w:r>
        <w:t xml:space="preserve"> </w:t>
      </w:r>
      <w:r>
        <w:rPr>
          <w:rFonts w:hint="eastAsia"/>
        </w:rPr>
        <w:t xml:space="preserve">指定文件共有14个三级标题，其中“国内联播快讯”和“国际联播快讯”为2个合集标题，其余12个为独立标题。</w:t>
      </w:r>
    </w:p>
    <w:p>
      <w:pPr>
        <w:pStyle w:val="Compact"/>
        <w:numPr>
          <w:ilvl w:val="0"/>
          <w:numId w:val="1030"/>
        </w:numPr>
      </w:pPr>
      <w:r>
        <w:rPr>
          <w:rFonts w:hint="eastAsia"/>
          <w:b/>
          <w:bCs/>
        </w:rPr>
        <w:t xml:space="preserve">事实单元计数核验：</w:t>
      </w:r>
      <w:r>
        <w:t xml:space="preserve"> </w:t>
      </w:r>
      <w:r>
        <w:rPr>
          <w:rFonts w:hint="eastAsia"/>
        </w:rPr>
        <w:t xml:space="preserve">国内联播快讯包含7个子项，国际联播快讯包含4个子项，拆分后总事实单元为</w:t>
      </w:r>
      <w:r>
        <w:rPr>
          <w:rStyle w:val="VerbatimChar"/>
          <w:rFonts w:hint="eastAsia"/>
        </w:rPr>
        <w:t xml:space="preserve">12＋7＋4＝23</w:t>
      </w:r>
      <w:r>
        <w:rPr>
          <w:rFonts w:hint="eastAsia"/>
        </w:rPr>
        <w:t xml:space="preserve">个。本文按源文件顺序覆盖全部14个标题、23个事实单元。</w:t>
      </w:r>
    </w:p>
    <w:p>
      <w:pPr>
        <w:pStyle w:val="Compact"/>
        <w:numPr>
          <w:ilvl w:val="0"/>
          <w:numId w:val="1030"/>
        </w:numPr>
      </w:pPr>
      <w:r>
        <w:rPr>
          <w:rFonts w:hint="eastAsia"/>
          <w:b/>
          <w:bCs/>
        </w:rPr>
        <w:t xml:space="preserve">国内快讯核验：</w:t>
      </w:r>
      <w:r>
        <w:t xml:space="preserve"> </w:t>
      </w:r>
      <w:r>
        <w:rPr>
          <w:rFonts w:hint="eastAsia"/>
        </w:rPr>
        <w:t xml:space="preserve">科技保险、国土绿化、铁路货运规程、三塔光伏光热基地、国产变速抽水蓄能机组、一刻钟便民生活服务月、高校毕业生招聘7项均已独立分析。</w:t>
      </w:r>
    </w:p>
    <w:p>
      <w:pPr>
        <w:pStyle w:val="Compact"/>
        <w:numPr>
          <w:ilvl w:val="0"/>
          <w:numId w:val="1030"/>
        </w:numPr>
      </w:pPr>
      <w:r>
        <w:rPr>
          <w:rFonts w:hint="eastAsia"/>
          <w:b/>
          <w:bCs/>
        </w:rPr>
        <w:t xml:space="preserve">国际快讯核验：</w:t>
      </w:r>
      <w:r>
        <w:t xml:space="preserve"> </w:t>
      </w:r>
      <w:r>
        <w:rPr>
          <w:rFonts w:hint="eastAsia"/>
        </w:rPr>
        <w:t xml:space="preserve">俄匈外交人员互逐、美向中东派第三艘航母并增兵、也门冲突、瑞士冰川消融4项均已独立分析。</w:t>
      </w:r>
    </w:p>
    <w:p>
      <w:pPr>
        <w:pStyle w:val="Compact"/>
        <w:numPr>
          <w:ilvl w:val="0"/>
          <w:numId w:val="1030"/>
        </w:numPr>
      </w:pPr>
      <w:r>
        <w:rPr>
          <w:rFonts w:hint="eastAsia"/>
          <w:b/>
          <w:bCs/>
        </w:rPr>
        <w:t xml:space="preserve">关键数字核验：</w:t>
      </w:r>
      <w:r>
        <w:t xml:space="preserve"> </w:t>
      </w:r>
      <w:r>
        <w:rPr>
          <w:rFonts w:hint="eastAsia"/>
        </w:rPr>
        <w:t xml:space="preserve">国庆77周年；天安门地区超过30万游客、蜈支洲岛超过6000人、香港超过3万枚烟花；四渡赤水纪念馆客流同比近三成、长征文化数字艺术馆日接待超2000人、雨花台预计近20万人次、300处经典景区、4.2万余处不可移动革命文物和超150万件（套）可移动革命文物；服务业贡献率66.1%及提高5.9个百分点；社会物流总额243.6万亿元及4.9%、居民物品物流3.4%；625亿元、全年2500亿元、1.55万亿元、2.08亿人次、535.3万辆、9145.8万台、1.08亿件、新能源乘用车占比连续5个月超过60%；生态红线319万平方公里、陆域占比超30%、黄河水源涵养指数提升28.6%、重点生物种数保护率提升8.7%；科技保险8.7万亿元及66.9%、60余家；国土绿化近7000万亩、林草产业6万亿元、生态旅游16亿人次；光伏光热115万千瓦、25.3亿度、79.4万吨；抽蓄21亿度、190万吨；89场招聘和69场行业专场；中东近1万名增兵；瑞士冰川一年减少5.5%、四年近20%，均与原文逐项对照。</w:t>
      </w:r>
    </w:p>
    <w:p>
      <w:pPr>
        <w:pStyle w:val="Compact"/>
        <w:numPr>
          <w:ilvl w:val="0"/>
          <w:numId w:val="1030"/>
        </w:numPr>
      </w:pPr>
      <w:r>
        <w:rPr>
          <w:rFonts w:hint="eastAsia"/>
          <w:b/>
          <w:bCs/>
        </w:rPr>
        <w:t xml:space="preserve">事实边界核验：</w:t>
      </w:r>
      <w:r>
        <w:t xml:space="preserve"> </w:t>
      </w:r>
      <w:r>
        <w:rPr>
          <w:rFonts w:hint="eastAsia"/>
        </w:rPr>
        <w:t xml:space="preserve">领导讲话未写成新增产业政策；假日客流未写成企业利润；AI和机器人展示未写成规模订单；服务业举措未写成无限制财政扩张；物流额未写成物流公司收入；2500亿元未写成上市公司营收；风险保障额未写成保费；预计发电量和消纳量未写成实际收入；机组主体安装未写成正式投产；使馆合作期待未写成协议；媒体援引的军事部署未写成已发生能源供应中断；冲突双方声明未扩写为航道受损。</w:t>
      </w:r>
    </w:p>
    <w:p>
      <w:pPr>
        <w:pStyle w:val="Compact"/>
        <w:numPr>
          <w:ilvl w:val="0"/>
          <w:numId w:val="1030"/>
        </w:numPr>
      </w:pPr>
      <w:r>
        <w:rPr>
          <w:rFonts w:hint="eastAsia"/>
          <w:b/>
          <w:bCs/>
        </w:rPr>
        <w:t xml:space="preserve">产业映射核验：</w:t>
      </w:r>
      <w:r>
        <w:t xml:space="preserve"> </w:t>
      </w:r>
      <w:r>
        <w:rPr>
          <w:rFonts w:hint="eastAsia"/>
        </w:rPr>
        <w:t xml:space="preserve">所有板块方向均标明为条件性推演，并配置政策、补贴、项目、销量、价格、成本、份额、订单、应收和现金流等验证指标；没有列出具体股票或作收益承诺。</w:t>
      </w:r>
    </w:p>
    <w:p>
      <w:pPr>
        <w:pStyle w:val="Compact"/>
        <w:numPr>
          <w:ilvl w:val="0"/>
          <w:numId w:val="1030"/>
        </w:numPr>
      </w:pPr>
      <w:r>
        <w:rPr>
          <w:rFonts w:hint="eastAsia"/>
          <w:b/>
          <w:bCs/>
        </w:rPr>
        <w:t xml:space="preserve">内容隔离核验：</w:t>
      </w:r>
      <w:r>
        <w:t xml:space="preserve"> </w:t>
      </w:r>
      <w:r>
        <w:rPr>
          <w:rFonts w:hint="eastAsia"/>
        </w:rPr>
        <w:t xml:space="preserve">正文只保留完整分析，投递用短文本单独存放在指定文本文件中，正文不嵌入投递短文本或内部标记。</w:t>
      </w:r>
    </w:p>
    <w:bookmarkEnd w:id="41"/>
    <w:bookmarkStart w:id="42" w:name="七结论"/>
    <w:p>
      <w:pPr>
        <w:pStyle w:val="Heading2"/>
      </w:pPr>
      <w:r>
        <w:rPr>
          <w:rFonts w:hint="eastAsia"/>
        </w:rPr>
        <w:t xml:space="preserve">七、结论</w:t>
      </w:r>
    </w:p>
    <w:p>
      <w:pPr>
        <w:pStyle w:val="FirstParagraph"/>
      </w:pPr>
      <w:r>
        <w:rPr>
          <w:rFonts w:hint="eastAsia"/>
        </w:rPr>
        <w:t xml:space="preserve">2026年10月2日联播对A股最有执行价值的两条主线，一是全年2500亿元以旧换新资金全部下达，二是服务业扩能提质同步配置产业方向、养老补贴、土地和结构性金融工具。前者为家电、消费电子、新能源汽车和回收渠道提供需求验证窗口，但要警惕价格战、需求透支和回款；后者为研发设计、软件信息、物流、养老托育、文旅体育提供中期政策框架，但必须等待地方细则和企业订单。物流、高技术制造货类和科技保险体现产业运行与风险保障结构升级；光伏光热并网和国产变速抽蓄机组安装完成提供清洁能源及储能的工程节点。假日文旅、红色研学、非遗夜游和科技体验有短期热度，但客流必须转化为客单价和利润。国际方面，中东增兵和也门冲突抬升能源与航运波动风险，却尚不足以确认供应中断。执行上坚持“政策资金—地方落地—销量/订单—收入—利润—现金流”验证链，并以右侧趋势和量价承接决定仓位。</w:t>
      </w:r>
    </w:p>
    <w:p>
      <w:r>
        <w:pict>
          <v:rect style="width:0;height:1.5pt" o:hralign="center" o:hrstd="t" o:hr="t"/>
        </w:pict>
      </w:r>
    </w:p>
    <w:p>
      <w:pPr>
        <w:pStyle w:val="FirstParagraph"/>
      </w:pPr>
      <w:r>
        <w:rPr>
          <w:rFonts w:hint="eastAsia"/>
          <w:i/>
          <w:iCs/>
        </w:rPr>
        <w:t xml:space="preserve">本报告仅依据指定的2026年10月2日《新闻联播》存档原文进行事实整理和条件性A股推演，不构成投资建议。</w:t>
      </w:r>
    </w:p>
    <w:p>
      <w:pPr>
        <w:pStyle w:val="BodyText"/>
      </w:pPr>
      <w:r>
        <w:rPr>
          <w:rFonts w:hint="eastAsia"/>
        </w:rPr>
        <w:t xml:space="preserve">分析和写稿模型：GPT-5.6</w:t>
      </w:r>
      <w:r>
        <w:t xml:space="preserve"> Sol (openai-codex)</w:t>
      </w:r>
    </w:p>
    <w:bookmarkEnd w:id="42"/>
    <w:bookmarkEnd w:id="4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2026-10-02T12:54:51Z</dcterms:created>
  <dcterms:modified xsi:type="dcterms:W3CDTF">2026-10-02T12:54:51Z</dcterms:modified>
</cp:coreProperties>
</file>

<file path=docProps/custom.xml><?xml version="1.0" encoding="utf-8"?>
<Properties xmlns="http://schemas.openxmlformats.org/officeDocument/2006/custom-properties" xmlns:vt="http://schemas.openxmlformats.org/officeDocument/2006/docPropsVTypes"/>
</file>