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年9月30日新闻联播a股深度解读"/>
    <w:p>
      <w:pPr>
        <w:pStyle w:val="Heading1"/>
      </w:pPr>
      <w:r>
        <w:rPr>
          <w:rFonts w:hint="eastAsia"/>
        </w:rPr>
        <w:t xml:space="preserve">2026年9月30日《新闻联播》A股深度解读</w:t>
      </w:r>
    </w:p>
    <w:p>
      <w:pPr>
        <w:pStyle w:val="BlockText"/>
      </w:pPr>
      <w:r>
        <w:rPr>
          <w:rFonts w:hint="eastAsia"/>
        </w:rPr>
        <w:t xml:space="preserve">唯一联播原文：</w:t>
      </w:r>
      <w:r>
        <w:rPr>
          <w:rStyle w:val="VerbatimChar"/>
        </w:rPr>
        <w:t xml:space="preserve">/Users/qiji/.hermes/skills/finance/qiji-morning-know/memory/xinwenlianbo/2026-09-30.md</w:t>
      </w:r>
      <w:r>
        <w:br/>
      </w:r>
      <w:r>
        <w:rPr>
          <w:rFonts w:hint="eastAsia"/>
        </w:rPr>
        <w:t xml:space="preserve">分析边界：下文“原文事实”只整理指定文件明确记载的信息；“条件性A股推演”依据政策层级、需求、成本、产业链传导和风险偏好作情景分析，不代表政策目标已经转化为上市公司订单、收入、利润或股价表现。本稿未引入其他新闻稿、行情数据、上市公司公告或第三方预测，不推荐具体个股。</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整体基调：结构性积极，稳增长与高质量发展并重。</w:t>
      </w:r>
      <w:r>
        <w:t xml:space="preserve"> </w:t>
      </w:r>
      <w:r>
        <w:rPr>
          <w:rFonts w:hint="eastAsia"/>
        </w:rPr>
        <w:t xml:space="preserve">国庆招待会讲话明确要求努力完成全年目标任务、实现“十五五”良好开局；水网建设给出1—9月项目数、投资额和就业吸纳数据，制造业PMI重回扩张区间，构成当日最清晰的经济与投资线索。</w:t>
      </w:r>
    </w:p>
    <w:p>
      <w:pPr>
        <w:pStyle w:val="Compact"/>
        <w:numPr>
          <w:ilvl w:val="0"/>
          <w:numId w:val="1001"/>
        </w:numPr>
      </w:pPr>
      <w:r>
        <w:rPr>
          <w:rFonts w:hint="eastAsia"/>
          <w:b/>
          <w:bCs/>
        </w:rPr>
        <w:t xml:space="preserve">政策信号强度：强。</w:t>
      </w:r>
      <w:r>
        <w:t xml:space="preserve"> </w:t>
      </w:r>
      <w:r>
        <w:rPr>
          <w:rFonts w:hint="eastAsia"/>
        </w:rPr>
        <w:t xml:space="preserve">总书记重要讲话处于最高层级，强调稳中求进、改革开放、发展和安全、民生保障；现代化水网进入“十五五”加快建设阶段；制造业PMI以50.1%重返扩张区间，为景气边际修复提供数据依据。</w:t>
      </w:r>
    </w:p>
    <w:p>
      <w:pPr>
        <w:pStyle w:val="Compact"/>
        <w:numPr>
          <w:ilvl w:val="0"/>
          <w:numId w:val="1001"/>
        </w:numPr>
      </w:pPr>
      <w:r>
        <w:rPr>
          <w:rFonts w:hint="eastAsia"/>
          <w:b/>
          <w:bCs/>
        </w:rPr>
        <w:t xml:space="preserve">对A股总体影响：结构性偏利好。</w:t>
      </w:r>
      <w:r>
        <w:t xml:space="preserve"> </w:t>
      </w:r>
      <w:r>
        <w:rPr>
          <w:rFonts w:hint="eastAsia"/>
        </w:rPr>
        <w:t xml:space="preserve">水利工程、防洪减灾、供水保障、水生态治理、数字孪生水网、制造业顺周期、废旧锂电池循环利用、空间天气监测、冷链物流和文旅消费存在条件性机会；美伊谈判与霍尔木兹海峡、北美贸易摩擦仍是外部风险变量。</w:t>
      </w:r>
    </w:p>
    <w:p>
      <w:pPr>
        <w:pStyle w:val="Compact"/>
        <w:numPr>
          <w:ilvl w:val="0"/>
          <w:numId w:val="1001"/>
        </w:numPr>
      </w:pPr>
      <w:r>
        <w:rPr>
          <w:rFonts w:hint="eastAsia"/>
          <w:b/>
          <w:bCs/>
        </w:rPr>
        <w:t xml:space="preserve">优先级排序：</w:t>
      </w:r>
      <w:r>
        <w:t xml:space="preserve"> </w:t>
      </w:r>
      <w:r>
        <w:rPr>
          <w:rFonts w:hint="eastAsia"/>
        </w:rPr>
        <w:t xml:space="preserve">现代化水网与水利建设＞稳增长和“十五五”开局政策预期＞制造业景气修复＞废旧锂电池循环利用等新国标＞空间天气监测与卫星应用＞港珠澳大桥鲜活食品全天通关＞国庆文旅消费。</w:t>
      </w:r>
    </w:p>
    <w:p>
      <w:pPr>
        <w:pStyle w:val="Compact"/>
        <w:numPr>
          <w:ilvl w:val="0"/>
          <w:numId w:val="1001"/>
        </w:numPr>
      </w:pPr>
      <w:r>
        <w:rPr>
          <w:rFonts w:hint="eastAsia"/>
          <w:b/>
          <w:bCs/>
        </w:rPr>
        <w:t xml:space="preserve">最需要防止的误读：</w:t>
      </w:r>
      <w:r>
        <w:t xml:space="preserve"> </w:t>
      </w:r>
      <w:r>
        <w:rPr>
          <w:rFonts w:hint="eastAsia"/>
        </w:rPr>
        <w:t xml:space="preserve">7950亿元是1—9月已完成水利建设投资，不是当天新增投资；PMI</w:t>
      </w:r>
      <w:r>
        <w:t xml:space="preserve"> </w:t>
      </w:r>
      <w:r>
        <w:rPr>
          <w:rFonts w:hint="eastAsia"/>
        </w:rPr>
        <w:t xml:space="preserve">50.1%只表示制造业总体略处扩张区间，不代表所有行业和企业同步改善；国家标准实施不等于相关企业立刻取得订单；外交贺电和国庆活动不等于经贸协议；谈判收到回复不等于达成协议。</w:t>
      </w:r>
    </w:p>
    <w:p>
      <w:pPr>
        <w:pStyle w:val="Compact"/>
        <w:numPr>
          <w:ilvl w:val="0"/>
          <w:numId w:val="1001"/>
        </w:numPr>
      </w:pPr>
      <w:r>
        <w:rPr>
          <w:rFonts w:hint="eastAsia"/>
          <w:b/>
          <w:bCs/>
        </w:rPr>
        <w:t xml:space="preserve">一句话结论：</w:t>
      </w:r>
      <w:r>
        <w:t xml:space="preserve"> </w:t>
      </w:r>
      <w:r>
        <w:rPr>
          <w:rFonts w:hint="eastAsia"/>
        </w:rPr>
        <w:t xml:space="preserve">当日最具产业传导力的主线是现代化水网，最重要的宏观边际信号是制造业PMI重返扩张区间，操作上应等待项目、标准、订单、利润与右侧量价共同确认。</w:t>
      </w:r>
    </w:p>
    <w:bookmarkEnd w:id="9"/>
    <w:bookmarkStart w:id="25" w:name="二全部15个事实单元逐条a股影响分析"/>
    <w:p>
      <w:pPr>
        <w:pStyle w:val="Heading2"/>
      </w:pPr>
      <w:r>
        <w:rPr>
          <w:rFonts w:hint="eastAsia"/>
        </w:rPr>
        <w:t xml:space="preserve">二、全部15个事实单元逐条A股影响分析</w:t>
      </w:r>
    </w:p>
    <w:bookmarkStart w:id="10" w:name="烈士纪念日向人民英雄敬献花篮仪式"/>
    <w:p>
      <w:pPr>
        <w:pStyle w:val="Heading3"/>
      </w:pPr>
      <w:r>
        <w:t xml:space="preserve">1. </w:t>
      </w:r>
      <w:r>
        <w:rPr>
          <w:rFonts w:hint="eastAsia"/>
        </w:rPr>
        <w:t xml:space="preserve">烈士纪念日向人民英雄敬献花篮仪式</w:t>
      </w:r>
    </w:p>
    <w:p>
      <w:pPr>
        <w:pStyle w:val="Compact"/>
        <w:numPr>
          <w:ilvl w:val="0"/>
          <w:numId w:val="1002"/>
        </w:numPr>
      </w:pPr>
      <w:r>
        <w:rPr>
          <w:rFonts w:hint="eastAsia"/>
          <w:b/>
          <w:bCs/>
        </w:rPr>
        <w:t xml:space="preserve">信号强度：★★☆☆☆｜方向：纪念活动、红色文化传播中性偏正面，A股直接影响弱｜时效：短期事件性</w:t>
      </w:r>
    </w:p>
    <w:p>
      <w:pPr>
        <w:pStyle w:val="Compact"/>
        <w:numPr>
          <w:ilvl w:val="0"/>
          <w:numId w:val="1002"/>
        </w:numPr>
      </w:pPr>
      <w:r>
        <w:rPr>
          <w:rFonts w:hint="eastAsia"/>
          <w:b/>
          <w:bCs/>
        </w:rPr>
        <w:t xml:space="preserve">原文事实：</w:t>
      </w:r>
      <w:r>
        <w:t xml:space="preserve"> </w:t>
      </w:r>
      <w:r>
        <w:rPr>
          <w:rFonts w:hint="eastAsia"/>
        </w:rPr>
        <w:t xml:space="preserve">9月30日上午，习近平等党和国家领导人与各界代表在北京天安门广场出席向人民英雄敬献花篮仪式。原文完整记录奏国歌、默哀、敬献9个大型花篮、整理花篮缎带和瞻仰人民英雄纪念碑等环节，并指出2026年是中国共产党成立105周年、中国工农红军长征胜利90周年。</w:t>
      </w:r>
    </w:p>
    <w:p>
      <w:pPr>
        <w:pStyle w:val="Compact"/>
        <w:numPr>
          <w:ilvl w:val="0"/>
          <w:numId w:val="1002"/>
        </w:numPr>
      </w:pPr>
      <w:r>
        <w:rPr>
          <w:rFonts w:hint="eastAsia"/>
          <w:b/>
          <w:bCs/>
        </w:rPr>
        <w:t xml:space="preserve">通俗解码：</w:t>
      </w:r>
      <w:r>
        <w:t xml:space="preserve"> </w:t>
      </w:r>
      <w:r>
        <w:rPr>
          <w:rFonts w:hint="eastAsia"/>
        </w:rPr>
        <w:t xml:space="preserve">头条体现烈士纪念日的政治与社会重要性，核心是缅怀英烈、凝聚共识和弘扬建党精神、长征精神，不是经济政策或商业项目发布。</w:t>
      </w:r>
    </w:p>
    <w:p>
      <w:pPr>
        <w:pStyle w:val="Compact"/>
        <w:numPr>
          <w:ilvl w:val="0"/>
          <w:numId w:val="1002"/>
        </w:numPr>
      </w:pPr>
      <w:r>
        <w:rPr>
          <w:rFonts w:hint="eastAsia"/>
          <w:b/>
          <w:bCs/>
        </w:rPr>
        <w:t xml:space="preserve">条件性A股推演：</w:t>
      </w:r>
      <w:r>
        <w:t xml:space="preserve"> </w:t>
      </w:r>
      <w:r>
        <w:rPr>
          <w:rFonts w:hint="eastAsia"/>
        </w:rPr>
        <w:t xml:space="preserve">红色文化传播、纪念场馆、主题展陈和研学可能获得事件性关注，但原文没有客流、采购、合同或企业权益，不能据此推导上市公司业绩。</w:t>
      </w:r>
    </w:p>
    <w:p>
      <w:pPr>
        <w:pStyle w:val="Compact"/>
        <w:numPr>
          <w:ilvl w:val="0"/>
          <w:numId w:val="1002"/>
        </w:numPr>
      </w:pPr>
      <w:r>
        <w:rPr>
          <w:rFonts w:hint="eastAsia"/>
          <w:b/>
          <w:bCs/>
        </w:rPr>
        <w:t xml:space="preserve">验证与证伪：</w:t>
      </w:r>
      <w:r>
        <w:t xml:space="preserve"> </w:t>
      </w:r>
      <w:r>
        <w:rPr>
          <w:rFonts w:hint="eastAsia"/>
        </w:rPr>
        <w:t xml:space="preserve">仅在后续出现明确项目招标、场馆运营、客流与收入数据时再评估产业影响；本条不作为主要交易线索。</w:t>
      </w:r>
    </w:p>
    <w:bookmarkEnd w:id="10"/>
    <w:bookmarkStart w:id="11" w:name="庆祝中华人民共和国成立77周年招待会习近平发表重要讲话"/>
    <w:p>
      <w:pPr>
        <w:pStyle w:val="Heading3"/>
      </w:pPr>
      <w:r>
        <w:t xml:space="preserve">2. </w:t>
      </w:r>
      <w:r>
        <w:rPr>
          <w:rFonts w:hint="eastAsia"/>
        </w:rPr>
        <w:t xml:space="preserve">庆祝中华人民共和国成立77周年招待会，习近平发表重要讲话</w:t>
      </w:r>
    </w:p>
    <w:p>
      <w:pPr>
        <w:pStyle w:val="Compact"/>
        <w:numPr>
          <w:ilvl w:val="0"/>
          <w:numId w:val="1003"/>
        </w:numPr>
      </w:pPr>
      <w:r>
        <w:rPr>
          <w:rFonts w:hint="eastAsia"/>
          <w:b/>
          <w:bCs/>
        </w:rPr>
        <w:t xml:space="preserve">信号强度：★★★★★｜方向：稳增长、改革开放、新质发展与民生保障总体偏利好｜时效：短中期至中长期</w:t>
      </w:r>
    </w:p>
    <w:p>
      <w:pPr>
        <w:pStyle w:val="Compact"/>
        <w:numPr>
          <w:ilvl w:val="0"/>
          <w:numId w:val="1003"/>
        </w:numPr>
      </w:pPr>
      <w:r>
        <w:rPr>
          <w:rFonts w:hint="eastAsia"/>
          <w:b/>
          <w:bCs/>
        </w:rPr>
        <w:t xml:space="preserve">原文事实：</w:t>
      </w:r>
      <w:r>
        <w:t xml:space="preserve"> </w:t>
      </w:r>
      <w:r>
        <w:rPr>
          <w:rFonts w:hint="eastAsia"/>
        </w:rPr>
        <w:t xml:space="preserve">9月30日晚举行国庆招待会，习近平发表重要讲话。讲话指出，今年以来编制实施“十五五”规划，我国经济顶压前行、向新向优；要求坚持稳中求进，贯彻新发展理念，加快构建新发展格局，进一步深化改革开放，统筹发展和安全，推动经济持续向新向优向好发展，保障和改善民生，努力完成全年目标任务，实现“十五五”良好开局。讲话还涉及“一国两制”、两岸关系与和平外交政策。</w:t>
      </w:r>
    </w:p>
    <w:p>
      <w:pPr>
        <w:pStyle w:val="Compact"/>
        <w:numPr>
          <w:ilvl w:val="0"/>
          <w:numId w:val="1003"/>
        </w:numPr>
      </w:pPr>
      <w:r>
        <w:rPr>
          <w:rFonts w:hint="eastAsia"/>
          <w:b/>
          <w:bCs/>
        </w:rPr>
        <w:t xml:space="preserve">通俗解码：</w:t>
      </w:r>
      <w:r>
        <w:t xml:space="preserve"> </w:t>
      </w:r>
      <w:r>
        <w:rPr>
          <w:rFonts w:hint="eastAsia"/>
        </w:rPr>
        <w:t xml:space="preserve">“努力完成全年目标任务”和“实现‘十五五’良好开局”意味着稳增长与结构升级同步推进；“顶压前行”承认压力仍在，“向新向优向好”强调发展质量、改革与新动能。重要讲话提供顶层方向，但没有披露新增财政规模、行业补贴或项目清单。</w:t>
      </w:r>
    </w:p>
    <w:p>
      <w:pPr>
        <w:pStyle w:val="Compact"/>
        <w:numPr>
          <w:ilvl w:val="0"/>
          <w:numId w:val="1003"/>
        </w:numPr>
      </w:pPr>
      <w:r>
        <w:rPr>
          <w:rFonts w:hint="eastAsia"/>
          <w:b/>
          <w:bCs/>
        </w:rPr>
        <w:t xml:space="preserve">条件性A股推演：</w:t>
      </w:r>
      <w:r>
        <w:t xml:space="preserve"> </w:t>
      </w:r>
      <w:r>
        <w:rPr>
          <w:rFonts w:hint="eastAsia"/>
        </w:rPr>
        <w:t xml:space="preserve">改革开放、先进制造、科技创新、扩大有效投资、民生保障及服务港澳融入国家发展大局的方向可能获得政策预期支持；对指数和行业的真实影响仍取决于后续政策工具、预算、项目和盈利兑现。</w:t>
      </w:r>
    </w:p>
    <w:p>
      <w:pPr>
        <w:pStyle w:val="Compact"/>
        <w:numPr>
          <w:ilvl w:val="0"/>
          <w:numId w:val="1003"/>
        </w:numPr>
      </w:pPr>
      <w:r>
        <w:rPr>
          <w:rFonts w:hint="eastAsia"/>
          <w:b/>
          <w:bCs/>
        </w:rPr>
        <w:t xml:space="preserve">验证与证伪：</w:t>
      </w:r>
      <w:r>
        <w:t xml:space="preserve"> </w:t>
      </w:r>
      <w:r>
        <w:rPr>
          <w:rFonts w:hint="eastAsia"/>
        </w:rPr>
        <w:t xml:space="preserve">跟踪完成全年目标任务的配套政策、“十五五”专项规划、财政和金融工具、改革清单、重大项目以及企业订单与现金流；若只有方向表述而无增量工具，短线权重应降低。</w:t>
      </w:r>
    </w:p>
    <w:bookmarkEnd w:id="11"/>
    <w:bookmarkStart w:id="12" w:name="人民日报国庆社论预告"/>
    <w:p>
      <w:pPr>
        <w:pStyle w:val="Heading3"/>
      </w:pPr>
      <w:r>
        <w:t xml:space="preserve">3. </w:t>
      </w:r>
      <w:r>
        <w:rPr>
          <w:rFonts w:hint="eastAsia"/>
        </w:rPr>
        <w:t xml:space="preserve">人民日报国庆社论预告</w:t>
      </w:r>
    </w:p>
    <w:p>
      <w:pPr>
        <w:pStyle w:val="Compact"/>
        <w:numPr>
          <w:ilvl w:val="0"/>
          <w:numId w:val="1004"/>
        </w:numPr>
      </w:pPr>
      <w:r>
        <w:rPr>
          <w:rFonts w:hint="eastAsia"/>
          <w:b/>
          <w:bCs/>
        </w:rPr>
        <w:t xml:space="preserve">信号强度：★★☆☆☆｜方向：强化国庆政治叙事，A股影响中性｜时效：短期</w:t>
      </w:r>
    </w:p>
    <w:p>
      <w:pPr>
        <w:pStyle w:val="Compact"/>
        <w:numPr>
          <w:ilvl w:val="0"/>
          <w:numId w:val="1004"/>
        </w:numPr>
      </w:pPr>
      <w:r>
        <w:rPr>
          <w:rFonts w:hint="eastAsia"/>
          <w:b/>
          <w:bCs/>
        </w:rPr>
        <w:t xml:space="preserve">原文事实：</w:t>
      </w:r>
      <w:r>
        <w:t xml:space="preserve"> </w:t>
      </w:r>
      <w:r>
        <w:rPr>
          <w:rFonts w:hint="eastAsia"/>
        </w:rPr>
        <w:t xml:space="preserve">10月1日出版的《人民日报》将发表《在新的伟大征程上接续奋斗再创辉煌——热烈庆祝中华人民共和国成立七十七周年》社论。指定原文只提供社论题目，没有社论全文、经济数字、政策措施或行业安排。</w:t>
      </w:r>
    </w:p>
    <w:p>
      <w:pPr>
        <w:pStyle w:val="Compact"/>
        <w:numPr>
          <w:ilvl w:val="0"/>
          <w:numId w:val="1004"/>
        </w:numPr>
      </w:pPr>
      <w:r>
        <w:rPr>
          <w:rFonts w:hint="eastAsia"/>
          <w:b/>
          <w:bCs/>
        </w:rPr>
        <w:t xml:space="preserve">通俗解码：</w:t>
      </w:r>
      <w:r>
        <w:t xml:space="preserve"> </w:t>
      </w:r>
      <w:r>
        <w:rPr>
          <w:rFonts w:hint="eastAsia"/>
        </w:rPr>
        <w:t xml:space="preserve">这是国庆重要节点的宣传与价值动员，不能仅依据标题扩写为具体经济政策。</w:t>
      </w:r>
    </w:p>
    <w:p>
      <w:pPr>
        <w:pStyle w:val="Compact"/>
        <w:numPr>
          <w:ilvl w:val="0"/>
          <w:numId w:val="1004"/>
        </w:numPr>
      </w:pPr>
      <w:r>
        <w:rPr>
          <w:rFonts w:hint="eastAsia"/>
          <w:b/>
          <w:bCs/>
        </w:rPr>
        <w:t xml:space="preserve">条件性A股推演：</w:t>
      </w:r>
      <w:r>
        <w:t xml:space="preserve"> </w:t>
      </w:r>
      <w:r>
        <w:rPr>
          <w:rFonts w:hint="eastAsia"/>
        </w:rPr>
        <w:t xml:space="preserve">对市场风险偏好最多构成弱情绪支持，不形成可验证的独立产业催化。</w:t>
      </w:r>
    </w:p>
    <w:p>
      <w:pPr>
        <w:pStyle w:val="Compact"/>
        <w:numPr>
          <w:ilvl w:val="0"/>
          <w:numId w:val="1004"/>
        </w:numPr>
      </w:pPr>
      <w:r>
        <w:rPr>
          <w:rFonts w:hint="eastAsia"/>
          <w:b/>
          <w:bCs/>
        </w:rPr>
        <w:t xml:space="preserve">验证与证伪：</w:t>
      </w:r>
      <w:r>
        <w:t xml:space="preserve"> </w:t>
      </w:r>
      <w:r>
        <w:rPr>
          <w:rFonts w:hint="eastAsia"/>
        </w:rPr>
        <w:t xml:space="preserve">不作具体板块映射；若后续另有正式政策，应按独立政策文本重新评估。</w:t>
      </w:r>
    </w:p>
    <w:bookmarkEnd w:id="12"/>
    <w:bookmarkStart w:id="13" w:name="习近平同文莱苏丹就建交35周年互致贺电"/>
    <w:p>
      <w:pPr>
        <w:pStyle w:val="Heading3"/>
      </w:pPr>
      <w:r>
        <w:t xml:space="preserve">4. </w:t>
      </w:r>
      <w:r>
        <w:rPr>
          <w:rFonts w:hint="eastAsia"/>
        </w:rPr>
        <w:t xml:space="preserve">习近平同文莱苏丹就建交35周年互致贺电</w:t>
      </w:r>
    </w:p>
    <w:p>
      <w:pPr>
        <w:pStyle w:val="Compact"/>
        <w:numPr>
          <w:ilvl w:val="0"/>
          <w:numId w:val="1005"/>
        </w:numPr>
      </w:pPr>
      <w:r>
        <w:rPr>
          <w:rFonts w:hint="eastAsia"/>
          <w:b/>
          <w:bCs/>
        </w:rPr>
        <w:t xml:space="preserve">信号强度：★★★☆☆｜方向：中国—文莱经贸投资与区域合作长期正面，短期催化有限｜时效：长期</w:t>
      </w:r>
    </w:p>
    <w:p>
      <w:pPr>
        <w:pStyle w:val="Compact"/>
        <w:numPr>
          <w:ilvl w:val="0"/>
          <w:numId w:val="1005"/>
        </w:numPr>
      </w:pPr>
      <w:r>
        <w:rPr>
          <w:rFonts w:hint="eastAsia"/>
          <w:b/>
          <w:bCs/>
        </w:rPr>
        <w:t xml:space="preserve">原文事实：</w:t>
      </w:r>
      <w:r>
        <w:t xml:space="preserve"> </w:t>
      </w:r>
      <w:r>
        <w:rPr>
          <w:rFonts w:hint="eastAsia"/>
        </w:rPr>
        <w:t xml:space="preserve">习近平与文莱苏丹哈桑纳尔互致贺电，庆祝两国建交35周年。双方回顾政治互信和各领域合作，表示加强发展战略对接、深化互利合作；哈桑纳尔提及深化经贸投资、国防、人文等领域交流合作。</w:t>
      </w:r>
    </w:p>
    <w:p>
      <w:pPr>
        <w:pStyle w:val="Compact"/>
        <w:numPr>
          <w:ilvl w:val="0"/>
          <w:numId w:val="1005"/>
        </w:numPr>
      </w:pPr>
      <w:r>
        <w:rPr>
          <w:rFonts w:hint="eastAsia"/>
          <w:b/>
          <w:bCs/>
        </w:rPr>
        <w:t xml:space="preserve">通俗解码：</w:t>
      </w:r>
      <w:r>
        <w:t xml:space="preserve"> </w:t>
      </w:r>
      <w:r>
        <w:rPr>
          <w:rFonts w:hint="eastAsia"/>
        </w:rPr>
        <w:t xml:space="preserve">元首贺电确认双边合作方向和关系稳定性，但“深化合作”仍是意愿表达，原文没有新增协议、投资金额、项目清单或企业订单。</w:t>
      </w:r>
    </w:p>
    <w:p>
      <w:pPr>
        <w:pStyle w:val="Compact"/>
        <w:numPr>
          <w:ilvl w:val="0"/>
          <w:numId w:val="1005"/>
        </w:numPr>
      </w:pPr>
      <w:r>
        <w:rPr>
          <w:rFonts w:hint="eastAsia"/>
          <w:b/>
          <w:bCs/>
        </w:rPr>
        <w:t xml:space="preserve">条件性A股推演：</w:t>
      </w:r>
      <w:r>
        <w:t xml:space="preserve"> </w:t>
      </w:r>
      <w:r>
        <w:rPr>
          <w:rFonts w:hint="eastAsia"/>
        </w:rPr>
        <w:t xml:space="preserve">具备东南亚业务的工程服务、能源资源、贸易物流和跨境服务企业可能受益于长期合作环境改善，但不能据贺电直接确认商业收益。</w:t>
      </w:r>
    </w:p>
    <w:p>
      <w:pPr>
        <w:pStyle w:val="Compact"/>
        <w:numPr>
          <w:ilvl w:val="0"/>
          <w:numId w:val="1005"/>
        </w:numPr>
      </w:pPr>
      <w:r>
        <w:rPr>
          <w:rFonts w:hint="eastAsia"/>
          <w:b/>
          <w:bCs/>
        </w:rPr>
        <w:t xml:space="preserve">验证与证伪：</w:t>
      </w:r>
      <w:r>
        <w:t xml:space="preserve"> </w:t>
      </w:r>
      <w:r>
        <w:rPr>
          <w:rFonts w:hint="eastAsia"/>
        </w:rPr>
        <w:t xml:space="preserve">等待政府间协议、项目招标、投资审批、贸易数据和上市公司公告；没有项目和订单时维持低交易权重。</w:t>
      </w:r>
    </w:p>
    <w:bookmarkEnd w:id="13"/>
    <w:bookmarkStart w:id="14" w:name="十五五开好局起好步加快建设现代化水网"/>
    <w:p>
      <w:pPr>
        <w:pStyle w:val="Heading3"/>
      </w:pPr>
      <w:r>
        <w:t xml:space="preserve">5. </w:t>
      </w:r>
      <w:r>
        <w:rPr>
          <w:rFonts w:hint="eastAsia"/>
        </w:rPr>
        <w:t xml:space="preserve">“十五五”开好局起好步：加快建设现代化水网</w:t>
      </w:r>
    </w:p>
    <w:p>
      <w:pPr>
        <w:pStyle w:val="Compact"/>
        <w:numPr>
          <w:ilvl w:val="0"/>
          <w:numId w:val="1006"/>
        </w:numPr>
      </w:pPr>
      <w:r>
        <w:rPr>
          <w:rFonts w:hint="eastAsia"/>
          <w:b/>
          <w:bCs/>
        </w:rPr>
        <w:t xml:space="preserve">信号强度：★★★★★｜方向：水利工程、防洪减灾、供水保障、水生态治理和数字孪生水网核心偏利好｜时效：短中期至“十五五”期间</w:t>
      </w:r>
    </w:p>
    <w:p>
      <w:pPr>
        <w:pStyle w:val="Compact"/>
        <w:numPr>
          <w:ilvl w:val="0"/>
          <w:numId w:val="1006"/>
        </w:numPr>
      </w:pPr>
      <w:r>
        <w:rPr>
          <w:rFonts w:hint="eastAsia"/>
          <w:b/>
          <w:bCs/>
        </w:rPr>
        <w:t xml:space="preserve">原文事实：</w:t>
      </w:r>
      <w:r>
        <w:t xml:space="preserve"> </w:t>
      </w:r>
      <w:r>
        <w:rPr>
          <w:rFonts w:hint="eastAsia"/>
        </w:rPr>
        <w:t xml:space="preserve">国务院新闻办9月30日举行主题发布会。1—9月实施各类水利项目4.14万个，完成水利建设投资7950亿元，吸纳就业201万人。“十五五”期间将加快构建流域防洪减灾、水资源配置和供水保障、水生态系统保护治理三大体系，并加快构建数字孪生水网。</w:t>
      </w:r>
    </w:p>
    <w:p>
      <w:pPr>
        <w:pStyle w:val="Compact"/>
        <w:numPr>
          <w:ilvl w:val="0"/>
          <w:numId w:val="1006"/>
        </w:numPr>
      </w:pPr>
      <w:r>
        <w:rPr>
          <w:rFonts w:hint="eastAsia"/>
          <w:b/>
          <w:bCs/>
        </w:rPr>
        <w:t xml:space="preserve">通俗解码：</w:t>
      </w:r>
      <w:r>
        <w:t xml:space="preserve"> </w:t>
      </w:r>
      <w:r>
        <w:rPr>
          <w:rFonts w:hint="eastAsia"/>
        </w:rPr>
        <w:t xml:space="preserve">“加快建设”叠加已完成的项目、投资和就业数据，说明水网不是概念规划，而是已有大规模建设基础并将在“十五五”延续。四个“加快构建”覆盖工程、资源、生态和数字化，但原文未披露新增总投资、地区项目表或采购份额。</w:t>
      </w:r>
    </w:p>
    <w:p>
      <w:pPr>
        <w:pStyle w:val="Compact"/>
        <w:numPr>
          <w:ilvl w:val="0"/>
          <w:numId w:val="1006"/>
        </w:numPr>
      </w:pPr>
      <w:r>
        <w:rPr>
          <w:rFonts w:hint="eastAsia"/>
          <w:b/>
          <w:bCs/>
        </w:rPr>
        <w:t xml:space="preserve">条件性A股推演：</w:t>
      </w:r>
      <w:r>
        <w:t xml:space="preserve"> </w:t>
      </w:r>
      <w:r>
        <w:rPr>
          <w:rFonts w:hint="eastAsia"/>
        </w:rPr>
        <w:t xml:space="preserve">水利工程建设、管网与泵阀、水处理与节水设备、水文监测、工程设计、地理信息、数字孪生平台和水生态修复可能受益。施工企业需同时关注低价竞争、垫资、应收账款和项目回款，软件平台需验证订单与可复制性。</w:t>
      </w:r>
    </w:p>
    <w:p>
      <w:pPr>
        <w:pStyle w:val="Compact"/>
        <w:numPr>
          <w:ilvl w:val="0"/>
          <w:numId w:val="1006"/>
        </w:numPr>
      </w:pPr>
      <w:r>
        <w:rPr>
          <w:rFonts w:hint="eastAsia"/>
          <w:b/>
          <w:bCs/>
        </w:rPr>
        <w:t xml:space="preserve">验证与证伪：</w:t>
      </w:r>
      <w:r>
        <w:t xml:space="preserve"> </w:t>
      </w:r>
      <w:r>
        <w:rPr>
          <w:rFonts w:hint="eastAsia"/>
        </w:rPr>
        <w:t xml:space="preserve">跟踪中央和地方水网规划、专项债与财政资金、重大工程批复、招标、开工、设备采购、订单、毛利率、应收和经营现金流。若后续资金落地低于预期或项目回款恶化，应下调板块持续性。</w:t>
      </w:r>
    </w:p>
    <w:bookmarkEnd w:id="14"/>
    <w:bookmarkStart w:id="15" w:name="月制造业pmi回升并重回扩张区间"/>
    <w:p>
      <w:pPr>
        <w:pStyle w:val="Heading3"/>
      </w:pPr>
      <w:r>
        <w:t xml:space="preserve">6. </w:t>
      </w:r>
      <w:r>
        <w:rPr>
          <w:rFonts w:hint="eastAsia"/>
        </w:rPr>
        <w:t xml:space="preserve">9月制造业PMI回升并重回扩张区间</w:t>
      </w:r>
    </w:p>
    <w:p>
      <w:pPr>
        <w:pStyle w:val="Compact"/>
        <w:numPr>
          <w:ilvl w:val="0"/>
          <w:numId w:val="1007"/>
        </w:numPr>
      </w:pPr>
      <w:r>
        <w:rPr>
          <w:rFonts w:hint="eastAsia"/>
          <w:b/>
          <w:bCs/>
        </w:rPr>
        <w:t xml:space="preserve">信号强度：★★★★☆｜方向：制造业顺周期与企业预期边际改善｜时效：短中期</w:t>
      </w:r>
    </w:p>
    <w:p>
      <w:pPr>
        <w:pStyle w:val="Compact"/>
        <w:numPr>
          <w:ilvl w:val="0"/>
          <w:numId w:val="1007"/>
        </w:numPr>
      </w:pPr>
      <w:r>
        <w:rPr>
          <w:rFonts w:hint="eastAsia"/>
          <w:b/>
          <w:bCs/>
        </w:rPr>
        <w:t xml:space="preserve">原文事实：</w:t>
      </w:r>
      <w:r>
        <w:t xml:space="preserve"> </w:t>
      </w:r>
      <w:r>
        <w:rPr>
          <w:rFonts w:hint="eastAsia"/>
        </w:rPr>
        <w:t xml:space="preserve">9月制造业采购经理指数为50.1%，较上月上升0.3个百分点；新订单指数50.5%，新出口订单指数50%，生产指数51.7%，生产经营活动预期指数53.8%。原文据此判断，四季度制造业整体有望维持稳定运行、适度扩张态势。</w:t>
      </w:r>
    </w:p>
    <w:p>
      <w:pPr>
        <w:pStyle w:val="Compact"/>
        <w:numPr>
          <w:ilvl w:val="0"/>
          <w:numId w:val="1007"/>
        </w:numPr>
      </w:pPr>
      <w:r>
        <w:rPr>
          <w:rFonts w:hint="eastAsia"/>
          <w:b/>
          <w:bCs/>
        </w:rPr>
        <w:t xml:space="preserve">通俗解码：</w:t>
      </w:r>
      <w:r>
        <w:t xml:space="preserve"> </w:t>
      </w:r>
      <w:r>
        <w:rPr>
          <w:rFonts w:hint="eastAsia"/>
        </w:rPr>
        <w:t xml:space="preserve">PMI刚越过50%的荣枯线，说明制造业总体从收缩边缘转为轻度扩张；生产和预期相对更强，新订单与出口订单显示需求总体稳定，但50.1%的幅度并不支持“全面强复苏”的结论。</w:t>
      </w:r>
    </w:p>
    <w:p>
      <w:pPr>
        <w:pStyle w:val="Compact"/>
        <w:numPr>
          <w:ilvl w:val="0"/>
          <w:numId w:val="1007"/>
        </w:numPr>
      </w:pPr>
      <w:r>
        <w:rPr>
          <w:rFonts w:hint="eastAsia"/>
          <w:b/>
          <w:bCs/>
        </w:rPr>
        <w:t xml:space="preserve">条件性A股推演：</w:t>
      </w:r>
      <w:r>
        <w:t xml:space="preserve"> </w:t>
      </w:r>
      <w:r>
        <w:rPr>
          <w:rFonts w:hint="eastAsia"/>
        </w:rPr>
        <w:t xml:space="preserve">工业自动化、通用设备、工业原材料、物流和生产性服务可能获得景气边际修复预期；企业盈利还取决于价格、库存、产能利用率、出口环境与回款，不能把宏观扩张直接等同于所有公司收入利润增长。</w:t>
      </w:r>
    </w:p>
    <w:p>
      <w:pPr>
        <w:pStyle w:val="Compact"/>
        <w:numPr>
          <w:ilvl w:val="0"/>
          <w:numId w:val="1007"/>
        </w:numPr>
      </w:pPr>
      <w:r>
        <w:rPr>
          <w:rFonts w:hint="eastAsia"/>
          <w:b/>
          <w:bCs/>
        </w:rPr>
        <w:t xml:space="preserve">验证与证伪：</w:t>
      </w:r>
      <w:r>
        <w:t xml:space="preserve"> </w:t>
      </w:r>
      <w:r>
        <w:rPr>
          <w:rFonts w:hint="eastAsia"/>
        </w:rPr>
        <w:t xml:space="preserve">跟踪后续PMI及分项连续性、工业增加值、产销率、库存、出厂价格、出口订单、企业订单和现金流。若PMI再度跌破50%或新订单走弱，景气交易应降温。</w:t>
      </w:r>
    </w:p>
    <w:bookmarkEnd w:id="15"/>
    <w:bookmarkStart w:id="16" w:name="喜迎国庆各地节日氛围浓厚"/>
    <w:p>
      <w:pPr>
        <w:pStyle w:val="Heading3"/>
      </w:pPr>
      <w:r>
        <w:t xml:space="preserve">7. </w:t>
      </w:r>
      <w:r>
        <w:rPr>
          <w:rFonts w:hint="eastAsia"/>
        </w:rPr>
        <w:t xml:space="preserve">喜迎国庆，各地节日氛围浓厚</w:t>
      </w:r>
    </w:p>
    <w:p>
      <w:pPr>
        <w:pStyle w:val="Compact"/>
        <w:numPr>
          <w:ilvl w:val="0"/>
          <w:numId w:val="1008"/>
        </w:numPr>
      </w:pPr>
      <w:r>
        <w:rPr>
          <w:rFonts w:hint="eastAsia"/>
          <w:b/>
          <w:bCs/>
        </w:rPr>
        <w:t xml:space="preserve">信号强度：★★☆☆☆｜方向：城市文旅、夜游、演艺、市集与节庆消费事件性偏利好｜时效：国庆假期前后</w:t>
      </w:r>
    </w:p>
    <w:p>
      <w:pPr>
        <w:pStyle w:val="Compact"/>
        <w:numPr>
          <w:ilvl w:val="0"/>
          <w:numId w:val="1008"/>
        </w:numPr>
      </w:pPr>
      <w:r>
        <w:rPr>
          <w:rFonts w:hint="eastAsia"/>
          <w:b/>
          <w:bCs/>
        </w:rPr>
        <w:t xml:space="preserve">原文事实：</w:t>
      </w:r>
      <w:r>
        <w:t xml:space="preserve"> </w:t>
      </w:r>
      <w:r>
        <w:rPr>
          <w:rFonts w:hint="eastAsia"/>
        </w:rPr>
        <w:t xml:space="preserve">哈尔滨、厦门、大连、丽江、来凤等地以国旗、花卉和民族舞蹈营造节日氛围；大连悬挂1.8万面国旗。北京“两园一河”、上海南翔古镇、青岛、梅州、泰州、嘉峪关推出光影秀、市集、国风演艺、民俗展演等假日场景，其中南翔古镇有20多项国风演艺活动。</w:t>
      </w:r>
    </w:p>
    <w:p>
      <w:pPr>
        <w:pStyle w:val="Compact"/>
        <w:numPr>
          <w:ilvl w:val="0"/>
          <w:numId w:val="1008"/>
        </w:numPr>
      </w:pPr>
      <w:r>
        <w:rPr>
          <w:rFonts w:hint="eastAsia"/>
          <w:b/>
          <w:bCs/>
        </w:rPr>
        <w:t xml:space="preserve">通俗解码：</w:t>
      </w:r>
      <w:r>
        <w:t xml:space="preserve"> </w:t>
      </w:r>
      <w:r>
        <w:rPr>
          <w:rFonts w:hint="eastAsia"/>
        </w:rPr>
        <w:t xml:space="preserve">各地在国庆前增加文旅场景和夜间消费供给，体现假日消费氛围升温，但原文没有游客量、销售额、票价、入住率和上市公司参与情况。</w:t>
      </w:r>
    </w:p>
    <w:p>
      <w:pPr>
        <w:pStyle w:val="Compact"/>
        <w:numPr>
          <w:ilvl w:val="0"/>
          <w:numId w:val="1008"/>
        </w:numPr>
      </w:pPr>
      <w:r>
        <w:rPr>
          <w:rFonts w:hint="eastAsia"/>
          <w:b/>
          <w:bCs/>
        </w:rPr>
        <w:t xml:space="preserve">条件性A股推演：</w:t>
      </w:r>
      <w:r>
        <w:t xml:space="preserve"> </w:t>
      </w:r>
      <w:r>
        <w:rPr>
          <w:rFonts w:hint="eastAsia"/>
        </w:rPr>
        <w:t xml:space="preserve">景区、商业街区、酒店餐饮、演艺会展、夜游设备和城市服务可能受益于短期客流，但免费活动、建设和营销成本可能限制利润转化。</w:t>
      </w:r>
    </w:p>
    <w:p>
      <w:pPr>
        <w:pStyle w:val="Compact"/>
        <w:numPr>
          <w:ilvl w:val="0"/>
          <w:numId w:val="1008"/>
        </w:numPr>
      </w:pPr>
      <w:r>
        <w:rPr>
          <w:rFonts w:hint="eastAsia"/>
          <w:b/>
          <w:bCs/>
        </w:rPr>
        <w:t xml:space="preserve">验证与证伪：</w:t>
      </w:r>
      <w:r>
        <w:t xml:space="preserve"> </w:t>
      </w:r>
      <w:r>
        <w:rPr>
          <w:rFonts w:hint="eastAsia"/>
        </w:rPr>
        <w:t xml:space="preserve">跟踪假期实际客流、客单价、酒店入住率、门票与二次消费、项目运营主体和成本；防止把节日氛围等同于上市公司盈利。</w:t>
      </w:r>
    </w:p>
    <w:bookmarkEnd w:id="16"/>
    <w:bookmarkStart w:id="17" w:name="国内联播快讯254项国家标准10月1日起实施"/>
    <w:p>
      <w:pPr>
        <w:pStyle w:val="Heading3"/>
      </w:pPr>
      <w:r>
        <w:t xml:space="preserve">8.1 </w:t>
      </w:r>
      <w:r>
        <w:rPr>
          <w:rFonts w:hint="eastAsia"/>
        </w:rPr>
        <w:t xml:space="preserve">国内联播快讯：254项国家标准10月1日起实施</w:t>
      </w:r>
    </w:p>
    <w:p>
      <w:pPr>
        <w:pStyle w:val="Compact"/>
        <w:numPr>
          <w:ilvl w:val="0"/>
          <w:numId w:val="1009"/>
        </w:numPr>
      </w:pPr>
      <w:r>
        <w:rPr>
          <w:rFonts w:hint="eastAsia"/>
          <w:b/>
          <w:bCs/>
        </w:rPr>
        <w:t xml:space="preserve">信号强度：★★★★☆｜方向：安全生产、光辐射安全、供热、废旧锂电循环利用与抗菌卫生陶瓷标准升级｜时效：10月1日起</w:t>
      </w:r>
    </w:p>
    <w:p>
      <w:pPr>
        <w:pStyle w:val="Compact"/>
        <w:numPr>
          <w:ilvl w:val="0"/>
          <w:numId w:val="1009"/>
        </w:numPr>
      </w:pPr>
      <w:r>
        <w:rPr>
          <w:rFonts w:hint="eastAsia"/>
          <w:b/>
          <w:bCs/>
        </w:rPr>
        <w:t xml:space="preserve">原文事实：</w:t>
      </w:r>
      <w:r>
        <w:t xml:space="preserve"> </w:t>
      </w:r>
      <w:r>
        <w:rPr>
          <w:rFonts w:hint="eastAsia"/>
        </w:rPr>
        <w:t xml:space="preserve">10月1日起，6项强制性国家标准和248项推荐性国家标准开始实施，涉及生产过程安全、光辐射安全、城镇供热、废弃锂电池循环利用、卫生陶瓷抗菌性能等领域。</w:t>
      </w:r>
    </w:p>
    <w:p>
      <w:pPr>
        <w:pStyle w:val="Compact"/>
        <w:numPr>
          <w:ilvl w:val="0"/>
          <w:numId w:val="1009"/>
        </w:numPr>
      </w:pPr>
      <w:r>
        <w:rPr>
          <w:rFonts w:hint="eastAsia"/>
          <w:b/>
          <w:bCs/>
        </w:rPr>
        <w:t xml:space="preserve">通俗解码：</w:t>
      </w:r>
      <w:r>
        <w:t xml:space="preserve"> </w:t>
      </w:r>
      <w:r>
        <w:rPr>
          <w:rFonts w:hint="eastAsia"/>
        </w:rPr>
        <w:t xml:space="preserve">强制性标准具有合规约束，推荐性标准更多发挥规范与引导作用；原文没有逐项列出标准编号、技术阈值、适用企业和改造成本，不能把254项全部视为同等强度的产业刺激。</w:t>
      </w:r>
    </w:p>
    <w:p>
      <w:pPr>
        <w:pStyle w:val="Compact"/>
        <w:numPr>
          <w:ilvl w:val="0"/>
          <w:numId w:val="1009"/>
        </w:numPr>
      </w:pPr>
      <w:r>
        <w:rPr>
          <w:rFonts w:hint="eastAsia"/>
          <w:b/>
          <w:bCs/>
        </w:rPr>
        <w:t xml:space="preserve">条件性A股推演：</w:t>
      </w:r>
      <w:r>
        <w:t xml:space="preserve"> </w:t>
      </w:r>
      <w:r>
        <w:rPr>
          <w:rFonts w:hint="eastAsia"/>
        </w:rPr>
        <w:t xml:space="preserve">检测认证、安全设备、供热改造、锂电回收和高性能卫生陶瓷可能出现合规升级需求；落后产能也可能承担设备改造、检测与淘汰成本。</w:t>
      </w:r>
    </w:p>
    <w:p>
      <w:pPr>
        <w:pStyle w:val="Compact"/>
        <w:numPr>
          <w:ilvl w:val="0"/>
          <w:numId w:val="1009"/>
        </w:numPr>
      </w:pPr>
      <w:r>
        <w:rPr>
          <w:rFonts w:hint="eastAsia"/>
          <w:b/>
          <w:bCs/>
        </w:rPr>
        <w:t xml:space="preserve">验证与证伪：</w:t>
      </w:r>
      <w:r>
        <w:t xml:space="preserve"> </w:t>
      </w:r>
      <w:r>
        <w:rPr>
          <w:rFonts w:hint="eastAsia"/>
        </w:rPr>
        <w:t xml:space="preserve">查验具体标准文本、强制或推荐属性、适用范围、过渡期、监管执行、企业达标率、改造资本开支与新增订单。若标准不涉及核心产品或执行宽松，产业弹性将低于预期。</w:t>
      </w:r>
    </w:p>
    <w:bookmarkEnd w:id="17"/>
    <w:bookmarkStart w:id="18" w:name="国内联播快讯中欧联合研制微笑卫星发布首批观测图像"/>
    <w:p>
      <w:pPr>
        <w:pStyle w:val="Heading3"/>
      </w:pPr>
      <w:r>
        <w:t xml:space="preserve">8.2 </w:t>
      </w:r>
      <w:r>
        <w:rPr>
          <w:rFonts w:hint="eastAsia"/>
        </w:rPr>
        <w:t xml:space="preserve">国内联播快讯：中欧联合研制“微笑”卫星发布首批观测图像</w:t>
      </w:r>
    </w:p>
    <w:p>
      <w:pPr>
        <w:pStyle w:val="Compact"/>
        <w:numPr>
          <w:ilvl w:val="0"/>
          <w:numId w:val="1010"/>
        </w:numPr>
      </w:pPr>
      <w:r>
        <w:rPr>
          <w:rFonts w:hint="eastAsia"/>
          <w:b/>
          <w:bCs/>
        </w:rPr>
        <w:t xml:space="preserve">信号强度：★★★★☆｜方向：空间科学、卫星载荷、地面数据处理与空间天气防灾长期偏利好｜时效：中长期</w:t>
      </w:r>
    </w:p>
    <w:p>
      <w:pPr>
        <w:pStyle w:val="Compact"/>
        <w:numPr>
          <w:ilvl w:val="0"/>
          <w:numId w:val="1010"/>
        </w:numPr>
      </w:pPr>
      <w:r>
        <w:rPr>
          <w:rFonts w:hint="eastAsia"/>
          <w:b/>
          <w:bCs/>
        </w:rPr>
        <w:t xml:space="preserve">原文事实：</w:t>
      </w:r>
      <w:r>
        <w:t xml:space="preserve"> </w:t>
      </w:r>
      <w:r>
        <w:rPr>
          <w:rFonts w:hint="eastAsia"/>
        </w:rPr>
        <w:t xml:space="preserve">中欧联合研制的“微笑”卫星发布首批太空观测图像和探测数据，获得全球首个不间断的北半球极光全景高清影像；卫星已正式转入科学观测运行阶段，将为研究太阳风与地球磁场相互作用及空间天气防灾减灾提供支撑。</w:t>
      </w:r>
    </w:p>
    <w:p>
      <w:pPr>
        <w:pStyle w:val="Compact"/>
        <w:numPr>
          <w:ilvl w:val="0"/>
          <w:numId w:val="1010"/>
        </w:numPr>
      </w:pPr>
      <w:r>
        <w:rPr>
          <w:rFonts w:hint="eastAsia"/>
          <w:b/>
          <w:bCs/>
        </w:rPr>
        <w:t xml:space="preserve">通俗解码：</w:t>
      </w:r>
      <w:r>
        <w:t xml:space="preserve"> </w:t>
      </w:r>
      <w:r>
        <w:rPr>
          <w:rFonts w:hint="eastAsia"/>
        </w:rPr>
        <w:t xml:space="preserve">从研制转入科学观测，说明项目进入数据产出阶段，价值主要在空间科学与防灾能力，不代表商业卫星订单立即放量。</w:t>
      </w:r>
    </w:p>
    <w:p>
      <w:pPr>
        <w:pStyle w:val="Compact"/>
        <w:numPr>
          <w:ilvl w:val="0"/>
          <w:numId w:val="1010"/>
        </w:numPr>
      </w:pPr>
      <w:r>
        <w:rPr>
          <w:rFonts w:hint="eastAsia"/>
          <w:b/>
          <w:bCs/>
        </w:rPr>
        <w:t xml:space="preserve">条件性A股推演：</w:t>
      </w:r>
      <w:r>
        <w:t xml:space="preserve"> </w:t>
      </w:r>
      <w:r>
        <w:rPr>
          <w:rFonts w:hint="eastAsia"/>
        </w:rPr>
        <w:t xml:space="preserve">卫星平台与载荷、遥感测控、地面站、科学数据处理和空间天气监测服务可能获得长期技术与应用积累；商业收益取决于后续项目、采购和服务模式。</w:t>
      </w:r>
    </w:p>
    <w:p>
      <w:pPr>
        <w:pStyle w:val="Compact"/>
        <w:numPr>
          <w:ilvl w:val="0"/>
          <w:numId w:val="1010"/>
        </w:numPr>
      </w:pPr>
      <w:r>
        <w:rPr>
          <w:rFonts w:hint="eastAsia"/>
          <w:b/>
          <w:bCs/>
        </w:rPr>
        <w:t xml:space="preserve">验证与证伪：</w:t>
      </w:r>
      <w:r>
        <w:t xml:space="preserve"> </w:t>
      </w:r>
      <w:r>
        <w:rPr>
          <w:rFonts w:hint="eastAsia"/>
        </w:rPr>
        <w:t xml:space="preserve">跟踪后续观测任务、科研预算、数据产品、设备采购、技术转化和企业合同；不能把首批图像直接折算为相关企业收入。</w:t>
      </w:r>
    </w:p>
    <w:bookmarkEnd w:id="18"/>
    <w:bookmarkStart w:id="19" w:name="国内联播快讯港珠澳大桥供港鲜活食品实现全天通关"/>
    <w:p>
      <w:pPr>
        <w:pStyle w:val="Heading3"/>
      </w:pPr>
      <w:r>
        <w:t xml:space="preserve">8.3 </w:t>
      </w:r>
      <w:r>
        <w:rPr>
          <w:rFonts w:hint="eastAsia"/>
        </w:rPr>
        <w:t xml:space="preserve">国内联播快讯：港珠澳大桥供港鲜活食品实现全天通关</w:t>
      </w:r>
    </w:p>
    <w:p>
      <w:pPr>
        <w:pStyle w:val="Compact"/>
        <w:numPr>
          <w:ilvl w:val="0"/>
          <w:numId w:val="1011"/>
        </w:numPr>
      </w:pPr>
      <w:r>
        <w:rPr>
          <w:rFonts w:hint="eastAsia"/>
          <w:b/>
          <w:bCs/>
        </w:rPr>
        <w:t xml:space="preserve">信号强度：★★★☆☆｜方向：冷链物流、生鲜供应链与粤港澳跨境通关效率偏利好｜时效：10月1日起</w:t>
      </w:r>
    </w:p>
    <w:p>
      <w:pPr>
        <w:pStyle w:val="Compact"/>
        <w:numPr>
          <w:ilvl w:val="0"/>
          <w:numId w:val="1011"/>
        </w:numPr>
      </w:pPr>
      <w:r>
        <w:rPr>
          <w:rFonts w:hint="eastAsia"/>
          <w:b/>
          <w:bCs/>
        </w:rPr>
        <w:t xml:space="preserve">原文事实：</w:t>
      </w:r>
      <w:r>
        <w:t xml:space="preserve"> </w:t>
      </w:r>
      <w:r>
        <w:rPr>
          <w:rFonts w:hint="eastAsia"/>
        </w:rPr>
        <w:t xml:space="preserve">自2026年10月1日起，经港珠澳大桥供港鲜活食品通关时间由16小时延长至24小时，实现“随采、随装、随发”，持续充实香港“菜篮子”。</w:t>
      </w:r>
    </w:p>
    <w:p>
      <w:pPr>
        <w:pStyle w:val="Compact"/>
        <w:numPr>
          <w:ilvl w:val="0"/>
          <w:numId w:val="1011"/>
        </w:numPr>
      </w:pPr>
      <w:r>
        <w:rPr>
          <w:rFonts w:hint="eastAsia"/>
          <w:b/>
          <w:bCs/>
        </w:rPr>
        <w:t xml:space="preserve">通俗解码：</w:t>
      </w:r>
      <w:r>
        <w:t xml:space="preserve"> </w:t>
      </w:r>
      <w:r>
        <w:rPr>
          <w:rFonts w:hint="eastAsia"/>
        </w:rPr>
        <w:t xml:space="preserve">通关时长延长可减少鲜活食品等待时间并提高供应链灵活性，是明确落地的便利化措施，但原文没有披露货量、运价、参与企业或收入增量。</w:t>
      </w:r>
    </w:p>
    <w:p>
      <w:pPr>
        <w:pStyle w:val="Compact"/>
        <w:numPr>
          <w:ilvl w:val="0"/>
          <w:numId w:val="1011"/>
        </w:numPr>
      </w:pPr>
      <w:r>
        <w:rPr>
          <w:rFonts w:hint="eastAsia"/>
          <w:b/>
          <w:bCs/>
        </w:rPr>
        <w:t xml:space="preserve">条件性A股推演：</w:t>
      </w:r>
      <w:r>
        <w:t xml:space="preserve"> </w:t>
      </w:r>
      <w:r>
        <w:rPr>
          <w:rFonts w:hint="eastAsia"/>
        </w:rPr>
        <w:t xml:space="preserve">冷链运输、仓储保鲜、生鲜供应链和跨境物流服务可能受益于时效改善；实际利润取决于增量货量、车辆周转、价格与冷链成本。</w:t>
      </w:r>
    </w:p>
    <w:p>
      <w:pPr>
        <w:pStyle w:val="Compact"/>
        <w:numPr>
          <w:ilvl w:val="0"/>
          <w:numId w:val="1011"/>
        </w:numPr>
      </w:pPr>
      <w:r>
        <w:rPr>
          <w:rFonts w:hint="eastAsia"/>
          <w:b/>
          <w:bCs/>
        </w:rPr>
        <w:t xml:space="preserve">验证与证伪：</w:t>
      </w:r>
      <w:r>
        <w:t xml:space="preserve"> </w:t>
      </w:r>
      <w:r>
        <w:rPr>
          <w:rFonts w:hint="eastAsia"/>
        </w:rPr>
        <w:t xml:space="preserve">跟踪大桥鲜活食品通关量、车次、周转时间、运价、损耗率、运营主体和企业订单；若仅改变时段而货量没有增加，盈利弹性有限。</w:t>
      </w:r>
    </w:p>
    <w:bookmarkEnd w:id="19"/>
    <w:bookmarkStart w:id="20" w:name="国内联播快讯第33届中国电视金鹰奖结果揭晓"/>
    <w:p>
      <w:pPr>
        <w:pStyle w:val="Heading3"/>
      </w:pPr>
      <w:r>
        <w:t xml:space="preserve">8.4 </w:t>
      </w:r>
      <w:r>
        <w:rPr>
          <w:rFonts w:hint="eastAsia"/>
        </w:rPr>
        <w:t xml:space="preserve">国内联播快讯：第33届中国电视金鹰奖结果揭晓</w:t>
      </w:r>
    </w:p>
    <w:p>
      <w:pPr>
        <w:pStyle w:val="Compact"/>
        <w:numPr>
          <w:ilvl w:val="0"/>
          <w:numId w:val="1012"/>
        </w:numPr>
      </w:pPr>
      <w:r>
        <w:rPr>
          <w:rFonts w:hint="eastAsia"/>
          <w:b/>
          <w:bCs/>
        </w:rPr>
        <w:t xml:space="preserve">信号强度：★★☆☆☆｜方向：影视内容、纪录片、综艺与动画品牌传播事件性正面｜时效：短期</w:t>
      </w:r>
    </w:p>
    <w:p>
      <w:pPr>
        <w:pStyle w:val="Compact"/>
        <w:numPr>
          <w:ilvl w:val="0"/>
          <w:numId w:val="1012"/>
        </w:numPr>
      </w:pPr>
      <w:r>
        <w:rPr>
          <w:rFonts w:hint="eastAsia"/>
          <w:b/>
          <w:bCs/>
        </w:rPr>
        <w:t xml:space="preserve">原文事实：</w:t>
      </w:r>
      <w:r>
        <w:t xml:space="preserve"> </w:t>
      </w:r>
      <w:r>
        <w:rPr>
          <w:rFonts w:hint="eastAsia"/>
        </w:rPr>
        <w:t xml:space="preserve">金鹰奖颁奖典礼9月29日在长沙举行，《生命树》获最佳电视剧、最佳编剧等奖项；《我的阿勒泰》《生万物》等八部作品获优秀电视剧奖；另有作品分获最佳电视综艺文艺节目、最佳电视纪录片和最佳电视动画片。</w:t>
      </w:r>
    </w:p>
    <w:p>
      <w:pPr>
        <w:pStyle w:val="Compact"/>
        <w:numPr>
          <w:ilvl w:val="0"/>
          <w:numId w:val="1012"/>
        </w:numPr>
      </w:pPr>
      <w:r>
        <w:rPr>
          <w:rFonts w:hint="eastAsia"/>
          <w:b/>
          <w:bCs/>
        </w:rPr>
        <w:t xml:space="preserve">通俗解码：</w:t>
      </w:r>
      <w:r>
        <w:t xml:space="preserve"> </w:t>
      </w:r>
      <w:r>
        <w:rPr>
          <w:rFonts w:hint="eastAsia"/>
        </w:rPr>
        <w:t xml:space="preserve">获奖体现内容质量和行业认可度，但原文没有披露版权归属、平台播放、广告、会员、衍生品销售或上市公司权益。</w:t>
      </w:r>
    </w:p>
    <w:p>
      <w:pPr>
        <w:pStyle w:val="Compact"/>
        <w:numPr>
          <w:ilvl w:val="0"/>
          <w:numId w:val="1012"/>
        </w:numPr>
      </w:pPr>
      <w:r>
        <w:rPr>
          <w:rFonts w:hint="eastAsia"/>
          <w:b/>
          <w:bCs/>
        </w:rPr>
        <w:t xml:space="preserve">条件性A股推演：</w:t>
      </w:r>
      <w:r>
        <w:t xml:space="preserve"> </w:t>
      </w:r>
      <w:r>
        <w:rPr>
          <w:rFonts w:hint="eastAsia"/>
        </w:rPr>
        <w:t xml:space="preserve">优质影视内容、动画IP和播出平台可能获得短期关注，能否形成业绩取决于明确权益和商业变现。</w:t>
      </w:r>
    </w:p>
    <w:p>
      <w:pPr>
        <w:pStyle w:val="Compact"/>
        <w:numPr>
          <w:ilvl w:val="0"/>
          <w:numId w:val="1012"/>
        </w:numPr>
      </w:pPr>
      <w:r>
        <w:rPr>
          <w:rFonts w:hint="eastAsia"/>
          <w:b/>
          <w:bCs/>
        </w:rPr>
        <w:t xml:space="preserve">验证与证伪：</w:t>
      </w:r>
      <w:r>
        <w:t xml:space="preserve"> </w:t>
      </w:r>
      <w:r>
        <w:rPr>
          <w:rFonts w:hint="eastAsia"/>
        </w:rPr>
        <w:t xml:space="preserve">跟踪作品版权主体、播放与授权收入、广告招商、会员拉新、衍生品销售和制作成本；不能把获奖直接视为利润增长。</w:t>
      </w:r>
    </w:p>
    <w:bookmarkEnd w:id="20"/>
    <w:bookmarkStart w:id="21" w:name="驻国际组织代表团和驻多国使馆举行国庆活动"/>
    <w:p>
      <w:pPr>
        <w:pStyle w:val="Heading3"/>
      </w:pPr>
      <w:r>
        <w:t xml:space="preserve">9. </w:t>
      </w:r>
      <w:r>
        <w:rPr>
          <w:rFonts w:hint="eastAsia"/>
        </w:rPr>
        <w:t xml:space="preserve">驻国际组织代表团和驻多国使馆举行国庆活动</w:t>
      </w:r>
    </w:p>
    <w:p>
      <w:pPr>
        <w:pStyle w:val="Compact"/>
        <w:numPr>
          <w:ilvl w:val="0"/>
          <w:numId w:val="1013"/>
        </w:numPr>
      </w:pPr>
      <w:r>
        <w:rPr>
          <w:rFonts w:hint="eastAsia"/>
          <w:b/>
          <w:bCs/>
        </w:rPr>
        <w:t xml:space="preserve">信号强度：★★☆☆☆｜方向：国际交流与外部合作环境长期轻度正面｜时效：长期</w:t>
      </w:r>
    </w:p>
    <w:p>
      <w:pPr>
        <w:pStyle w:val="Compact"/>
        <w:numPr>
          <w:ilvl w:val="0"/>
          <w:numId w:val="1013"/>
        </w:numPr>
      </w:pPr>
      <w:r>
        <w:rPr>
          <w:rFonts w:hint="eastAsia"/>
          <w:b/>
          <w:bCs/>
        </w:rPr>
        <w:t xml:space="preserve">原文事实：</w:t>
      </w:r>
      <w:r>
        <w:t xml:space="preserve"> </w:t>
      </w:r>
      <w:r>
        <w:rPr>
          <w:rFonts w:hint="eastAsia"/>
        </w:rPr>
        <w:t xml:space="preserve">中国常驻联合国代表团、中国驻比利时使馆与驻欧盟使团，以及驻巴西、驻尼日利亚使馆等举行国庆活动，与会人士评价中国发展成就并表达友好祝愿。</w:t>
      </w:r>
    </w:p>
    <w:p>
      <w:pPr>
        <w:pStyle w:val="Compact"/>
        <w:numPr>
          <w:ilvl w:val="0"/>
          <w:numId w:val="1013"/>
        </w:numPr>
      </w:pPr>
      <w:r>
        <w:rPr>
          <w:rFonts w:hint="eastAsia"/>
          <w:b/>
          <w:bCs/>
        </w:rPr>
        <w:t xml:space="preserve">通俗解码：</w:t>
      </w:r>
      <w:r>
        <w:t xml:space="preserve"> </w:t>
      </w:r>
      <w:r>
        <w:rPr>
          <w:rFonts w:hint="eastAsia"/>
        </w:rPr>
        <w:t xml:space="preserve">这是国庆公共外交和友好交流，展示外部认知与合作氛围，不是经贸谈判成果发布。</w:t>
      </w:r>
    </w:p>
    <w:p>
      <w:pPr>
        <w:pStyle w:val="Compact"/>
        <w:numPr>
          <w:ilvl w:val="0"/>
          <w:numId w:val="1013"/>
        </w:numPr>
      </w:pPr>
      <w:r>
        <w:rPr>
          <w:rFonts w:hint="eastAsia"/>
          <w:b/>
          <w:bCs/>
        </w:rPr>
        <w:t xml:space="preserve">条件性A股推演：</w:t>
      </w:r>
      <w:r>
        <w:t xml:space="preserve"> </w:t>
      </w:r>
      <w:r>
        <w:rPr>
          <w:rFonts w:hint="eastAsia"/>
        </w:rPr>
        <w:t xml:space="preserve">对有相关区域业务的企业只构成长期环境层面的轻度正面影响，原文不足以支持具体行业或企业订单判断。</w:t>
      </w:r>
    </w:p>
    <w:p>
      <w:pPr>
        <w:pStyle w:val="Compact"/>
        <w:numPr>
          <w:ilvl w:val="0"/>
          <w:numId w:val="1013"/>
        </w:numPr>
      </w:pPr>
      <w:r>
        <w:rPr>
          <w:rFonts w:hint="eastAsia"/>
          <w:b/>
          <w:bCs/>
        </w:rPr>
        <w:t xml:space="preserve">验证与证伪：</w:t>
      </w:r>
      <w:r>
        <w:t xml:space="preserve"> </w:t>
      </w:r>
      <w:r>
        <w:rPr>
          <w:rFonts w:hint="eastAsia"/>
        </w:rPr>
        <w:t xml:space="preserve">等待正式双边协议、投资项目、贸易数据和企业公告后再提高评级。</w:t>
      </w:r>
    </w:p>
    <w:bookmarkEnd w:id="21"/>
    <w:bookmarkStart w:id="22" w:name="国际联播快讯伊朗称已收到美国回复"/>
    <w:p>
      <w:pPr>
        <w:pStyle w:val="Heading3"/>
      </w:pPr>
      <w:r>
        <w:t xml:space="preserve">10.1 </w:t>
      </w:r>
      <w:r>
        <w:rPr>
          <w:rFonts w:hint="eastAsia"/>
        </w:rPr>
        <w:t xml:space="preserve">国际联播快讯：伊朗称已收到美国回复</w:t>
      </w:r>
    </w:p>
    <w:p>
      <w:pPr>
        <w:pStyle w:val="Compact"/>
        <w:numPr>
          <w:ilvl w:val="0"/>
          <w:numId w:val="1014"/>
        </w:numPr>
      </w:pPr>
      <w:r>
        <w:rPr>
          <w:rFonts w:hint="eastAsia"/>
          <w:b/>
          <w:bCs/>
        </w:rPr>
        <w:t xml:space="preserve">信号强度：★★★★☆｜方向：原油、油运、航空成本与全球风险偏好双向波动｜时效：事件性至中期</w:t>
      </w:r>
    </w:p>
    <w:p>
      <w:pPr>
        <w:pStyle w:val="Compact"/>
        <w:numPr>
          <w:ilvl w:val="0"/>
          <w:numId w:val="1014"/>
        </w:numPr>
      </w:pPr>
      <w:r>
        <w:rPr>
          <w:rFonts w:hint="eastAsia"/>
          <w:b/>
          <w:bCs/>
        </w:rPr>
        <w:t xml:space="preserve">原文事实：</w:t>
      </w:r>
      <w:r>
        <w:t xml:space="preserve"> </w:t>
      </w:r>
      <w:r>
        <w:rPr>
          <w:rFonts w:hint="eastAsia"/>
        </w:rPr>
        <w:t xml:space="preserve">伊朗政府发言人9月30日表示，伊朗外长已收到美国通过调解方作出的回复，但未透露细节。此前伊朗经卡塔尔向美方转交有关重开霍尔木兹海峡和推进谈判的条件。</w:t>
      </w:r>
    </w:p>
    <w:p>
      <w:pPr>
        <w:pStyle w:val="Compact"/>
        <w:numPr>
          <w:ilvl w:val="0"/>
          <w:numId w:val="1014"/>
        </w:numPr>
      </w:pPr>
      <w:r>
        <w:rPr>
          <w:rFonts w:hint="eastAsia"/>
          <w:b/>
          <w:bCs/>
        </w:rPr>
        <w:t xml:space="preserve">通俗解码：</w:t>
      </w:r>
      <w:r>
        <w:t xml:space="preserve"> </w:t>
      </w:r>
      <w:r>
        <w:rPr>
          <w:rFonts w:hint="eastAsia"/>
        </w:rPr>
        <w:t xml:space="preserve">“收到回复”证明沟通仍在继续，但内容未知，谈判是否推进、海峡是否重开均未确认，不能解读为已经达成协议。</w:t>
      </w:r>
    </w:p>
    <w:p>
      <w:pPr>
        <w:pStyle w:val="Compact"/>
        <w:numPr>
          <w:ilvl w:val="0"/>
          <w:numId w:val="1014"/>
        </w:numPr>
      </w:pPr>
      <w:r>
        <w:rPr>
          <w:rFonts w:hint="eastAsia"/>
          <w:b/>
          <w:bCs/>
        </w:rPr>
        <w:t xml:space="preserve">条件性A股推演：</w:t>
      </w:r>
      <w:r>
        <w:t xml:space="preserve"> </w:t>
      </w:r>
      <w:r>
        <w:rPr>
          <w:rFonts w:hint="eastAsia"/>
        </w:rPr>
        <w:t xml:space="preserve">若谈判实质推进并改善海峡通航预期，原油与油运风险溢价可能回落，航空和化工成本预期可能改善；若谈判受阻或通航风险上升，方向可能相反。</w:t>
      </w:r>
    </w:p>
    <w:p>
      <w:pPr>
        <w:pStyle w:val="Compact"/>
        <w:numPr>
          <w:ilvl w:val="0"/>
          <w:numId w:val="1014"/>
        </w:numPr>
      </w:pPr>
      <w:r>
        <w:rPr>
          <w:rFonts w:hint="eastAsia"/>
          <w:b/>
          <w:bCs/>
        </w:rPr>
        <w:t xml:space="preserve">验证与证伪：</w:t>
      </w:r>
      <w:r>
        <w:t xml:space="preserve"> </w:t>
      </w:r>
      <w:r>
        <w:rPr>
          <w:rFonts w:hint="eastAsia"/>
        </w:rPr>
        <w:t xml:space="preserve">跟踪双方正式声明、谈判安排、霍尔木兹海峡通航、制裁变化、油价、运价和保险费率；在细节公布前保持双向情景判断。</w:t>
      </w:r>
    </w:p>
    <w:bookmarkEnd w:id="22"/>
    <w:bookmarkStart w:id="23" w:name="国际联播快讯英国首相称将推动改善与欧盟关系"/>
    <w:p>
      <w:pPr>
        <w:pStyle w:val="Heading3"/>
      </w:pPr>
      <w:r>
        <w:t xml:space="preserve">10.2 </w:t>
      </w:r>
      <w:r>
        <w:rPr>
          <w:rFonts w:hint="eastAsia"/>
        </w:rPr>
        <w:t xml:space="preserve">国际联播快讯：英国首相称将推动改善与欧盟关系</w:t>
      </w:r>
    </w:p>
    <w:p>
      <w:pPr>
        <w:pStyle w:val="Compact"/>
        <w:numPr>
          <w:ilvl w:val="0"/>
          <w:numId w:val="1015"/>
        </w:numPr>
      </w:pPr>
      <w:r>
        <w:rPr>
          <w:rFonts w:hint="eastAsia"/>
          <w:b/>
          <w:bCs/>
        </w:rPr>
        <w:t xml:space="preserve">信号强度：★★★☆☆｜方向：英欧贸易与跨境业务环境预期边际正面｜时效：至11月峰会及中期</w:t>
      </w:r>
    </w:p>
    <w:p>
      <w:pPr>
        <w:pStyle w:val="Compact"/>
        <w:numPr>
          <w:ilvl w:val="0"/>
          <w:numId w:val="1015"/>
        </w:numPr>
      </w:pPr>
      <w:r>
        <w:rPr>
          <w:rFonts w:hint="eastAsia"/>
          <w:b/>
          <w:bCs/>
        </w:rPr>
        <w:t xml:space="preserve">原文事实：</w:t>
      </w:r>
      <w:r>
        <w:t xml:space="preserve"> </w:t>
      </w:r>
      <w:r>
        <w:rPr>
          <w:rFonts w:hint="eastAsia"/>
        </w:rPr>
        <w:t xml:space="preserve">英国首相伯纳姆9月29日表示，希望以11月英欧峰会为契机改善双方关系；报道援引民调称约70%的英国受访者认为英国应与欧盟建立更紧密关系。</w:t>
      </w:r>
    </w:p>
    <w:p>
      <w:pPr>
        <w:pStyle w:val="Compact"/>
        <w:numPr>
          <w:ilvl w:val="0"/>
          <w:numId w:val="1015"/>
        </w:numPr>
      </w:pPr>
      <w:r>
        <w:rPr>
          <w:rFonts w:hint="eastAsia"/>
          <w:b/>
          <w:bCs/>
        </w:rPr>
        <w:t xml:space="preserve">通俗解码：</w:t>
      </w:r>
      <w:r>
        <w:t xml:space="preserve"> </w:t>
      </w:r>
      <w:r>
        <w:rPr>
          <w:rFonts w:hint="eastAsia"/>
        </w:rPr>
        <w:t xml:space="preserve">政治表态与民意数据支持改善关系的方向，但峰会尚未举行，原文没有关税、监管、人员流动或具体协议安排。</w:t>
      </w:r>
    </w:p>
    <w:p>
      <w:pPr>
        <w:pStyle w:val="Compact"/>
        <w:numPr>
          <w:ilvl w:val="0"/>
          <w:numId w:val="1015"/>
        </w:numPr>
      </w:pPr>
      <w:r>
        <w:rPr>
          <w:rFonts w:hint="eastAsia"/>
          <w:b/>
          <w:bCs/>
        </w:rPr>
        <w:t xml:space="preserve">条件性A股推演：</w:t>
      </w:r>
      <w:r>
        <w:t xml:space="preserve"> </w:t>
      </w:r>
      <w:r>
        <w:rPr>
          <w:rFonts w:hint="eastAsia"/>
        </w:rPr>
        <w:t xml:space="preserve">对拥有英国和欧盟跨境贸易、物流或制造布局的企业，长期经营摩擦预期可能边际缓和；短期业绩影响缺乏可量化依据。</w:t>
      </w:r>
    </w:p>
    <w:p>
      <w:pPr>
        <w:pStyle w:val="Compact"/>
        <w:numPr>
          <w:ilvl w:val="0"/>
          <w:numId w:val="1015"/>
        </w:numPr>
      </w:pPr>
      <w:r>
        <w:rPr>
          <w:rFonts w:hint="eastAsia"/>
          <w:b/>
          <w:bCs/>
        </w:rPr>
        <w:t xml:space="preserve">验证与证伪：</w:t>
      </w:r>
      <w:r>
        <w:t xml:space="preserve"> </w:t>
      </w:r>
      <w:r>
        <w:rPr>
          <w:rFonts w:hint="eastAsia"/>
        </w:rPr>
        <w:t xml:space="preserve">跟踪11月峰会成果、贸易与监管协议、关税和通关安排；若无实质协议，主题影响应快速降级。</w:t>
      </w:r>
    </w:p>
    <w:bookmarkEnd w:id="23"/>
    <w:bookmarkStart w:id="24" w:name="国际联播快讯美国对加拿大部分商品进口禁令生效"/>
    <w:p>
      <w:pPr>
        <w:pStyle w:val="Heading3"/>
      </w:pPr>
      <w:r>
        <w:t xml:space="preserve">10.3 </w:t>
      </w:r>
      <w:r>
        <w:rPr>
          <w:rFonts w:hint="eastAsia"/>
        </w:rPr>
        <w:t xml:space="preserve">国际联播快讯：美国对加拿大部分商品进口禁令生效</w:t>
      </w:r>
    </w:p>
    <w:p>
      <w:pPr>
        <w:pStyle w:val="Compact"/>
        <w:numPr>
          <w:ilvl w:val="0"/>
          <w:numId w:val="1016"/>
        </w:numPr>
      </w:pPr>
      <w:r>
        <w:rPr>
          <w:rFonts w:hint="eastAsia"/>
          <w:b/>
          <w:bCs/>
        </w:rPr>
        <w:t xml:space="preserve">信号强度：★★★☆☆｜方向：北美贸易摩擦升温，相关供应链和风险偏好承压｜时效：短中期</w:t>
      </w:r>
    </w:p>
    <w:p>
      <w:pPr>
        <w:pStyle w:val="Compact"/>
        <w:numPr>
          <w:ilvl w:val="0"/>
          <w:numId w:val="1016"/>
        </w:numPr>
      </w:pPr>
      <w:r>
        <w:rPr>
          <w:rFonts w:hint="eastAsia"/>
          <w:b/>
          <w:bCs/>
        </w:rPr>
        <w:t xml:space="preserve">原文事实：</w:t>
      </w:r>
      <w:r>
        <w:t xml:space="preserve"> </w:t>
      </w:r>
      <w:r>
        <w:rPr>
          <w:rFonts w:hint="eastAsia"/>
        </w:rPr>
        <w:t xml:space="preserve">美国对加拿大部分商品实施的进口禁令于9月29日生效，涵盖酒类、乳制品和摩托车等，涉及金额约9.67亿美元。报道援引美国媒体称对两国经济影响有限，但标志着贸易战再次升级。</w:t>
      </w:r>
    </w:p>
    <w:p>
      <w:pPr>
        <w:pStyle w:val="Compact"/>
        <w:numPr>
          <w:ilvl w:val="0"/>
          <w:numId w:val="1016"/>
        </w:numPr>
      </w:pPr>
      <w:r>
        <w:rPr>
          <w:rFonts w:hint="eastAsia"/>
          <w:b/>
          <w:bCs/>
        </w:rPr>
        <w:t xml:space="preserve">通俗解码：</w:t>
      </w:r>
      <w:r>
        <w:t xml:space="preserve"> </w:t>
      </w:r>
      <w:r>
        <w:rPr>
          <w:rFonts w:hint="eastAsia"/>
        </w:rPr>
        <w:t xml:space="preserve">涉及金额相对有限并不消除政策信号风险，关键在于摩擦是否扩围及是否出现报复措施；原文没有涉及中国商品或中国企业。</w:t>
      </w:r>
    </w:p>
    <w:p>
      <w:pPr>
        <w:pStyle w:val="Compact"/>
        <w:numPr>
          <w:ilvl w:val="0"/>
          <w:numId w:val="1016"/>
        </w:numPr>
      </w:pPr>
      <w:r>
        <w:rPr>
          <w:rFonts w:hint="eastAsia"/>
          <w:b/>
          <w:bCs/>
        </w:rPr>
        <w:t xml:space="preserve">条件性A股推演：</w:t>
      </w:r>
      <w:r>
        <w:t xml:space="preserve"> </w:t>
      </w:r>
      <w:r>
        <w:rPr>
          <w:rFonts w:hint="eastAsia"/>
        </w:rPr>
        <w:t xml:space="preserve">对A股直接影响偏弱，主要通过全球贸易风险偏好、北美供应链和相关商品替代预期间接传导；没有中国企业暴露证据时不宜强行映射个股。</w:t>
      </w:r>
    </w:p>
    <w:p>
      <w:pPr>
        <w:pStyle w:val="Compact"/>
        <w:numPr>
          <w:ilvl w:val="0"/>
          <w:numId w:val="1016"/>
        </w:numPr>
      </w:pPr>
      <w:r>
        <w:rPr>
          <w:rFonts w:hint="eastAsia"/>
          <w:b/>
          <w:bCs/>
        </w:rPr>
        <w:t xml:space="preserve">验证与证伪：</w:t>
      </w:r>
      <w:r>
        <w:t xml:space="preserve"> </w:t>
      </w:r>
      <w:r>
        <w:rPr>
          <w:rFonts w:hint="eastAsia"/>
        </w:rPr>
        <w:t xml:space="preserve">跟踪美加后续政策范围、反制措施、贸易流向、价格变化及企业北美业务暴露；若禁令维持有限范围，市场影响可能较短。</w:t>
      </w:r>
    </w:p>
    <w:bookmarkEnd w:id="24"/>
    <w:bookmarkEnd w:id="25"/>
    <w:bookmarkStart w:id="26" w:name="三核心政策与市场信号"/>
    <w:p>
      <w:pPr>
        <w:pStyle w:val="Heading2"/>
      </w:pPr>
      <w:r>
        <w:rPr>
          <w:rFonts w:hint="eastAsia"/>
        </w:rPr>
        <w:t xml:space="preserve">三、核心政策与市场信号</w:t>
      </w:r>
    </w:p>
    <w:p>
      <w:pPr>
        <w:pStyle w:val="Compact"/>
        <w:numPr>
          <w:ilvl w:val="0"/>
          <w:numId w:val="1017"/>
        </w:numPr>
      </w:pPr>
      <w:r>
        <w:rPr>
          <w:b/>
          <w:bCs/>
        </w:rPr>
        <w:t xml:space="preserve">★★★★★ </w:t>
      </w:r>
      <w:r>
        <w:rPr>
          <w:rFonts w:hint="eastAsia"/>
          <w:b/>
          <w:bCs/>
        </w:rPr>
        <w:t xml:space="preserve">现代化水网是当天产业指向最明确的中长期主线。</w:t>
      </w:r>
      <w:r>
        <w:t xml:space="preserve"> </w:t>
      </w:r>
      <w:r>
        <w:rPr>
          <w:rFonts w:hint="eastAsia"/>
        </w:rPr>
        <w:t xml:space="preserve">1—9月4.14万个项目、7950亿元完成投资和201万人就业证明建设已有规模，“十五五”将同时推进防洪、供水、水生态和数字孪生水网。</w:t>
      </w:r>
    </w:p>
    <w:p>
      <w:pPr>
        <w:pStyle w:val="Compact"/>
        <w:numPr>
          <w:ilvl w:val="0"/>
          <w:numId w:val="1017"/>
        </w:numPr>
      </w:pPr>
      <w:r>
        <w:rPr>
          <w:b/>
          <w:bCs/>
        </w:rPr>
        <w:t xml:space="preserve">★★★★★ </w:t>
      </w:r>
      <w:r>
        <w:rPr>
          <w:rFonts w:hint="eastAsia"/>
          <w:b/>
          <w:bCs/>
        </w:rPr>
        <w:t xml:space="preserve">国庆招待会讲话强化稳增长与高质量发展并重。</w:t>
      </w:r>
      <w:r>
        <w:t xml:space="preserve"> </w:t>
      </w:r>
      <w:r>
        <w:rPr>
          <w:rFonts w:hint="eastAsia"/>
        </w:rPr>
        <w:t xml:space="preserve">“完成全年目标任务”和“实现‘十五五’良好开局”提供顶层政策预期，但须等待财政、金融、改革和项目工具落地。</w:t>
      </w:r>
    </w:p>
    <w:p>
      <w:pPr>
        <w:pStyle w:val="Compact"/>
        <w:numPr>
          <w:ilvl w:val="0"/>
          <w:numId w:val="1017"/>
        </w:numPr>
      </w:pPr>
      <w:r>
        <w:rPr>
          <w:b/>
          <w:bCs/>
        </w:rPr>
        <w:t xml:space="preserve">★★★★☆ </w:t>
      </w:r>
      <w:r>
        <w:rPr>
          <w:rFonts w:hint="eastAsia"/>
          <w:b/>
          <w:bCs/>
        </w:rPr>
        <w:t xml:space="preserve">制造业PMI重回扩张区间构成边际改善。</w:t>
      </w:r>
      <w:r>
        <w:t xml:space="preserve"> </w:t>
      </w:r>
      <w:r>
        <w:rPr>
          <w:rFonts w:hint="eastAsia"/>
        </w:rPr>
        <w:t xml:space="preserve">50.1%意味着轻度扩张，生产指数51.7%和预期指数53.8%相对更强，仍需连续月份与企业盈利验证。</w:t>
      </w:r>
    </w:p>
    <w:p>
      <w:pPr>
        <w:pStyle w:val="Compact"/>
        <w:numPr>
          <w:ilvl w:val="0"/>
          <w:numId w:val="1017"/>
        </w:numPr>
      </w:pPr>
      <w:r>
        <w:rPr>
          <w:b/>
          <w:bCs/>
        </w:rPr>
        <w:t xml:space="preserve">★★★★☆ </w:t>
      </w:r>
      <w:r>
        <w:rPr>
          <w:rFonts w:hint="eastAsia"/>
          <w:b/>
          <w:bCs/>
        </w:rPr>
        <w:t xml:space="preserve">254项国家标准带来结构性合规升级。</w:t>
      </w:r>
      <w:r>
        <w:t xml:space="preserve"> </w:t>
      </w:r>
      <w:r>
        <w:rPr>
          <w:rFonts w:hint="eastAsia"/>
        </w:rPr>
        <w:t xml:space="preserve">强制标准与推荐标准须区分，废旧锂电循环利用、供热、安全生产和抗菌陶瓷等方向的机会取决于具体标准和执行力度。</w:t>
      </w:r>
    </w:p>
    <w:p>
      <w:pPr>
        <w:pStyle w:val="Compact"/>
        <w:numPr>
          <w:ilvl w:val="0"/>
          <w:numId w:val="1017"/>
        </w:numPr>
      </w:pPr>
      <w:r>
        <w:rPr>
          <w:b/>
          <w:bCs/>
        </w:rPr>
        <w:t xml:space="preserve">★★★★☆ </w:t>
      </w:r>
      <w:r>
        <w:rPr>
          <w:rFonts w:hint="eastAsia"/>
          <w:b/>
          <w:bCs/>
        </w:rPr>
        <w:t xml:space="preserve">“微笑”卫星进入科学观测阶段。</w:t>
      </w:r>
      <w:r>
        <w:t xml:space="preserve"> </w:t>
      </w:r>
      <w:r>
        <w:rPr>
          <w:rFonts w:hint="eastAsia"/>
        </w:rPr>
        <w:t xml:space="preserve">空间天气监测与卫星数据应用获得技术进展，但商业化需看后续任务和采购。</w:t>
      </w:r>
    </w:p>
    <w:p>
      <w:pPr>
        <w:pStyle w:val="Compact"/>
        <w:numPr>
          <w:ilvl w:val="0"/>
          <w:numId w:val="1017"/>
        </w:numPr>
      </w:pPr>
      <w:r>
        <w:rPr>
          <w:b/>
          <w:bCs/>
        </w:rPr>
        <w:t xml:space="preserve">★★★☆☆ </w:t>
      </w:r>
      <w:r>
        <w:rPr>
          <w:rFonts w:hint="eastAsia"/>
          <w:b/>
          <w:bCs/>
        </w:rPr>
        <w:t xml:space="preserve">港珠澳大桥鲜活食品24小时通关是明确落地的效率改进。</w:t>
      </w:r>
      <w:r>
        <w:t xml:space="preserve"> </w:t>
      </w:r>
      <w:r>
        <w:rPr>
          <w:rFonts w:hint="eastAsia"/>
        </w:rPr>
        <w:t xml:space="preserve">冷链和生鲜物流受益程度取决于实际增量货量与周转效率。</w:t>
      </w:r>
    </w:p>
    <w:p>
      <w:pPr>
        <w:pStyle w:val="Compact"/>
        <w:numPr>
          <w:ilvl w:val="0"/>
          <w:numId w:val="1017"/>
        </w:numPr>
      </w:pPr>
      <w:r>
        <w:rPr>
          <w:b/>
          <w:bCs/>
        </w:rPr>
        <w:t xml:space="preserve">★★★★☆ </w:t>
      </w:r>
      <w:r>
        <w:rPr>
          <w:rFonts w:hint="eastAsia"/>
          <w:b/>
          <w:bCs/>
        </w:rPr>
        <w:t xml:space="preserve">外部风险集中在能源通道和贸易摩擦。</w:t>
      </w:r>
      <w:r>
        <w:t xml:space="preserve"> </w:t>
      </w:r>
      <w:r>
        <w:rPr>
          <w:rFonts w:hint="eastAsia"/>
        </w:rPr>
        <w:t xml:space="preserve">美伊沟通内容未公开，美加进口禁令已经生效，均需防止把未确认走向提前交易为既定事实。</w:t>
      </w:r>
    </w:p>
    <w:bookmarkEnd w:id="26"/>
    <w:bookmarkStart w:id="27" w:name="四板块影响汇总"/>
    <w:p>
      <w:pPr>
        <w:pStyle w:val="Heading2"/>
      </w:pPr>
      <w:r>
        <w:rPr>
          <w:rFonts w:hint="eastAsia"/>
        </w:rPr>
        <w:t xml:space="preserve">四、板块影响汇总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板块</w:t>
            </w:r>
          </w:p>
        </w:tc>
        <w:tc>
          <w:tcPr/>
          <w:p>
            <w:pPr>
              <w:pStyle w:val="Compact"/>
            </w:pPr>
            <w:r>
              <w:rPr>
                <w:rFonts w:hint="eastAsia"/>
              </w:rPr>
              <w:t xml:space="preserve">综合影响</w:t>
            </w:r>
          </w:p>
        </w:tc>
        <w:tc>
          <w:tcPr/>
          <w:p>
            <w:pPr>
              <w:pStyle w:val="Compact"/>
            </w:pPr>
            <w:r>
              <w:rPr>
                <w:rFonts w:hint="eastAsia"/>
              </w:rPr>
              <w:t xml:space="preserve">驱动事实</w:t>
            </w:r>
          </w:p>
        </w:tc>
        <w:tc>
          <w:tcPr/>
          <w:p>
            <w:pPr>
              <w:pStyle w:val="Compact"/>
            </w:pPr>
            <w:r>
              <w:rPr>
                <w:rFonts w:hint="eastAsia"/>
              </w:rPr>
              <w:t xml:space="preserve">信号强度</w:t>
            </w:r>
          </w:p>
        </w:tc>
        <w:tc>
          <w:tcPr/>
          <w:p>
            <w:pPr>
              <w:pStyle w:val="Compact"/>
            </w:pPr>
            <w:r>
              <w:rPr>
                <w:rFonts w:hint="eastAsia"/>
              </w:rPr>
              <w:t xml:space="preserve">关键验证指标</w:t>
            </w:r>
          </w:p>
        </w:tc>
      </w:tr>
      <w:tr>
        <w:tc>
          <w:tcPr/>
          <w:p>
            <w:pPr>
              <w:pStyle w:val="Compact"/>
            </w:pPr>
            <w:r>
              <w:rPr>
                <w:rFonts w:hint="eastAsia"/>
              </w:rPr>
              <w:t xml:space="preserve">水利工程/管网泵阀</w:t>
            </w:r>
          </w:p>
        </w:tc>
        <w:tc>
          <w:tcPr/>
          <w:p>
            <w:pPr>
              <w:pStyle w:val="Compact"/>
            </w:pPr>
            <w:r>
              <w:rPr>
                <w:rFonts w:hint="eastAsia"/>
              </w:rPr>
              <w:t xml:space="preserve">短中期至长期偏利好</w:t>
            </w:r>
          </w:p>
        </w:tc>
        <w:tc>
          <w:tcPr/>
          <w:p>
            <w:pPr>
              <w:pStyle w:val="Compact"/>
            </w:pPr>
            <w:r>
              <w:rPr>
                <w:rFonts w:hint="eastAsia"/>
              </w:rPr>
              <w:t xml:space="preserve">现代化水网加快建设</w:t>
            </w:r>
          </w:p>
        </w:tc>
        <w:tc>
          <w:tcPr/>
          <w:p>
            <w:pPr>
              <w:pStyle w:val="Compact"/>
            </w:pPr>
            <w:r>
              <w:t xml:space="preserve">★★★★★</w:t>
            </w:r>
          </w:p>
        </w:tc>
        <w:tc>
          <w:tcPr/>
          <w:p>
            <w:pPr>
              <w:pStyle w:val="Compact"/>
            </w:pPr>
            <w:r>
              <w:rPr>
                <w:rFonts w:hint="eastAsia"/>
              </w:rPr>
              <w:t xml:space="preserve">资金、批复、招标、订单、回款</w:t>
            </w:r>
          </w:p>
        </w:tc>
      </w:tr>
      <w:tr>
        <w:tc>
          <w:tcPr/>
          <w:p>
            <w:pPr>
              <w:pStyle w:val="Compact"/>
            </w:pPr>
            <w:r>
              <w:rPr>
                <w:rFonts w:hint="eastAsia"/>
              </w:rPr>
              <w:t xml:space="preserve">数字孪生水网/水文监测</w:t>
            </w:r>
          </w:p>
        </w:tc>
        <w:tc>
          <w:tcPr/>
          <w:p>
            <w:pPr>
              <w:pStyle w:val="Compact"/>
            </w:pPr>
            <w:r>
              <w:rPr>
                <w:rFonts w:hint="eastAsia"/>
              </w:rPr>
              <w:t xml:space="preserve">中长期偏利好</w:t>
            </w:r>
          </w:p>
        </w:tc>
        <w:tc>
          <w:tcPr/>
          <w:p>
            <w:pPr>
              <w:pStyle w:val="Compact"/>
            </w:pPr>
            <w:r>
              <w:rPr>
                <w:rFonts w:hint="eastAsia"/>
              </w:rPr>
              <w:t xml:space="preserve">构建数字孪生水网</w:t>
            </w:r>
          </w:p>
        </w:tc>
        <w:tc>
          <w:tcPr/>
          <w:p>
            <w:pPr>
              <w:pStyle w:val="Compact"/>
            </w:pPr>
            <w:r>
              <w:t xml:space="preserve">★★★★★</w:t>
            </w:r>
          </w:p>
        </w:tc>
        <w:tc>
          <w:tcPr/>
          <w:p>
            <w:pPr>
              <w:pStyle w:val="Compact"/>
            </w:pPr>
            <w:r>
              <w:rPr>
                <w:rFonts w:hint="eastAsia"/>
              </w:rPr>
              <w:t xml:space="preserve">平台采购、复制范围、合同、续费</w:t>
            </w:r>
          </w:p>
        </w:tc>
      </w:tr>
      <w:tr>
        <w:tc>
          <w:tcPr/>
          <w:p>
            <w:pPr>
              <w:pStyle w:val="Compact"/>
            </w:pPr>
            <w:r>
              <w:rPr>
                <w:rFonts w:hint="eastAsia"/>
              </w:rPr>
              <w:t xml:space="preserve">水生态治理/节水设备</w:t>
            </w:r>
          </w:p>
        </w:tc>
        <w:tc>
          <w:tcPr/>
          <w:p>
            <w:pPr>
              <w:pStyle w:val="Compact"/>
            </w:pPr>
            <w:r>
              <w:rPr>
                <w:rFonts w:hint="eastAsia"/>
              </w:rPr>
              <w:t xml:space="preserve">中长期偏利好</w:t>
            </w:r>
          </w:p>
        </w:tc>
        <w:tc>
          <w:tcPr/>
          <w:p>
            <w:pPr>
              <w:pStyle w:val="Compact"/>
            </w:pPr>
            <w:r>
              <w:rPr>
                <w:rFonts w:hint="eastAsia"/>
              </w:rPr>
              <w:t xml:space="preserve">水生态保护治理与供水保障</w:t>
            </w:r>
          </w:p>
        </w:tc>
        <w:tc>
          <w:tcPr/>
          <w:p>
            <w:pPr>
              <w:pStyle w:val="Compact"/>
            </w:pPr>
            <w:r>
              <w:t xml:space="preserve">★★★★★</w:t>
            </w:r>
          </w:p>
        </w:tc>
        <w:tc>
          <w:tcPr/>
          <w:p>
            <w:pPr>
              <w:pStyle w:val="Compact"/>
            </w:pPr>
            <w:r>
              <w:rPr>
                <w:rFonts w:hint="eastAsia"/>
              </w:rPr>
              <w:t xml:space="preserve">专项项目、设备销量、毛利、现金流</w:t>
            </w:r>
          </w:p>
        </w:tc>
      </w:tr>
      <w:tr>
        <w:tc>
          <w:tcPr/>
          <w:p>
            <w:pPr>
              <w:pStyle w:val="Compact"/>
            </w:pPr>
            <w:r>
              <w:rPr>
                <w:rFonts w:hint="eastAsia"/>
              </w:rPr>
              <w:t xml:space="preserve">工业自动化/通用设备</w:t>
            </w:r>
          </w:p>
        </w:tc>
        <w:tc>
          <w:tcPr/>
          <w:p>
            <w:pPr>
              <w:pStyle w:val="Compact"/>
            </w:pPr>
            <w:r>
              <w:rPr>
                <w:rFonts w:hint="eastAsia"/>
              </w:rPr>
              <w:t xml:space="preserve">边际偏利好</w:t>
            </w:r>
          </w:p>
        </w:tc>
        <w:tc>
          <w:tcPr/>
          <w:p>
            <w:pPr>
              <w:pStyle w:val="Compact"/>
            </w:pPr>
            <w:r>
              <w:rPr>
                <w:rFonts w:hint="eastAsia"/>
              </w:rPr>
              <w:t xml:space="preserve">PMI重回扩张区间</w:t>
            </w:r>
          </w:p>
        </w:tc>
        <w:tc>
          <w:tcPr/>
          <w:p>
            <w:pPr>
              <w:pStyle w:val="Compact"/>
            </w:pPr>
            <w:r>
              <w:t xml:space="preserve">★★★★☆</w:t>
            </w:r>
          </w:p>
        </w:tc>
        <w:tc>
          <w:tcPr/>
          <w:p>
            <w:pPr>
              <w:pStyle w:val="Compact"/>
            </w:pPr>
            <w:r>
              <w:rPr>
                <w:rFonts w:hint="eastAsia"/>
              </w:rPr>
              <w:t xml:space="preserve">新订单、库存、价格、产能利用率</w:t>
            </w:r>
          </w:p>
        </w:tc>
      </w:tr>
      <w:tr>
        <w:tc>
          <w:tcPr/>
          <w:p>
            <w:pPr>
              <w:pStyle w:val="Compact"/>
            </w:pPr>
            <w:r>
              <w:rPr>
                <w:rFonts w:hint="eastAsia"/>
              </w:rPr>
              <w:t xml:space="preserve">检测认证/安全设备</w:t>
            </w:r>
          </w:p>
        </w:tc>
        <w:tc>
          <w:tcPr/>
          <w:p>
            <w:pPr>
              <w:pStyle w:val="Compact"/>
            </w:pPr>
            <w:r>
              <w:rPr>
                <w:rFonts w:hint="eastAsia"/>
              </w:rPr>
              <w:t xml:space="preserve">结构性偏利好</w:t>
            </w:r>
          </w:p>
        </w:tc>
        <w:tc>
          <w:tcPr/>
          <w:p>
            <w:pPr>
              <w:pStyle w:val="Compact"/>
            </w:pPr>
            <w:r>
              <w:rPr>
                <w:rFonts w:hint="eastAsia"/>
              </w:rPr>
              <w:t xml:space="preserve">国家标准实施</w:t>
            </w:r>
          </w:p>
        </w:tc>
        <w:tc>
          <w:tcPr/>
          <w:p>
            <w:pPr>
              <w:pStyle w:val="Compact"/>
            </w:pPr>
            <w:r>
              <w:t xml:space="preserve">★★★★☆</w:t>
            </w:r>
          </w:p>
        </w:tc>
        <w:tc>
          <w:tcPr/>
          <w:p>
            <w:pPr>
              <w:pStyle w:val="Compact"/>
            </w:pPr>
            <w:r>
              <w:rPr>
                <w:rFonts w:hint="eastAsia"/>
              </w:rPr>
              <w:t xml:space="preserve">标准范围、强制属性、执行与订单</w:t>
            </w:r>
          </w:p>
        </w:tc>
      </w:tr>
      <w:tr>
        <w:tc>
          <w:tcPr/>
          <w:p>
            <w:pPr>
              <w:pStyle w:val="Compact"/>
            </w:pPr>
            <w:r>
              <w:rPr>
                <w:rFonts w:hint="eastAsia"/>
              </w:rPr>
              <w:t xml:space="preserve">锂电回收</w:t>
            </w:r>
          </w:p>
        </w:tc>
        <w:tc>
          <w:tcPr/>
          <w:p>
            <w:pPr>
              <w:pStyle w:val="Compact"/>
            </w:pPr>
            <w:r>
              <w:rPr>
                <w:rFonts w:hint="eastAsia"/>
              </w:rPr>
              <w:t xml:space="preserve">结构性偏利好并伴随合规成本</w:t>
            </w:r>
          </w:p>
        </w:tc>
        <w:tc>
          <w:tcPr/>
          <w:p>
            <w:pPr>
              <w:pStyle w:val="Compact"/>
            </w:pPr>
            <w:r>
              <w:rPr>
                <w:rFonts w:hint="eastAsia"/>
              </w:rPr>
              <w:t xml:space="preserve">废弃锂电池循环利用标准</w:t>
            </w:r>
          </w:p>
        </w:tc>
        <w:tc>
          <w:tcPr/>
          <w:p>
            <w:pPr>
              <w:pStyle w:val="Compact"/>
            </w:pPr>
            <w:r>
              <w:t xml:space="preserve">★★★★☆</w:t>
            </w:r>
          </w:p>
        </w:tc>
        <w:tc>
          <w:tcPr/>
          <w:p>
            <w:pPr>
              <w:pStyle w:val="Compact"/>
            </w:pPr>
            <w:r>
              <w:rPr>
                <w:rFonts w:hint="eastAsia"/>
              </w:rPr>
              <w:t xml:space="preserve">标准阈值、回收量、金属价格、盈利</w:t>
            </w:r>
          </w:p>
        </w:tc>
      </w:tr>
      <w:tr>
        <w:tc>
          <w:tcPr/>
          <w:p>
            <w:pPr>
              <w:pStyle w:val="Compact"/>
            </w:pPr>
            <w:r>
              <w:rPr>
                <w:rFonts w:hint="eastAsia"/>
              </w:rPr>
              <w:t xml:space="preserve">城镇供热/卫生陶瓷</w:t>
            </w:r>
          </w:p>
        </w:tc>
        <w:tc>
          <w:tcPr/>
          <w:p>
            <w:pPr>
              <w:pStyle w:val="Compact"/>
            </w:pPr>
            <w:r>
              <w:rPr>
                <w:rFonts w:hint="eastAsia"/>
              </w:rPr>
              <w:t xml:space="preserve">结构性影响</w:t>
            </w:r>
          </w:p>
        </w:tc>
        <w:tc>
          <w:tcPr/>
          <w:p>
            <w:pPr>
              <w:pStyle w:val="Compact"/>
            </w:pPr>
            <w:r>
              <w:rPr>
                <w:rFonts w:hint="eastAsia"/>
              </w:rPr>
              <w:t xml:space="preserve">供热与抗菌性能标准</w:t>
            </w:r>
          </w:p>
        </w:tc>
        <w:tc>
          <w:tcPr/>
          <w:p>
            <w:pPr>
              <w:pStyle w:val="Compact"/>
            </w:pPr>
            <w:r>
              <w:t xml:space="preserve">★★★☆☆</w:t>
            </w:r>
          </w:p>
        </w:tc>
        <w:tc>
          <w:tcPr/>
          <w:p>
            <w:pPr>
              <w:pStyle w:val="Compact"/>
            </w:pPr>
            <w:r>
              <w:rPr>
                <w:rFonts w:hint="eastAsia"/>
              </w:rPr>
              <w:t xml:space="preserve">改造需求、达标率、订单、成本</w:t>
            </w:r>
          </w:p>
        </w:tc>
      </w:tr>
      <w:tr>
        <w:tc>
          <w:tcPr/>
          <w:p>
            <w:pPr>
              <w:pStyle w:val="Compact"/>
            </w:pPr>
            <w:r>
              <w:rPr>
                <w:rFonts w:hint="eastAsia"/>
              </w:rPr>
              <w:t xml:space="preserve">卫星应用/空间天气</w:t>
            </w:r>
          </w:p>
        </w:tc>
        <w:tc>
          <w:tcPr/>
          <w:p>
            <w:pPr>
              <w:pStyle w:val="Compact"/>
            </w:pPr>
            <w:r>
              <w:rPr>
                <w:rFonts w:hint="eastAsia"/>
              </w:rPr>
              <w:t xml:space="preserve">长期偏利好</w:t>
            </w:r>
          </w:p>
        </w:tc>
        <w:tc>
          <w:tcPr/>
          <w:p>
            <w:pPr>
              <w:pStyle w:val="Compact"/>
            </w:pPr>
            <w:r>
              <w:rPr>
                <w:rFonts w:hint="eastAsia"/>
              </w:rPr>
              <w:t xml:space="preserve">“微笑”卫星转入观测</w:t>
            </w:r>
          </w:p>
        </w:tc>
        <w:tc>
          <w:tcPr/>
          <w:p>
            <w:pPr>
              <w:pStyle w:val="Compact"/>
            </w:pPr>
            <w:r>
              <w:t xml:space="preserve">★★★★☆</w:t>
            </w:r>
          </w:p>
        </w:tc>
        <w:tc>
          <w:tcPr/>
          <w:p>
            <w:pPr>
              <w:pStyle w:val="Compact"/>
            </w:pPr>
            <w:r>
              <w:rPr>
                <w:rFonts w:hint="eastAsia"/>
              </w:rPr>
              <w:t xml:space="preserve">科研预算、任务、数据产品、合同</w:t>
            </w:r>
          </w:p>
        </w:tc>
      </w:tr>
      <w:tr>
        <w:tc>
          <w:tcPr/>
          <w:p>
            <w:pPr>
              <w:pStyle w:val="Compact"/>
            </w:pPr>
            <w:r>
              <w:rPr>
                <w:rFonts w:hint="eastAsia"/>
              </w:rPr>
              <w:t xml:space="preserve">冷链物流/生鲜供应链</w:t>
            </w:r>
          </w:p>
        </w:tc>
        <w:tc>
          <w:tcPr/>
          <w:p>
            <w:pPr>
              <w:pStyle w:val="Compact"/>
            </w:pPr>
            <w:r>
              <w:rPr>
                <w:rFonts w:hint="eastAsia"/>
              </w:rPr>
              <w:t xml:space="preserve">短中期偏利好</w:t>
            </w:r>
          </w:p>
        </w:tc>
        <w:tc>
          <w:tcPr/>
          <w:p>
            <w:pPr>
              <w:pStyle w:val="Compact"/>
            </w:pPr>
            <w:r>
              <w:rPr>
                <w:rFonts w:hint="eastAsia"/>
              </w:rPr>
              <w:t xml:space="preserve">供港鲜活食品全天通关</w:t>
            </w:r>
          </w:p>
        </w:tc>
        <w:tc>
          <w:tcPr/>
          <w:p>
            <w:pPr>
              <w:pStyle w:val="Compact"/>
            </w:pPr>
            <w:r>
              <w:t xml:space="preserve">★★★☆☆</w:t>
            </w:r>
          </w:p>
        </w:tc>
        <w:tc>
          <w:tcPr/>
          <w:p>
            <w:pPr>
              <w:pStyle w:val="Compact"/>
            </w:pPr>
            <w:r>
              <w:rPr>
                <w:rFonts w:hint="eastAsia"/>
              </w:rPr>
              <w:t xml:space="preserve">货量、车次、周转、损耗、运价</w:t>
            </w:r>
          </w:p>
        </w:tc>
      </w:tr>
      <w:tr>
        <w:tc>
          <w:tcPr/>
          <w:p>
            <w:pPr>
              <w:pStyle w:val="Compact"/>
            </w:pPr>
            <w:r>
              <w:rPr>
                <w:rFonts w:hint="eastAsia"/>
              </w:rPr>
              <w:t xml:space="preserve">文旅夜游/演艺市集</w:t>
            </w:r>
          </w:p>
        </w:tc>
        <w:tc>
          <w:tcPr/>
          <w:p>
            <w:pPr>
              <w:pStyle w:val="Compact"/>
            </w:pPr>
            <w:r>
              <w:rPr>
                <w:rFonts w:hint="eastAsia"/>
              </w:rPr>
              <w:t xml:space="preserve">假期事件性偏利好</w:t>
            </w:r>
          </w:p>
        </w:tc>
        <w:tc>
          <w:tcPr/>
          <w:p>
            <w:pPr>
              <w:pStyle w:val="Compact"/>
            </w:pPr>
            <w:r>
              <w:rPr>
                <w:rFonts w:hint="eastAsia"/>
              </w:rPr>
              <w:t xml:space="preserve">多地丰富假日场景</w:t>
            </w:r>
          </w:p>
        </w:tc>
        <w:tc>
          <w:tcPr/>
          <w:p>
            <w:pPr>
              <w:pStyle w:val="Compact"/>
            </w:pPr>
            <w:r>
              <w:t xml:space="preserve">★★☆☆☆</w:t>
            </w:r>
          </w:p>
        </w:tc>
        <w:tc>
          <w:tcPr/>
          <w:p>
            <w:pPr>
              <w:pStyle w:val="Compact"/>
            </w:pPr>
            <w:r>
              <w:rPr>
                <w:rFonts w:hint="eastAsia"/>
              </w:rPr>
              <w:t xml:space="preserve">客流、客单价、入住率、运营成本</w:t>
            </w:r>
          </w:p>
        </w:tc>
      </w:tr>
      <w:tr>
        <w:tc>
          <w:tcPr/>
          <w:p>
            <w:pPr>
              <w:pStyle w:val="Compact"/>
            </w:pPr>
            <w:r>
              <w:rPr>
                <w:rFonts w:hint="eastAsia"/>
              </w:rPr>
              <w:t xml:space="preserve">影视内容/动画IP</w:t>
            </w:r>
          </w:p>
        </w:tc>
        <w:tc>
          <w:tcPr/>
          <w:p>
            <w:pPr>
              <w:pStyle w:val="Compact"/>
            </w:pPr>
            <w:r>
              <w:rPr>
                <w:rFonts w:hint="eastAsia"/>
              </w:rPr>
              <w:t xml:space="preserve">事件性关注</w:t>
            </w:r>
          </w:p>
        </w:tc>
        <w:tc>
          <w:tcPr/>
          <w:p>
            <w:pPr>
              <w:pStyle w:val="Compact"/>
            </w:pPr>
            <w:r>
              <w:rPr>
                <w:rFonts w:hint="eastAsia"/>
              </w:rPr>
              <w:t xml:space="preserve">金鹰奖结果揭晓</w:t>
            </w:r>
          </w:p>
        </w:tc>
        <w:tc>
          <w:tcPr/>
          <w:p>
            <w:pPr>
              <w:pStyle w:val="Compact"/>
            </w:pPr>
            <w:r>
              <w:t xml:space="preserve">★★☆☆☆</w:t>
            </w:r>
          </w:p>
        </w:tc>
        <w:tc>
          <w:tcPr/>
          <w:p>
            <w:pPr>
              <w:pStyle w:val="Compact"/>
            </w:pPr>
            <w:r>
              <w:rPr>
                <w:rFonts w:hint="eastAsia"/>
              </w:rPr>
              <w:t xml:space="preserve">权益归属、播放、授权、广告收入</w:t>
            </w:r>
          </w:p>
        </w:tc>
      </w:tr>
      <w:tr>
        <w:tc>
          <w:tcPr/>
          <w:p>
            <w:pPr>
              <w:pStyle w:val="Compact"/>
            </w:pPr>
            <w:r>
              <w:rPr>
                <w:rFonts w:hint="eastAsia"/>
              </w:rPr>
              <w:t xml:space="preserve">东南亚经贸与物流</w:t>
            </w:r>
          </w:p>
        </w:tc>
        <w:tc>
          <w:tcPr/>
          <w:p>
            <w:pPr>
              <w:pStyle w:val="Compact"/>
            </w:pPr>
            <w:r>
              <w:rPr>
                <w:rFonts w:hint="eastAsia"/>
              </w:rPr>
              <w:t xml:space="preserve">长期轻度正面</w:t>
            </w:r>
          </w:p>
        </w:tc>
        <w:tc>
          <w:tcPr/>
          <w:p>
            <w:pPr>
              <w:pStyle w:val="Compact"/>
            </w:pPr>
            <w:r>
              <w:rPr>
                <w:rFonts w:hint="eastAsia"/>
              </w:rPr>
              <w:t xml:space="preserve">中国—文莱合作意愿</w:t>
            </w:r>
          </w:p>
        </w:tc>
        <w:tc>
          <w:tcPr/>
          <w:p>
            <w:pPr>
              <w:pStyle w:val="Compact"/>
            </w:pPr>
            <w:r>
              <w:t xml:space="preserve">★★★☆☆</w:t>
            </w:r>
          </w:p>
        </w:tc>
        <w:tc>
          <w:tcPr/>
          <w:p>
            <w:pPr>
              <w:pStyle w:val="Compact"/>
            </w:pPr>
            <w:r>
              <w:rPr>
                <w:rFonts w:hint="eastAsia"/>
              </w:rPr>
              <w:t xml:space="preserve">正式协议、项目、贸易与订单</w:t>
            </w:r>
          </w:p>
        </w:tc>
      </w:tr>
      <w:tr>
        <w:tc>
          <w:tcPr/>
          <w:p>
            <w:pPr>
              <w:pStyle w:val="Compact"/>
            </w:pPr>
            <w:r>
              <w:rPr>
                <w:rFonts w:hint="eastAsia"/>
              </w:rPr>
              <w:t xml:space="preserve">原油/油运/航空</w:t>
            </w:r>
          </w:p>
        </w:tc>
        <w:tc>
          <w:tcPr/>
          <w:p>
            <w:pPr>
              <w:pStyle w:val="Compact"/>
            </w:pPr>
            <w:r>
              <w:rPr>
                <w:rFonts w:hint="eastAsia"/>
              </w:rPr>
              <w:t xml:space="preserve">双向波动</w:t>
            </w:r>
          </w:p>
        </w:tc>
        <w:tc>
          <w:tcPr/>
          <w:p>
            <w:pPr>
              <w:pStyle w:val="Compact"/>
            </w:pPr>
            <w:r>
              <w:rPr>
                <w:rFonts w:hint="eastAsia"/>
              </w:rPr>
              <w:t xml:space="preserve">美伊回复与海峡条件</w:t>
            </w:r>
          </w:p>
        </w:tc>
        <w:tc>
          <w:tcPr/>
          <w:p>
            <w:pPr>
              <w:pStyle w:val="Compact"/>
            </w:pPr>
            <w:r>
              <w:t xml:space="preserve">★★★★☆</w:t>
            </w:r>
          </w:p>
        </w:tc>
        <w:tc>
          <w:tcPr/>
          <w:p>
            <w:pPr>
              <w:pStyle w:val="Compact"/>
            </w:pPr>
            <w:r>
              <w:rPr>
                <w:rFonts w:hint="eastAsia"/>
              </w:rPr>
              <w:t xml:space="preserve">谈判、通航、油价、运价、保险</w:t>
            </w:r>
          </w:p>
        </w:tc>
      </w:tr>
      <w:tr>
        <w:tc>
          <w:tcPr/>
          <w:p>
            <w:pPr>
              <w:pStyle w:val="Compact"/>
            </w:pPr>
            <w:r>
              <w:rPr>
                <w:rFonts w:hint="eastAsia"/>
              </w:rPr>
              <w:t xml:space="preserve">北美供应链</w:t>
            </w:r>
          </w:p>
        </w:tc>
        <w:tc>
          <w:tcPr/>
          <w:p>
            <w:pPr>
              <w:pStyle w:val="Compact"/>
            </w:pPr>
            <w:r>
              <w:rPr>
                <w:rFonts w:hint="eastAsia"/>
              </w:rPr>
              <w:t xml:space="preserve">风险偏负面</w:t>
            </w:r>
          </w:p>
        </w:tc>
        <w:tc>
          <w:tcPr/>
          <w:p>
            <w:pPr>
              <w:pStyle w:val="Compact"/>
            </w:pPr>
            <w:r>
              <w:rPr>
                <w:rFonts w:hint="eastAsia"/>
              </w:rPr>
              <w:t xml:space="preserve">美加进口禁令生效</w:t>
            </w:r>
          </w:p>
        </w:tc>
        <w:tc>
          <w:tcPr/>
          <w:p>
            <w:pPr>
              <w:pStyle w:val="Compact"/>
            </w:pPr>
            <w:r>
              <w:t xml:space="preserve">★★★☆☆</w:t>
            </w:r>
          </w:p>
        </w:tc>
        <w:tc>
          <w:tcPr/>
          <w:p>
            <w:pPr>
              <w:pStyle w:val="Compact"/>
            </w:pPr>
            <w:r>
              <w:rPr>
                <w:rFonts w:hint="eastAsia"/>
              </w:rPr>
              <w:t xml:space="preserve">政策扩围、反制、贸易流向、企业暴露</w:t>
            </w:r>
          </w:p>
        </w:tc>
      </w:tr>
    </w:tbl>
    <w:bookmarkEnd w:id="27"/>
    <w:bookmarkStart w:id="32" w:name="五明确操作建议"/>
    <w:p>
      <w:pPr>
        <w:pStyle w:val="Heading2"/>
      </w:pPr>
      <w:r>
        <w:rPr>
          <w:rFonts w:hint="eastAsia"/>
        </w:rPr>
        <w:t xml:space="preserve">五、明确操作建议</w:t>
      </w:r>
    </w:p>
    <w:bookmarkStart w:id="28" w:name="短线13个交易日"/>
    <w:p>
      <w:pPr>
        <w:pStyle w:val="Heading3"/>
      </w:pPr>
      <w:r>
        <w:t xml:space="preserve">1. </w:t>
      </w:r>
      <w:r>
        <w:rPr>
          <w:rFonts w:hint="eastAsia"/>
        </w:rPr>
        <w:t xml:space="preserve">短线（1—3个交易日）</w:t>
      </w:r>
    </w:p>
    <w:p>
      <w:pPr>
        <w:pStyle w:val="Compact"/>
        <w:numPr>
          <w:ilvl w:val="0"/>
          <w:numId w:val="1018"/>
        </w:numPr>
      </w:pPr>
      <w:r>
        <w:rPr>
          <w:rFonts w:hint="eastAsia"/>
          <w:b/>
          <w:bCs/>
        </w:rPr>
        <w:t xml:space="preserve">第一观察线：水利与现代化水网。</w:t>
      </w:r>
      <w:r>
        <w:t xml:space="preserve"> </w:t>
      </w:r>
      <w:r>
        <w:rPr>
          <w:rFonts w:hint="eastAsia"/>
        </w:rPr>
        <w:t xml:space="preserve">这是当日兼具高层规划、已完成投资和明确建设方向的核心主线。若板块只因7950亿元这一存量数字一致高开，不追涨；优先观察新增项目、招标与成交承接。</w:t>
      </w:r>
    </w:p>
    <w:p>
      <w:pPr>
        <w:pStyle w:val="Compact"/>
        <w:numPr>
          <w:ilvl w:val="0"/>
          <w:numId w:val="1018"/>
        </w:numPr>
      </w:pPr>
      <w:r>
        <w:rPr>
          <w:rFonts w:hint="eastAsia"/>
          <w:b/>
          <w:bCs/>
        </w:rPr>
        <w:t xml:space="preserve">第二观察线：制造业景气修复。</w:t>
      </w:r>
      <w:r>
        <w:t xml:space="preserve"> </w:t>
      </w:r>
      <w:r>
        <w:rPr>
          <w:rFonts w:hint="eastAsia"/>
        </w:rPr>
        <w:t xml:space="preserve">PMI回到50.1%，属于边际改善而非强扩张。可关注订单敏感的设备与工业服务，但必须用后续数据和公司订单确认，避免由单月数据产生锚定和确认偏误。</w:t>
      </w:r>
    </w:p>
    <w:p>
      <w:pPr>
        <w:pStyle w:val="Compact"/>
        <w:numPr>
          <w:ilvl w:val="0"/>
          <w:numId w:val="1018"/>
        </w:numPr>
      </w:pPr>
      <w:r>
        <w:rPr>
          <w:rFonts w:hint="eastAsia"/>
          <w:b/>
          <w:bCs/>
        </w:rPr>
        <w:t xml:space="preserve">第三观察线：标准升级。</w:t>
      </w:r>
      <w:r>
        <w:t xml:space="preserve"> </w:t>
      </w:r>
      <w:r>
        <w:rPr>
          <w:rFonts w:hint="eastAsia"/>
        </w:rPr>
        <w:t xml:space="preserve">254项标准中只有6项强制性标准，不能整体泛化。优先研究具体标准文本、适用产品和企业达标差异，防止题材化炒作。</w:t>
      </w:r>
    </w:p>
    <w:p>
      <w:pPr>
        <w:pStyle w:val="Compact"/>
        <w:numPr>
          <w:ilvl w:val="0"/>
          <w:numId w:val="1018"/>
        </w:numPr>
      </w:pPr>
      <w:r>
        <w:rPr>
          <w:rFonts w:hint="eastAsia"/>
          <w:b/>
          <w:bCs/>
        </w:rPr>
        <w:t xml:space="preserve">第四观察线：冷链与国庆文旅。</w:t>
      </w:r>
      <w:r>
        <w:t xml:space="preserve"> </w:t>
      </w:r>
      <w:r>
        <w:rPr>
          <w:rFonts w:hint="eastAsia"/>
        </w:rPr>
        <w:t xml:space="preserve">全天通关有明确实施日期，节庆场景有短期客流预期；但货量、客单价和利润率尚未知，节前情绪交易不等于节后业绩。</w:t>
      </w:r>
    </w:p>
    <w:p>
      <w:pPr>
        <w:pStyle w:val="Compact"/>
        <w:numPr>
          <w:ilvl w:val="0"/>
          <w:numId w:val="1018"/>
        </w:numPr>
      </w:pPr>
      <w:r>
        <w:rPr>
          <w:rFonts w:hint="eastAsia"/>
          <w:b/>
          <w:bCs/>
        </w:rPr>
        <w:t xml:space="preserve">风险线：能源与贸易。</w:t>
      </w:r>
      <w:r>
        <w:t xml:space="preserve"> </w:t>
      </w:r>
      <w:r>
        <w:rPr>
          <w:rFonts w:hint="eastAsia"/>
        </w:rPr>
        <w:t xml:space="preserve">美伊回复内容未披露，美加摩擦已升级。能源、航运、航空及外向型板块可能双向波动，不基于标题单边押注。</w:t>
      </w:r>
    </w:p>
    <w:bookmarkEnd w:id="28"/>
    <w:bookmarkStart w:id="29" w:name="中线14周及更长"/>
    <w:p>
      <w:pPr>
        <w:pStyle w:val="Heading3"/>
      </w:pPr>
      <w:r>
        <w:t xml:space="preserve">2. </w:t>
      </w:r>
      <w:r>
        <w:rPr>
          <w:rFonts w:hint="eastAsia"/>
        </w:rPr>
        <w:t xml:space="preserve">中线（1—4周及更长）</w:t>
      </w:r>
    </w:p>
    <w:p>
      <w:pPr>
        <w:pStyle w:val="Compact"/>
        <w:numPr>
          <w:ilvl w:val="0"/>
          <w:numId w:val="1019"/>
        </w:numPr>
      </w:pPr>
      <w:r>
        <w:rPr>
          <w:rFonts w:hint="eastAsia"/>
          <w:b/>
          <w:bCs/>
        </w:rPr>
        <w:t xml:space="preserve">第一梯队：现代化水网。</w:t>
      </w:r>
      <w:r>
        <w:t xml:space="preserve"> </w:t>
      </w:r>
      <w:r>
        <w:rPr>
          <w:rFonts w:hint="eastAsia"/>
        </w:rPr>
        <w:t xml:space="preserve">验证链为“规划—资金—批复—招标—开工—设备采购—收入—回款”。</w:t>
      </w:r>
    </w:p>
    <w:p>
      <w:pPr>
        <w:pStyle w:val="Compact"/>
        <w:numPr>
          <w:ilvl w:val="0"/>
          <w:numId w:val="1019"/>
        </w:numPr>
      </w:pPr>
      <w:r>
        <w:rPr>
          <w:rFonts w:hint="eastAsia"/>
          <w:b/>
          <w:bCs/>
        </w:rPr>
        <w:t xml:space="preserve">第二梯队：稳增长与制造业修复。</w:t>
      </w:r>
      <w:r>
        <w:t xml:space="preserve"> </w:t>
      </w:r>
      <w:r>
        <w:rPr>
          <w:rFonts w:hint="eastAsia"/>
        </w:rPr>
        <w:t xml:space="preserve">验证链为“政策工具—需求—新订单—生产—价格—库存—利润—现金流”。</w:t>
      </w:r>
    </w:p>
    <w:p>
      <w:pPr>
        <w:pStyle w:val="Compact"/>
        <w:numPr>
          <w:ilvl w:val="0"/>
          <w:numId w:val="1019"/>
        </w:numPr>
      </w:pPr>
      <w:r>
        <w:rPr>
          <w:rFonts w:hint="eastAsia"/>
          <w:b/>
          <w:bCs/>
        </w:rPr>
        <w:t xml:space="preserve">第三梯队：标准驱动的设备与循环经济升级。</w:t>
      </w:r>
      <w:r>
        <w:t xml:space="preserve"> </w:t>
      </w:r>
      <w:r>
        <w:rPr>
          <w:rFonts w:hint="eastAsia"/>
        </w:rPr>
        <w:t xml:space="preserve">验证链为“标准文本—适用范围—强制执行—改造需求—订单—成本—毛利”。</w:t>
      </w:r>
    </w:p>
    <w:p>
      <w:pPr>
        <w:pStyle w:val="Compact"/>
        <w:numPr>
          <w:ilvl w:val="0"/>
          <w:numId w:val="1019"/>
        </w:numPr>
      </w:pPr>
      <w:r>
        <w:rPr>
          <w:rFonts w:hint="eastAsia"/>
          <w:b/>
          <w:bCs/>
        </w:rPr>
        <w:t xml:space="preserve">第四梯队：卫星与空间天气应用。</w:t>
      </w:r>
      <w:r>
        <w:t xml:space="preserve"> </w:t>
      </w:r>
      <w:r>
        <w:rPr>
          <w:rFonts w:hint="eastAsia"/>
        </w:rPr>
        <w:t xml:space="preserve">关注科研任务、观测数据产品、防灾应用和后续采购，不把科研成果等同于商业化收入。</w:t>
      </w:r>
    </w:p>
    <w:p>
      <w:pPr>
        <w:pStyle w:val="Compact"/>
        <w:numPr>
          <w:ilvl w:val="0"/>
          <w:numId w:val="1019"/>
        </w:numPr>
      </w:pPr>
      <w:r>
        <w:rPr>
          <w:rFonts w:hint="eastAsia"/>
          <w:b/>
          <w:bCs/>
        </w:rPr>
        <w:t xml:space="preserve">第五梯队：粤港澳冷链物流。</w:t>
      </w:r>
      <w:r>
        <w:t xml:space="preserve"> </w:t>
      </w:r>
      <w:r>
        <w:rPr>
          <w:rFonts w:hint="eastAsia"/>
        </w:rPr>
        <w:t xml:space="preserve">关注全天通关后货量、车辆周转和损耗率是否持续改善。</w:t>
      </w:r>
    </w:p>
    <w:p>
      <w:pPr>
        <w:pStyle w:val="Compact"/>
        <w:numPr>
          <w:ilvl w:val="0"/>
          <w:numId w:val="1019"/>
        </w:numPr>
      </w:pPr>
      <w:r>
        <w:rPr>
          <w:rFonts w:hint="eastAsia"/>
          <w:b/>
          <w:bCs/>
        </w:rPr>
        <w:t xml:space="preserve">长期观察：</w:t>
      </w:r>
      <w:r>
        <w:t xml:space="preserve"> </w:t>
      </w:r>
      <w:r>
        <w:rPr>
          <w:rFonts w:hint="eastAsia"/>
        </w:rPr>
        <w:t xml:space="preserve">中国—文莱合作、英欧关系改善和驻外活动主要属于外部环境线索，等待正式协议与项目后再提升权重。</w:t>
      </w:r>
    </w:p>
    <w:bookmarkEnd w:id="29"/>
    <w:bookmarkStart w:id="30" w:name="仓位与行为纪律"/>
    <w:p>
      <w:pPr>
        <w:pStyle w:val="Heading3"/>
      </w:pPr>
      <w:r>
        <w:t xml:space="preserve">3. </w:t>
      </w:r>
      <w:r>
        <w:rPr>
          <w:rFonts w:hint="eastAsia"/>
        </w:rPr>
        <w:t xml:space="preserve">仓位与行为纪律</w:t>
      </w:r>
    </w:p>
    <w:p>
      <w:pPr>
        <w:pStyle w:val="Compact"/>
        <w:numPr>
          <w:ilvl w:val="0"/>
          <w:numId w:val="1020"/>
        </w:numPr>
      </w:pPr>
      <w:r>
        <w:rPr>
          <w:rFonts w:hint="eastAsia"/>
          <w:b/>
          <w:bCs/>
        </w:rPr>
        <w:t xml:space="preserve">总体判断：</w:t>
      </w:r>
      <w:r>
        <w:t xml:space="preserve"> </w:t>
      </w:r>
      <w:r>
        <w:rPr>
          <w:rFonts w:hint="eastAsia"/>
        </w:rPr>
        <w:t xml:space="preserve">本稿没有使用指数、成交额、估值、资金流和上市公司公告，不能仅凭联播内容判断节后指数涨跌或决定满仓交易。</w:t>
      </w:r>
    </w:p>
    <w:p>
      <w:pPr>
        <w:pStyle w:val="Compact"/>
        <w:numPr>
          <w:ilvl w:val="0"/>
          <w:numId w:val="1020"/>
        </w:numPr>
      </w:pPr>
      <w:r>
        <w:rPr>
          <w:rFonts w:hint="eastAsia"/>
          <w:b/>
          <w:bCs/>
        </w:rPr>
        <w:t xml:space="preserve">右侧条件：</w:t>
      </w:r>
      <w:r>
        <w:t xml:space="preserve"> </w:t>
      </w:r>
      <w:r>
        <w:rPr>
          <w:rFonts w:hint="eastAsia"/>
        </w:rPr>
        <w:t xml:space="preserve">只参与趋势已经形成、缩量回踩不破关键结构并再次放量确认的方向；保守者等待站稳前高，趋势破位或事实被证伪时止损。</w:t>
      </w:r>
    </w:p>
    <w:p>
      <w:pPr>
        <w:pStyle w:val="Compact"/>
        <w:numPr>
          <w:ilvl w:val="0"/>
          <w:numId w:val="1020"/>
        </w:numPr>
      </w:pPr>
      <w:r>
        <w:rPr>
          <w:rFonts w:hint="eastAsia"/>
          <w:b/>
          <w:bCs/>
        </w:rPr>
        <w:t xml:space="preserve">仓位纪律：</w:t>
      </w:r>
      <w:r>
        <w:t xml:space="preserve"> </w:t>
      </w:r>
      <w:r>
        <w:rPr>
          <w:rFonts w:hint="eastAsia"/>
        </w:rPr>
        <w:t xml:space="preserve">观察仓约三成；政策细则、资金、项目、订单、业绩和量价共同确认后再提高到六至七成，保留三成机动资金；极高确定性才考虑更高仓位。</w:t>
      </w:r>
    </w:p>
    <w:p>
      <w:pPr>
        <w:pStyle w:val="Compact"/>
        <w:numPr>
          <w:ilvl w:val="0"/>
          <w:numId w:val="1020"/>
        </w:numPr>
      </w:pPr>
      <w:r>
        <w:rPr>
          <w:rFonts w:hint="eastAsia"/>
          <w:b/>
          <w:bCs/>
        </w:rPr>
        <w:t xml:space="preserve">行为风险：</w:t>
      </w:r>
      <w:r>
        <w:t xml:space="preserve"> </w:t>
      </w:r>
      <w:r>
        <w:rPr>
          <w:rFonts w:hint="eastAsia"/>
        </w:rPr>
        <w:t xml:space="preserve">警惕7950亿元、4.14万个项目、201万人、50.1%、254项标准、1.8万面国旗、20多项活动和9.67亿美元等醒目数字引发注意力偏差、锚定、FOMO、确认偏误与羊群效应。这些分别是已完成投资、项目与就业统计、宏观指数、标准数量、节庆布置和贸易禁令金额，不是个股利润保证。</w:t>
      </w:r>
    </w:p>
    <w:bookmarkEnd w:id="30"/>
    <w:bookmarkStart w:id="31" w:name="后续验证清单"/>
    <w:p>
      <w:pPr>
        <w:pStyle w:val="Heading3"/>
      </w:pPr>
      <w:r>
        <w:t xml:space="preserve">4. </w:t>
      </w:r>
      <w:r>
        <w:rPr>
          <w:rFonts w:hint="eastAsia"/>
        </w:rPr>
        <w:t xml:space="preserve">后续验证清单</w:t>
      </w:r>
    </w:p>
    <w:p>
      <w:pPr>
        <w:pStyle w:val="Compact"/>
        <w:numPr>
          <w:ilvl w:val="0"/>
          <w:numId w:val="1021"/>
        </w:numPr>
      </w:pPr>
      <w:r>
        <w:rPr>
          <w:rFonts w:hint="eastAsia"/>
        </w:rPr>
        <w:t xml:space="preserve">“十五五”现代化水网专项规划、中央和地方资金、项目清单及招标进度。</w:t>
      </w:r>
    </w:p>
    <w:p>
      <w:pPr>
        <w:pStyle w:val="Compact"/>
        <w:numPr>
          <w:ilvl w:val="0"/>
          <w:numId w:val="1021"/>
        </w:numPr>
      </w:pPr>
      <w:r>
        <w:rPr>
          <w:rFonts w:hint="eastAsia"/>
        </w:rPr>
        <w:t xml:space="preserve">水利工程设备采购、施工订单、毛利率、应收账款和经营现金流。</w:t>
      </w:r>
    </w:p>
    <w:p>
      <w:pPr>
        <w:pStyle w:val="Compact"/>
        <w:numPr>
          <w:ilvl w:val="0"/>
          <w:numId w:val="1021"/>
        </w:numPr>
      </w:pPr>
      <w:r>
        <w:rPr>
          <w:rFonts w:hint="eastAsia"/>
        </w:rPr>
        <w:t xml:space="preserve">数字孪生水网的平台标准、采购金额、区域复制、验收与续费。</w:t>
      </w:r>
    </w:p>
    <w:p>
      <w:pPr>
        <w:pStyle w:val="Compact"/>
        <w:numPr>
          <w:ilvl w:val="0"/>
          <w:numId w:val="1021"/>
        </w:numPr>
      </w:pPr>
      <w:r>
        <w:rPr>
          <w:rFonts w:hint="eastAsia"/>
        </w:rPr>
        <w:t xml:space="preserve">完成全年目标任务和“十五五”良好开局的财政、金融与改革工具。</w:t>
      </w:r>
    </w:p>
    <w:p>
      <w:pPr>
        <w:pStyle w:val="Compact"/>
        <w:numPr>
          <w:ilvl w:val="0"/>
          <w:numId w:val="1021"/>
        </w:numPr>
      </w:pPr>
      <w:r>
        <w:rPr>
          <w:rFonts w:hint="eastAsia"/>
        </w:rPr>
        <w:t xml:space="preserve">后续制造业PMI、新订单、出口订单、生产、价格和库存连续性。</w:t>
      </w:r>
    </w:p>
    <w:p>
      <w:pPr>
        <w:pStyle w:val="Compact"/>
        <w:numPr>
          <w:ilvl w:val="0"/>
          <w:numId w:val="1021"/>
        </w:numPr>
      </w:pPr>
      <w:r>
        <w:rPr>
          <w:rFonts w:hint="eastAsia"/>
        </w:rPr>
        <w:t xml:space="preserve">254项国家标准全文、6项强制标准的适用范围、过渡期和执法安排。</w:t>
      </w:r>
    </w:p>
    <w:p>
      <w:pPr>
        <w:pStyle w:val="Compact"/>
        <w:numPr>
          <w:ilvl w:val="0"/>
          <w:numId w:val="1021"/>
        </w:numPr>
      </w:pPr>
      <w:r>
        <w:rPr>
          <w:rFonts w:hint="eastAsia"/>
        </w:rPr>
        <w:t xml:space="preserve">废旧锂电池回收量、回收价格、再生材料质量、产能利用率与盈利。</w:t>
      </w:r>
    </w:p>
    <w:p>
      <w:pPr>
        <w:pStyle w:val="Compact"/>
        <w:numPr>
          <w:ilvl w:val="0"/>
          <w:numId w:val="1021"/>
        </w:numPr>
      </w:pPr>
      <w:r>
        <w:rPr>
          <w:rFonts w:hint="eastAsia"/>
        </w:rPr>
        <w:t xml:space="preserve">“微笑”卫星后续观测任务、数据产品、防灾应用、科研与采购预算。</w:t>
      </w:r>
    </w:p>
    <w:p>
      <w:pPr>
        <w:pStyle w:val="Compact"/>
        <w:numPr>
          <w:ilvl w:val="0"/>
          <w:numId w:val="1021"/>
        </w:numPr>
      </w:pPr>
      <w:r>
        <w:rPr>
          <w:rFonts w:hint="eastAsia"/>
        </w:rPr>
        <w:t xml:space="preserve">港珠澳大桥鲜活食品通关量、车次、时效、损耗率和运价。</w:t>
      </w:r>
    </w:p>
    <w:p>
      <w:pPr>
        <w:pStyle w:val="Compact"/>
        <w:numPr>
          <w:ilvl w:val="0"/>
          <w:numId w:val="1021"/>
        </w:numPr>
      </w:pPr>
      <w:r>
        <w:rPr>
          <w:rFonts w:hint="eastAsia"/>
        </w:rPr>
        <w:t xml:space="preserve">国庆文旅实际客流、客单价、酒店入住率、二次消费与运营成本。</w:t>
      </w:r>
    </w:p>
    <w:p>
      <w:pPr>
        <w:pStyle w:val="Compact"/>
        <w:numPr>
          <w:ilvl w:val="0"/>
          <w:numId w:val="1021"/>
        </w:numPr>
      </w:pPr>
      <w:r>
        <w:rPr>
          <w:rFonts w:hint="eastAsia"/>
        </w:rPr>
        <w:t xml:space="preserve">金鹰奖获奖作品版权主体、播放、授权、广告与衍生品收入。</w:t>
      </w:r>
    </w:p>
    <w:p>
      <w:pPr>
        <w:pStyle w:val="Compact"/>
        <w:numPr>
          <w:ilvl w:val="0"/>
          <w:numId w:val="1021"/>
        </w:numPr>
      </w:pPr>
      <w:r>
        <w:rPr>
          <w:rFonts w:hint="eastAsia"/>
        </w:rPr>
        <w:t xml:space="preserve">中国—文莱经贸投资正式协议、项目清单和企业订单。</w:t>
      </w:r>
    </w:p>
    <w:p>
      <w:pPr>
        <w:pStyle w:val="Compact"/>
        <w:numPr>
          <w:ilvl w:val="0"/>
          <w:numId w:val="1021"/>
        </w:numPr>
      </w:pPr>
      <w:r>
        <w:rPr>
          <w:rFonts w:hint="eastAsia"/>
        </w:rPr>
        <w:t xml:space="preserve">美伊正式声明、霍尔木兹海峡通航、制裁、油价、运价与保险费率。</w:t>
      </w:r>
    </w:p>
    <w:p>
      <w:pPr>
        <w:pStyle w:val="Compact"/>
        <w:numPr>
          <w:ilvl w:val="0"/>
          <w:numId w:val="1021"/>
        </w:numPr>
      </w:pPr>
      <w:r>
        <w:rPr>
          <w:rFonts w:hint="eastAsia"/>
        </w:rPr>
        <w:t xml:space="preserve">11月英欧峰会是否形成贸易、监管或人员流动的实质协议。</w:t>
      </w:r>
    </w:p>
    <w:p>
      <w:pPr>
        <w:pStyle w:val="Compact"/>
        <w:numPr>
          <w:ilvl w:val="0"/>
          <w:numId w:val="1021"/>
        </w:numPr>
      </w:pPr>
      <w:r>
        <w:rPr>
          <w:rFonts w:hint="eastAsia"/>
        </w:rPr>
        <w:t xml:space="preserve">美加禁令是否扩围、加拿大是否反制及相关企业北美业务暴露。</w:t>
      </w:r>
    </w:p>
    <w:bookmarkEnd w:id="31"/>
    <w:bookmarkEnd w:id="32"/>
    <w:bookmarkStart w:id="33" w:name="六事实核验与完整性结论"/>
    <w:p>
      <w:pPr>
        <w:pStyle w:val="Heading2"/>
      </w:pPr>
      <w:r>
        <w:rPr>
          <w:rFonts w:hint="eastAsia"/>
        </w:rPr>
        <w:t xml:space="preserve">六、事实核验与完整性结论</w:t>
      </w:r>
    </w:p>
    <w:p>
      <w:pPr>
        <w:pStyle w:val="Compact"/>
        <w:numPr>
          <w:ilvl w:val="0"/>
          <w:numId w:val="1022"/>
        </w:numPr>
      </w:pPr>
      <w:r>
        <w:rPr>
          <w:rFonts w:hint="eastAsia"/>
          <w:b/>
          <w:bCs/>
        </w:rPr>
        <w:t xml:space="preserve">稿源核验：</w:t>
      </w:r>
      <w:r>
        <w:t xml:space="preserve"> </w:t>
      </w:r>
      <w:r>
        <w:rPr>
          <w:rFonts w:hint="eastAsia"/>
        </w:rPr>
        <w:t xml:space="preserve">只使用用户指定的2026年9月30日存档；文件标题日期为20260930，包含“新闻摘要”“详细新闻”、10条分项央视链接和央视日页来源。本报告没有使用外部新闻稿、行情、上市公司公告或第三方预测补充联播事实。</w:t>
      </w:r>
    </w:p>
    <w:p>
      <w:pPr>
        <w:pStyle w:val="Compact"/>
        <w:numPr>
          <w:ilvl w:val="0"/>
          <w:numId w:val="1022"/>
        </w:numPr>
      </w:pPr>
      <w:r>
        <w:rPr>
          <w:rFonts w:hint="eastAsia"/>
          <w:b/>
          <w:bCs/>
        </w:rPr>
        <w:t xml:space="preserve">标题计数核验：</w:t>
      </w:r>
      <w:r>
        <w:t xml:space="preserve"> </w:t>
      </w:r>
      <w:r>
        <w:rPr>
          <w:rFonts w:hint="eastAsia"/>
        </w:rPr>
        <w:t xml:space="preserve">指定文件共有10个三级标题，其中“国内联播快讯”和“国际联播快讯”为2个合集标题，其余8个为独立标题。</w:t>
      </w:r>
    </w:p>
    <w:p>
      <w:pPr>
        <w:pStyle w:val="Compact"/>
        <w:numPr>
          <w:ilvl w:val="0"/>
          <w:numId w:val="1022"/>
        </w:numPr>
      </w:pPr>
      <w:r>
        <w:rPr>
          <w:rFonts w:hint="eastAsia"/>
          <w:b/>
          <w:bCs/>
        </w:rPr>
        <w:t xml:space="preserve">事实单元计数核验：</w:t>
      </w:r>
      <w:r>
        <w:t xml:space="preserve"> </w:t>
      </w:r>
      <w:r>
        <w:rPr>
          <w:rFonts w:hint="eastAsia"/>
        </w:rPr>
        <w:t xml:space="preserve">国内联播快讯包含4个子项，国际联播快讯包含3个子项，拆分后总事实单元为</w:t>
      </w:r>
      <w:r>
        <w:rPr>
          <w:rStyle w:val="VerbatimChar"/>
          <w:rFonts w:hint="eastAsia"/>
        </w:rPr>
        <w:t xml:space="preserve">8＋4＋3＝15</w:t>
      </w:r>
      <w:r>
        <w:rPr>
          <w:rFonts w:hint="eastAsia"/>
        </w:rPr>
        <w:t xml:space="preserve">个。本文按源文件顺序覆盖全部10个标题、15个事实单元。</w:t>
      </w:r>
    </w:p>
    <w:p>
      <w:pPr>
        <w:pStyle w:val="Compact"/>
        <w:numPr>
          <w:ilvl w:val="0"/>
          <w:numId w:val="1022"/>
        </w:numPr>
      </w:pPr>
      <w:r>
        <w:rPr>
          <w:rFonts w:hint="eastAsia"/>
          <w:b/>
          <w:bCs/>
        </w:rPr>
        <w:t xml:space="preserve">国内快讯核验：</w:t>
      </w:r>
      <w:r>
        <w:t xml:space="preserve"> </w:t>
      </w:r>
      <w:r>
        <w:rPr>
          <w:rFonts w:hint="eastAsia"/>
        </w:rPr>
        <w:t xml:space="preserve">254项国家标准、“微笑”卫星首批图像、港珠澳大桥供港鲜活食品全天通关、金鹰奖结果4项均已独立分析。</w:t>
      </w:r>
    </w:p>
    <w:p>
      <w:pPr>
        <w:pStyle w:val="Compact"/>
        <w:numPr>
          <w:ilvl w:val="0"/>
          <w:numId w:val="1022"/>
        </w:numPr>
      </w:pPr>
      <w:r>
        <w:rPr>
          <w:rFonts w:hint="eastAsia"/>
          <w:b/>
          <w:bCs/>
        </w:rPr>
        <w:t xml:space="preserve">国际快讯核验：</w:t>
      </w:r>
      <w:r>
        <w:t xml:space="preserve"> </w:t>
      </w:r>
      <w:r>
        <w:rPr>
          <w:rFonts w:hint="eastAsia"/>
        </w:rPr>
        <w:t xml:space="preserve">伊朗收到美国回复、英国推动改善与欧盟关系、美国对加拿大部分商品进口禁令3项均已独立分析。</w:t>
      </w:r>
    </w:p>
    <w:p>
      <w:pPr>
        <w:pStyle w:val="Compact"/>
        <w:numPr>
          <w:ilvl w:val="0"/>
          <w:numId w:val="1022"/>
        </w:numPr>
      </w:pPr>
      <w:r>
        <w:rPr>
          <w:rFonts w:hint="eastAsia"/>
          <w:b/>
          <w:bCs/>
        </w:rPr>
        <w:t xml:space="preserve">关键数字核验：</w:t>
      </w:r>
      <w:r>
        <w:t xml:space="preserve"> </w:t>
      </w:r>
      <w:r>
        <w:rPr>
          <w:rFonts w:hint="eastAsia"/>
        </w:rPr>
        <w:t xml:space="preserve">建党105周年、长征胜利90周年、国庆77周年、约800名中外人士；中温建交35周年；水利项目4.14万个、投资7950亿元、就业201万人；PMI</w:t>
      </w:r>
      <w:r>
        <w:t xml:space="preserve"> </w:t>
      </w:r>
      <w:r>
        <w:rPr>
          <w:rFonts w:hint="eastAsia"/>
        </w:rPr>
        <w:t xml:space="preserve">50.1%及上升0.3个百分点、新订单50.5%、新出口订单50%、生产51.7%、预期53.8%；大连1.8万面国旗、南翔20多项演艺；6项强制标准与248项推荐标准合计254项；鲜活食品通关16小时延长至24小时；美加禁令约9.67亿美元，均与指定原文逐项对照。</w:t>
      </w:r>
    </w:p>
    <w:p>
      <w:pPr>
        <w:pStyle w:val="Compact"/>
        <w:numPr>
          <w:ilvl w:val="0"/>
          <w:numId w:val="1022"/>
        </w:numPr>
      </w:pPr>
      <w:r>
        <w:rPr>
          <w:rFonts w:hint="eastAsia"/>
          <w:b/>
          <w:bCs/>
        </w:rPr>
        <w:t xml:space="preserve">事实边界核验：</w:t>
      </w:r>
      <w:r>
        <w:t xml:space="preserve"> </w:t>
      </w:r>
      <w:r>
        <w:rPr>
          <w:rFonts w:hint="eastAsia"/>
        </w:rPr>
        <w:t xml:space="preserve">已完成的7950亿元未写成新增投资；PMI</w:t>
      </w:r>
      <w:r>
        <w:t xml:space="preserve"> </w:t>
      </w:r>
      <w:r>
        <w:rPr>
          <w:rFonts w:hint="eastAsia"/>
        </w:rPr>
        <w:t xml:space="preserve">50.1%未写成全面强复苏；标准实施未写成现成订单；卫星图像未写成商业收入；外交贺电和国庆活动未扩写成经贸协议；伊朗收到回复未写成谈判成功或海峡重开；英国表态未写成英欧协议；美加禁令未扩写为直接涉及中国企业。</w:t>
      </w:r>
    </w:p>
    <w:p>
      <w:pPr>
        <w:pStyle w:val="Compact"/>
        <w:numPr>
          <w:ilvl w:val="0"/>
          <w:numId w:val="1022"/>
        </w:numPr>
      </w:pPr>
      <w:r>
        <w:rPr>
          <w:rFonts w:hint="eastAsia"/>
          <w:b/>
          <w:bCs/>
        </w:rPr>
        <w:t xml:space="preserve">产业映射核验：</w:t>
      </w:r>
      <w:r>
        <w:t xml:space="preserve"> </w:t>
      </w:r>
      <w:r>
        <w:rPr>
          <w:rFonts w:hint="eastAsia"/>
        </w:rPr>
        <w:t xml:space="preserve">所有板块方向均明确为条件性推演，并配套政策文本、资金、项目、招标、订单、价格、成本、交付、应收与现金流等验证指标；没有列出具体股票或给出收益承诺。</w:t>
      </w:r>
    </w:p>
    <w:p>
      <w:pPr>
        <w:pStyle w:val="Compact"/>
        <w:numPr>
          <w:ilvl w:val="0"/>
          <w:numId w:val="1022"/>
        </w:numPr>
      </w:pPr>
      <w:r>
        <w:rPr>
          <w:rFonts w:hint="eastAsia"/>
          <w:b/>
          <w:bCs/>
        </w:rPr>
        <w:t xml:space="preserve">内容隔离核验：</w:t>
      </w:r>
      <w:r>
        <w:t xml:space="preserve"> </w:t>
      </w:r>
      <w:r>
        <w:rPr>
          <w:rFonts w:hint="eastAsia"/>
        </w:rPr>
        <w:t xml:space="preserve">正文只保留完整分析，独立短文本存放于指定的summary.txt，不嵌入任何投递用短文本或内部标记。</w:t>
      </w:r>
    </w:p>
    <w:bookmarkEnd w:id="33"/>
    <w:bookmarkStart w:id="34" w:name="七结论"/>
    <w:p>
      <w:pPr>
        <w:pStyle w:val="Heading2"/>
      </w:pPr>
      <w:r>
        <w:rPr>
          <w:rFonts w:hint="eastAsia"/>
        </w:rPr>
        <w:t xml:space="preserve">七、结论</w:t>
      </w:r>
    </w:p>
    <w:p>
      <w:pPr>
        <w:pStyle w:val="FirstParagraph"/>
      </w:pPr>
      <w:r>
        <w:rPr>
          <w:rFonts w:hint="eastAsia"/>
        </w:rPr>
        <w:t xml:space="preserve">2026年9月30日联播对A股最具可验证性的主线是现代化水网：1—9月已实施4.14万个项目、完成7950亿元投资并吸纳201万人就业，“十五五”将继续加快防洪减灾、供水保障、水生态治理和数字孪生水网建设。宏观层面，制造业PMI以50.1%重回扩张区间，提供边际修复信号，但仍只是轻度扩张，需连续数据和企业盈利确认。国庆招待会讲话把完成全年目标任务与“十五五”良好开局并列，强化稳增长和向新向优发展的政策预期。254项国家标准、空间天气观测和鲜活食品全天通关提供结构性线索；国庆文旅偏事件驱动。外部方面，美伊沟通结果未明、美加贸易摩擦升级，能源与外向型资产仍需风险控制。执行上坚持“政策—资金—项目—订单—利润—现金流”的验证链，并以右侧趋势和量价承接决定仓位。</w:t>
      </w:r>
    </w:p>
    <w:p>
      <w:r>
        <w:pict>
          <v:rect style="width:0;height:1.5pt" o:hralign="center" o:hrstd="t" o:hr="t"/>
        </w:pict>
      </w:r>
    </w:p>
    <w:p>
      <w:pPr>
        <w:pStyle w:val="FirstParagraph"/>
      </w:pPr>
      <w:r>
        <w:rPr>
          <w:rFonts w:hint="eastAsia"/>
          <w:i/>
          <w:iCs/>
        </w:rPr>
        <w:t xml:space="preserve">本报告仅依据指定的2026年9月30日《新闻联播》存档原文进行事实整理和条件性A股推演，不构成投资建议。</w:t>
      </w:r>
    </w:p>
    <w:p>
      <w:pPr>
        <w:pStyle w:val="BodyText"/>
      </w:pPr>
      <w:r>
        <w:rPr>
          <w:rFonts w:hint="eastAsia"/>
        </w:rPr>
        <w:t xml:space="preserve">分析和写稿模型：GPT-5.6</w:t>
      </w:r>
      <w:r>
        <w:t xml:space="preserve"> Sol (openai-codex)</w:t>
      </w:r>
    </w:p>
    <w:bookmarkEnd w:id="34"/>
    <w:bookmarkEnd w:id="3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2026-09-30T12:28:24Z</dcterms:created>
  <dcterms:modified xsi:type="dcterms:W3CDTF">2026-09-30T12:28:24Z</dcterms:modified>
</cp:coreProperties>
</file>

<file path=docProps/custom.xml><?xml version="1.0" encoding="utf-8"?>
<Properties xmlns="http://schemas.openxmlformats.org/officeDocument/2006/custom-properties" xmlns:vt="http://schemas.openxmlformats.org/officeDocument/2006/docPropsVTypes"/>
</file>