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年9月28日新闻联播a股深度解读"/>
    <w:p>
      <w:pPr>
        <w:pStyle w:val="Heading1"/>
      </w:pPr>
      <w:r>
        <w:rPr>
          <w:rFonts w:hint="eastAsia"/>
        </w:rPr>
        <w:t xml:space="preserve">2026年9月28日《新闻联播》A股深度解读</w:t>
      </w:r>
    </w:p>
    <w:p>
      <w:pPr>
        <w:pStyle w:val="BlockText"/>
      </w:pPr>
      <w:r>
        <w:rPr>
          <w:rFonts w:hint="eastAsia"/>
        </w:rPr>
        <w:t xml:space="preserve">唯一联播原文：</w:t>
      </w:r>
      <w:r>
        <w:rPr>
          <w:rStyle w:val="VerbatimChar"/>
        </w:rPr>
        <w:t xml:space="preserve">/Users/qiji/.hermes/skills/finance/qiji-morning-know/memory/xinwenlianbo/2026-09-28.md</w:t>
      </w:r>
      <w:r>
        <w:br/>
      </w:r>
      <w:r>
        <w:rPr>
          <w:rFonts w:hint="eastAsia"/>
        </w:rPr>
        <w:t xml:space="preserve">分析边界：下文“原文事实”仅整理指定文件明确记载的信息；“条件性A股推演”依据政策层级、产业链传导、需求、成本与风险偏好作情景分析，不代表政策目标已经转化为上市公司订单、收入、利润或股价表现。本稿未引入其他新闻稿、行情数据、上市公司公告或第三方预测，不推荐具体个股。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整体基调：稳增长政策明显加力，安全治理与高质量发展并行。</w:t>
      </w:r>
      <w:r>
        <w:t xml:space="preserve"> </w:t>
      </w:r>
      <w:r>
        <w:rPr>
          <w:rFonts w:hint="eastAsia"/>
        </w:rPr>
        <w:t xml:space="preserve">头条以更高水平平安中国建设定调，随后强调安全生产；国务院常务会议直接提出加大逆周期调节、加快债券使用、推动重大工程、扩投资促消费、研究稳楼市和促就业增收政策，是当天对A股最直接的总量政策信号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政策信号强度：强。</w:t>
      </w:r>
      <w:r>
        <w:t xml:space="preserve"> </w:t>
      </w:r>
      <w:r>
        <w:rPr>
          <w:rFonts w:hint="eastAsia"/>
        </w:rPr>
        <w:t xml:space="preserve">总书记重要指示、国务院总理主持的国常会、全国安全生产会议、国资央企“十五五”部署与工业利润数据形成“安全底线—宏观托底—重大投资—科技与技改—央企产业升级”的政策组合。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对A股总体影响：结构性偏利好。</w:t>
      </w:r>
      <w:r>
        <w:t xml:space="preserve"> </w:t>
      </w:r>
      <w:r>
        <w:rPr>
          <w:rFonts w:hint="eastAsia"/>
        </w:rPr>
        <w:t xml:space="preserve">基建“六张网”、水库粮库改造、科技创新和技改再贷款、央企战略性新兴产业、AI与算力基础设施、高铁、深海装备、污染物治理、安全生产与应急管理均有条件性机会；房地产政策仍处于“研究出台”阶段，海外伊朗局势与中东冲突则增加能源、航运和风险偏好波动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优先级排序：</w:t>
      </w:r>
      <w:r>
        <w:t xml:space="preserve"> </w:t>
      </w:r>
      <w:r>
        <w:rPr>
          <w:rFonts w:hint="eastAsia"/>
        </w:rPr>
        <w:t xml:space="preserve">逆周期与有效投资＞国资央企重大工程和战略性新兴产业＞AI/算力/光通信利润景气＞安全生产与公共安全治理＞高铁与“六张网”＞深海科技装备＞新污染物治理＞前海外贸与文旅消费。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最需要防止的误读：</w:t>
      </w:r>
      <w:r>
        <w:t xml:space="preserve"> </w:t>
      </w:r>
      <w:r>
        <w:rPr>
          <w:rFonts w:hint="eastAsia"/>
        </w:rPr>
        <w:t xml:space="preserve">“研究出台”不等于政策已经生效；约2万亿元是央企围绕“六张网”的年度计划投资，不等于全部形成上市公司订单；工业利润增长是全国统计口径，不等于所有行业和个股同步增长；资产总额、研发投入、地质与工程纪录、客流量均不能直接折算为企业利润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一句话结论：</w:t>
      </w:r>
      <w:r>
        <w:t xml:space="preserve"> </w:t>
      </w:r>
      <w:r>
        <w:rPr>
          <w:rFonts w:hint="eastAsia"/>
        </w:rPr>
        <w:t xml:space="preserve">当日联播给出较强的稳增长和产业升级信号，执行上应跟踪政策文本、预算、债券资金、项目清单、招标、订单、交付与现金流，并坚持右侧量价确认。</w:t>
      </w:r>
    </w:p>
    <w:bookmarkEnd w:id="9"/>
    <w:bookmarkStart w:id="37" w:name="二全部27个事实单元逐条a股影响分析"/>
    <w:p>
      <w:pPr>
        <w:pStyle w:val="Heading2"/>
      </w:pPr>
      <w:r>
        <w:rPr>
          <w:rFonts w:hint="eastAsia"/>
        </w:rPr>
        <w:t xml:space="preserve">二、全部27个事实单元逐条A股影响分析</w:t>
      </w:r>
    </w:p>
    <w:bookmarkStart w:id="10" w:name="习近平就建设更高水平平安中国作出重要指示"/>
    <w:p>
      <w:pPr>
        <w:pStyle w:val="Heading3"/>
      </w:pPr>
      <w:r>
        <w:t xml:space="preserve">1. </w:t>
      </w:r>
      <w:r>
        <w:rPr>
          <w:rFonts w:hint="eastAsia"/>
        </w:rPr>
        <w:t xml:space="preserve">习近平就建设更高水平平安中国作出重要指示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信号强度：★★★★★｜方向：公共安全、网络安全、社会治理和政法信息化中长期偏利好｜时效：中长期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习近平要求坚定贯彻总体国家安全观，统筹发展和安全，强化法治支撑、科技赋能，加强国家安全体系和能力建设，提高公共安全治理水平、完善社会治理体系并防范化解各类风险。会议授牌命名60个平安中国建设示范市和160个示范县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“作出重要指示”“科技赋能”“四个更加”将安全治理提升到保障中国式现代化的长期底座，而非一次性专项行动；但原文没有披露新增财政预算、采购目录或供应商。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公共安全平台、网络与数据安全、应急通信、城市治理、身份认证及政法信息化可能受益，真实弹性取决于预算、项目招标、验收和回款。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跟踪国家和地方专项规划、财政预算、设备更新、软件续费及应收账款；若只有定调而无项目落地，应降低短期交易权重。</w:t>
      </w:r>
    </w:p>
    <w:bookmarkEnd w:id="10"/>
    <w:bookmarkStart w:id="11" w:name="央视快评以更高水平平安中国建设保障中国式现代化行稳致远"/>
    <w:p>
      <w:pPr>
        <w:pStyle w:val="Heading3"/>
      </w:pPr>
      <w:r>
        <w:t xml:space="preserve">2. </w:t>
      </w:r>
      <w:r>
        <w:rPr>
          <w:rFonts w:hint="eastAsia"/>
        </w:rPr>
        <w:t xml:space="preserve">央视快评：以更高水平平安中国建设保障中国式现代化行稳致远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信号强度：★★★★☆｜方向：强化平安中国主线，A股新增信息有限｜时效：中长期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原文仅说明本台播发同名央视快评，没有提供快评全文、数字、项目或行业安排。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快评紧随头条，体现宣传层面对最高层安全治理信号的强化，但不能据标题推演正文或新增政策细节。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对公共安全、社会治理和网络安全主要是主题强化，不构成独立订单催化。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仅在后续正式政策、预算和采购出现时提高产业评级；禁止把同题快评重复计算为第二项政策。</w:t>
      </w:r>
    </w:p>
    <w:bookmarkEnd w:id="11"/>
    <w:bookmarkStart w:id="12" w:name="全国安全生产视频会议"/>
    <w:p>
      <w:pPr>
        <w:pStyle w:val="Heading3"/>
      </w:pPr>
      <w:r>
        <w:t xml:space="preserve">3. </w:t>
      </w:r>
      <w:r>
        <w:rPr>
          <w:rFonts w:hint="eastAsia"/>
        </w:rPr>
        <w:t xml:space="preserve">全国安全生产视频会议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信号强度：★★★★★｜方向：安全生产、应急管理、工业检测和防灾减灾偏利好，高风险行业合规成本上升｜时效：短中期至长期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李强要求防范遏制重特大事故，重点涉及火灾、混合生产经营场所、违法转包分包、矿山“八条硬措施”、烟花爆竹全链条、船舶企业专项整治、旅游交通和危化品，并强调隐患判定、整改销号闭环、严格执法和央企国企带头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“一些地方相继发生重特大事故”“坚决防范遏制”“专项整治”意味着监管检查和整改强度可能提升，需求与成本同时存在：安全设备、监测和服务可能增量，高风险企业则面临停产整改、资本开支和合规压力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火灾报警、矿山安全、危化监测、船舶安全、工业检测、应急装备和防灾预警具备条件性机会；矿山、化工、烟花爆竹、船舶制造和景区运营需关注整改成本与产能扰动。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跟踪专项检查范围、隐患判定标准、设备强制配置、招标订单、企业停复产和安全资本开支，不能把会议要求直接等同业绩增长。</w:t>
      </w:r>
    </w:p>
    <w:bookmarkEnd w:id="12"/>
    <w:bookmarkStart w:id="13" w:name="李强主持召开国务院常务会议"/>
    <w:p>
      <w:pPr>
        <w:pStyle w:val="Heading3"/>
      </w:pPr>
      <w:r>
        <w:t xml:space="preserve">4. </w:t>
      </w:r>
      <w:r>
        <w:rPr>
          <w:rFonts w:hint="eastAsia"/>
        </w:rPr>
        <w:t xml:space="preserve">李强主持召开国务院常务会议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信号强度：★★★★★｜方向：宏观稳增长、基建、消费、科技技改、地产和就业预期偏利好｜时效：短中期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会议提出加大逆周期调节，加快债券发行使用，推动“十五五”规划和“六张网”重大工程尽早开工，推进老旧水库、老旧粮库改造，加力扩投资、促消费贴息；推出增量政策、用好地方债务结存限额、适时调整货币政策工具，增加科技创新、技术改造、支农支小再贷款额度，研究稳楼市和促就业增收政策，并激发民间投资、储备提振内需措施。会议同时部署新污染物源头管控并审议事业单位登记管理条例草案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这是当天最直接的经济政策落地信号。“加紧加力”“推出增量政策”强于一般方向表述；但“研究出台”“适时调整”仍表示部分工具尚未正式落地，需区分已部署、待出台和先行试点。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建筑建材、工程机械、水利、粮食仓储、“六张网”相关工程、消费金融、科技设备更新、中小企业融资服务和房地产链预期受益；新污染物治理利好检测、化学品筛查、环保设备与替代材料，同时提高重点化工企业治理成本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跟踪增量政策正式文件、债券发行与项目资金拨付、重大工程开工率、贴息清单、再贷款额度与投向、楼市政策细则、民间投资和环保治理项目；若政策停留在研究层面或资金落地慢，短期弹性应下调。</w:t>
      </w:r>
    </w:p>
    <w:bookmarkEnd w:id="13"/>
    <w:bookmarkStart w:id="14" w:name="国庆招待会与港澳台侨统一战线"/>
    <w:p>
      <w:pPr>
        <w:pStyle w:val="Heading3"/>
      </w:pPr>
      <w:r>
        <w:t xml:space="preserve">5. </w:t>
      </w:r>
      <w:r>
        <w:rPr>
          <w:rFonts w:hint="eastAsia"/>
        </w:rPr>
        <w:t xml:space="preserve">国庆招待会与港澳台侨统一战线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信号强度：★★★☆☆｜方向：港澳融合、两岸交流与侨务服务长期正面，A股直接催化有限｜时效：长期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六部门联合举行国庆招待会，王沪宁表示巩固最广泛爱国统一战线，支持港澳融入和服务国家发展大局，坚持一个中国原则和“九二共识”，深化两岸交流合作与融合发展，推进祖国统一并深化为侨服务；约750名港澳台侨代表出席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这是国家统一、港澳融入与侨务工作的政治定调，方向明确，但没有新增经贸协议、区域规划、投资金额或通关措施。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粤港澳跨境服务、交通、旅游和区域合作获得长期政策环境支撑，短期不应据此推导上市公司订单。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等待具体互联互通、人员往来、税制、金融开放或项目清单后再提高板块权重。</w:t>
      </w:r>
    </w:p>
    <w:bookmarkEnd w:id="14"/>
    <w:bookmarkStart w:id="15" w:name="王沪宁会见全国少数民族参观团"/>
    <w:p>
      <w:pPr>
        <w:pStyle w:val="Heading3"/>
      </w:pPr>
      <w:r>
        <w:t xml:space="preserve">6. </w:t>
      </w:r>
      <w:r>
        <w:rPr>
          <w:rFonts w:hint="eastAsia"/>
        </w:rPr>
        <w:t xml:space="preserve">王沪宁会见全国少数民族参观团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信号强度：★★★☆☆｜方向：民族地区现代化、公共服务与特色产业长期正面｜时效：长期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要求学习贯彻民族团结进步促进法，铸牢中华民族共同体意识，推动各民族共同走向社会主义现代化，支持民族地区结合自身特色和优势走高质量发展道路。参观团共150人，由2024年以来省级及以上民族团结进步模范代表组成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“十五五”时期民族地区发展继续以团结、法治、公共服务和特色高质量发展为主线，但原文没有专项资金、基建规模或产业名单。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西部基础设施、文旅、特色农业、清洁能源与公共服务存在长期条件性机会，需防止把政治活动泛化为短线题材。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跟踪民族地区“十五五”规划、中央转移支付、专项项目、招标和运营现金流。</w:t>
      </w:r>
    </w:p>
    <w:bookmarkEnd w:id="15"/>
    <w:bookmarkStart w:id="16" w:name="十五五推动国资央企实现新发展"/>
    <w:p>
      <w:pPr>
        <w:pStyle w:val="Heading3"/>
      </w:pPr>
      <w:r>
        <w:t xml:space="preserve">7. </w:t>
      </w:r>
      <w:r>
        <w:rPr>
          <w:rFonts w:hint="eastAsia"/>
        </w:rPr>
        <w:t xml:space="preserve">“十五五”推动国资央企实现新发展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信号强度：★★★★★｜方向：央企改革、重大工程、战略性新兴产业和关键核心技术核心偏利好｜时效：中长期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截至8月末央企资产总额99.3万亿元，同比增长4.2%；1—8月研发投入同比增长2.7%，预计全年超1万亿元并连续第五年超万亿元。今年央企围绕“六张网”年度计划相关投资约2万亿元。“十五五”将优化国有经济布局，在国家安全和经济命脉领域强基固本，在战略性新兴产业扩能提质，承担国家级重大科技任务并推进改革赋能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央企从规模扩张转向“战略安全、重大网络、科技攻关、战新扩能和改革效率”并重。资产总额和研发投入是集团口径，约2万亿元为计划投资，均不能直接视为上市子公司收入。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“六张网”具体实施方案所覆盖的设备和工程链，以及央企控股科技平台、高端装备与专业化整合方向可能受益；原文没有逐项定义“六张网”，不得自行扩展具体网络构成。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跟踪“六张网”定义和项目清单、央企资本开支、招标、中标、资产注入、专业化整合、研发成果产业化与经营现金流。</w:t>
      </w:r>
    </w:p>
    <w:bookmarkEnd w:id="16"/>
    <w:bookmarkStart w:id="17" w:name="月规模以上工业企业利润同比增长15.7"/>
    <w:p>
      <w:pPr>
        <w:pStyle w:val="Heading3"/>
      </w:pPr>
      <w:r>
        <w:t xml:space="preserve">8. </w:t>
      </w:r>
      <w:r>
        <w:rPr>
          <w:rFonts w:hint="eastAsia"/>
        </w:rPr>
        <w:t xml:space="preserve">1—8月规模以上工业企业利润同比增长15.7%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信号强度：★★★★★｜方向：工业盈利预期偏利好，AI电子、算力基础设施和光通信景气线索突出｜时效：短中期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全国规上工业企业实现利润总额52719.8亿元，同比增长15.7%。电子行业利润同比增长1.1倍；算力基础设施建设带动光纤制造、光缆制造利润分别增长5.3倍和1.0倍。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联播明确突出AI应用、电子行业和算力基础设施，是当日最清晰的景气数据线索；但行业利润高增可能受低基数、价格、产品结构和集中度影响，不代表所有企业同步增长。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AI硬件、电子制造、服务器与数据中心配套、光纤光缆和光通信链风险偏好可能受提振；高增长数据也可能已被市场预期，需防止追逐拥挤交易。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核对分行业收入、利润率、价格、订单、产能利用率、资本开支、应收和现金流；若利润增长集中于少数企业或缺乏收入与现金流支持，应降低外推范围。</w:t>
      </w:r>
    </w:p>
    <w:bookmarkEnd w:id="17"/>
    <w:bookmarkStart w:id="18" w:name="四条高铁同日开通"/>
    <w:p>
      <w:pPr>
        <w:pStyle w:val="Heading3"/>
      </w:pPr>
      <w:r>
        <w:t xml:space="preserve">9. </w:t>
      </w:r>
      <w:r>
        <w:rPr>
          <w:rFonts w:hint="eastAsia"/>
        </w:rPr>
        <w:t xml:space="preserve">四条高铁同日开通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信号强度：★★★★☆｜方向：轨交设备、铁路运营、基建与沿线文旅偏利好｜时效：短中期至长期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四条高铁新增运营里程1100多公里，包括雄安至商丘、哈尔滨至伊春、西安至安康、宜昌至兴山。铁路固定资产投资月均640亿元，“八纵八横”高铁网建成率达86%。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同日开通体现前期建设进入运营兑现期，86%建成率意味着主干网络成熟度较高，后续机会可能更多来自剩余通道、设备更新、运维和区域客流，而非简单复制早期大规模铺网。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轨交车辆与信号、供电、通信、工程服务、铁路运维及沿线旅游可能受益；开通本身不等于运营即盈利，需关注客流培育和折旧成本。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跟踪剩余项目招标、设备订单、客座率、票价、运维支出、沿线土地与文旅转化。</w:t>
      </w:r>
    </w:p>
    <w:bookmarkEnd w:id="18"/>
    <w:bookmarkStart w:id="19" w:name="梦想号完成大洋钻探试钻任务"/>
    <w:p>
      <w:pPr>
        <w:pStyle w:val="Heading3"/>
      </w:pPr>
      <w:r>
        <w:t xml:space="preserve">10. </w:t>
      </w:r>
      <w:r>
        <w:rPr>
          <w:rFonts w:hint="eastAsia"/>
        </w:rPr>
        <w:t xml:space="preserve">“梦想”号完成大洋钻探试钻任务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信号强度：★★★★☆｜方向：深海装备、海洋工程、地质勘探和高端制造长期偏利好｜时效：长期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“梦想”号历时30天完成南海试钻，取得洋盆玄武岩样品；其具备11000米钻探能力和全海域全天候作业能力，本航次最大钻探深度4929.17米，刷新我国自主实施最大作业水深钻探纪录，后续将开展科技攻关航次并推动深海关键装备研发应用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这是自主深海科学钻探能力的技术验证和工程纪录，长期指向海洋强国与关键装备国产化；科研试钻不等于商业油气发现或当期订单。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海工装备、特种船舶、深海传感器、钻探系统、耐压材料和海洋科研服务具备长期主题机会。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跟踪后续航次、科研预算、装备采购、国产化比例、技术转移和商业应用，禁止把岩心样品外推为资源储量。</w:t>
      </w:r>
    </w:p>
    <w:bookmarkEnd w:id="19"/>
    <w:bookmarkStart w:id="20" w:name="时代楷模王戟先进事迹"/>
    <w:p>
      <w:pPr>
        <w:pStyle w:val="Heading3"/>
      </w:pPr>
      <w:r>
        <w:t xml:space="preserve">11. </w:t>
      </w:r>
      <w:r>
        <w:rPr>
          <w:rFonts w:hint="eastAsia"/>
        </w:rPr>
        <w:t xml:space="preserve">“时代楷模”王戟先进事迹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信号强度：★★★☆☆｜方向：高可信软件、基础软件和国防科研人才长期正面｜时效：长期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王戟为国防科技大学计算机学院研究员、博士生导师，是我国高可信软件技术领域主要开拓者，取得多项达到国际先进水平的创新成果并培养技术骨干。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报道核心是先进典型与科研精神，同时让“高可信软件”这一基础能力获得公共关注；原文没有具体成果名称、转化项目或企业合作。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基础软件、工业软件、软件验证、网络安全和军工信息化获得长期关注，但直接商业映射弱。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仅以科研成果转化、标准、采购和企业公告为依据，不根据人物报道推断具体公司受益。</w:t>
      </w:r>
    </w:p>
    <w:bookmarkEnd w:id="20"/>
    <w:bookmarkStart w:id="21" w:name="新闻特写赛场拼技能-匠心育人才世界技能大赛创历史最好成绩"/>
    <w:p>
      <w:pPr>
        <w:pStyle w:val="Heading3"/>
      </w:pPr>
      <w:r>
        <w:t xml:space="preserve">12. </w:t>
      </w:r>
      <w:r>
        <w:rPr>
          <w:rFonts w:hint="eastAsia"/>
        </w:rPr>
        <w:t xml:space="preserve">【新闻特写】赛场拼技能</w:t>
      </w:r>
      <w:r>
        <w:t xml:space="preserve"> </w:t>
      </w:r>
      <w:r>
        <w:rPr>
          <w:rFonts w:hint="eastAsia"/>
        </w:rPr>
        <w:t xml:space="preserve">匠心育人才——世界技能大赛创历史最好成绩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信号强度：★★★☆☆｜方向：职业教育、工业技能培训、无人机与五轴数控长期正面｜时效：中长期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第48届世界技能大赛有1385名选手，中国71名选手参加全部64个赛项，获得41枚金牌、11枚银牌、4枚铜牌。无人机系统新赛项夺金，相关技师学院已办专业六年并培养300多人；中国在7项新增赛项获6枚金牌，数控铣设备由三轴升级为五轴，中国实现该项目六连冠。我国累计获134枚金牌，连续五届金牌榜和团体总分第一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赛事结果体现技能人才供给与先进制造产业基础，重点线索是无人机复合技能、五轴加工和职业教育协同，而非单纯奖牌情绪。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职教设备与实训、数控机床、五轴加工、无人机系统、工业软件和高技能人才服务可能长期受益；赛事荣誉不直接形成销售。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跟踪职业教育专业扩容、实训基地预算、设备采购、五轴机床订单、产业人才缺口和企业研发生产效率。</w:t>
      </w:r>
    </w:p>
    <w:bookmarkEnd w:id="21"/>
    <w:bookmarkStart w:id="22" w:name="第二十届亚运会中国队多点夺金"/>
    <w:p>
      <w:pPr>
        <w:pStyle w:val="Heading3"/>
      </w:pPr>
      <w:r>
        <w:t xml:space="preserve">13. </w:t>
      </w:r>
      <w:r>
        <w:rPr>
          <w:rFonts w:hint="eastAsia"/>
        </w:rPr>
        <w:t xml:space="preserve">第二十届亚运会中国队多点夺金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信号强度：★★☆☆☆｜方向：体育用品、赛事传播和品牌营销事件性偏利好｜时效：赛事期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中国队在跳水、射击、花样游泳、田径和乒乓球多个项目夺金；花样游泳集体项目六连冠，严子怡以70米46刷新亚运会女子标枪纪录。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多点夺金提升赛事关注和国民情绪，但原文没有门票、版权、赞助、广告或商品销售数据。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体育用品、赛事内容和品牌营销可能获得短期热度，持续性取决于真实销量和商业权益转化。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跟踪零售、流量、赞助、版权和用户付费，避免把奖牌直接映射为利润。</w:t>
      </w:r>
    </w:p>
    <w:bookmarkEnd w:id="22"/>
    <w:bookmarkStart w:id="23" w:name="钱塘江大潮进入最佳观赏期"/>
    <w:p>
      <w:pPr>
        <w:pStyle w:val="Heading3"/>
      </w:pPr>
      <w:r>
        <w:t xml:space="preserve">14. </w:t>
      </w:r>
      <w:r>
        <w:rPr>
          <w:rFonts w:hint="eastAsia"/>
        </w:rPr>
        <w:t xml:space="preserve">钱塘江大潮进入最佳观赏期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信号强度：★★☆☆☆｜方向：浙江文旅和景区服务事件性偏利好，防潮安全亦受关注｜时效：短期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钱塘江大潮呈现一线潮、交叉潮、回头潮和冲天潮；老盐仓上游3座新丁坝兼具消能防冲与景观效果，海宁段沿线当天有12.2万游客观潮。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这是节庆文旅客流和水利防护设施结合的场景，12.2万是区域单日游客量，不等于景区收入或上市公司利润。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当地景区、酒店餐饮、交通和文旅服务可能获得短期客流，水利工程更多体现公共安全属性。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跟踪实际客单价、住宿率、二次消费、活动成本和安全管控，客流不变现时下调盈利预期。</w:t>
      </w:r>
    </w:p>
    <w:bookmarkEnd w:id="23"/>
    <w:bookmarkStart w:id="24" w:name="国内联播快讯中国渔业生态环境状况公报2025"/>
    <w:p>
      <w:pPr>
        <w:pStyle w:val="Heading3"/>
      </w:pPr>
      <w:r>
        <w:t xml:space="preserve">15.1 </w:t>
      </w:r>
      <w:r>
        <w:rPr>
          <w:rFonts w:hint="eastAsia"/>
        </w:rPr>
        <w:t xml:space="preserve">国内联播快讯：中国渔业生态环境状况公报（2025）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信号强度：★★★☆☆｜方向：水环境监测、渔业生态修复长期正面｜时效：中长期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2025年我国渔业资源与水域生态环境总体稳定，所有监测水域锌、铅、汞和砷浓度均优于评价标准。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数据证明监测水域相关指标总体达标，更多是治理成效而非新增治理需求；不能反向推导污染治理订单必然增长。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水质监测、生态调查、渔业资源管理和生态修复保持长期公共服务需求。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跟踪监测网络采购、生态修复项目、财政预算和验收回款。</w:t>
      </w:r>
    </w:p>
    <w:bookmarkEnd w:id="24"/>
    <w:bookmarkStart w:id="25" w:name="国内联播快讯黄河上中游重点水库联合排沙结束"/>
    <w:p>
      <w:pPr>
        <w:pStyle w:val="Heading3"/>
      </w:pPr>
      <w:r>
        <w:t xml:space="preserve">15.2 </w:t>
      </w:r>
      <w:r>
        <w:rPr>
          <w:rFonts w:hint="eastAsia"/>
        </w:rPr>
        <w:t xml:space="preserve">国内联播快讯：黄河上中游重点水库联合排沙结束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信号强度：★★★☆☆｜方向：水利调度、水库运维和智慧水利长期正面｜时效：中长期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2026年度联合排沙调度自9月12日开始，合计排沙1.11亿吨；万家寨水库9月27日转入发电运用，标志调度结束。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排沙与转入发电体现流域水库联合调度和多目标运行能力，但这是年度运维成果，不是新建工程公告。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水库运维、闸门水机、监测调度和智慧水利存在长期需求，电力运营影响需结合水量、电价与发电小时。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跟踪水利投资、设备更新、智能调度采购、来水和发电量。</w:t>
      </w:r>
    </w:p>
    <w:bookmarkEnd w:id="25"/>
    <w:bookmarkStart w:id="26" w:name="国内联播快讯全国乡村工匠宣传选树"/>
    <w:p>
      <w:pPr>
        <w:pStyle w:val="Heading3"/>
      </w:pPr>
      <w:r>
        <w:t xml:space="preserve">15.3 </w:t>
      </w:r>
      <w:r>
        <w:rPr>
          <w:rFonts w:hint="eastAsia"/>
        </w:rPr>
        <w:t xml:space="preserve">国内联播快讯：全国乡村工匠宣传选树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信号强度：★★☆☆☆｜方向：乡村就业、职业培训和非遗产业长期正面｜时效：长期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七部门公布10名2026年全国乡村工匠宣传选树对象；2023年以来累计培育乡村工匠超13万人，覆盖14个技艺门类，帮助500多万农民特别是脱贫人口掌握技能并就地就业增收。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政策重点是技能培育、就业增收与传统技艺传承，属于公共就业和乡村振兴的长期工作，未披露新增补贴和商业订单。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职业培训、县域文旅、非遗文创和电商渠道存在长期场景，上市公司直接受益需具体合作和销售验证。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跟踪培训采购、就业率、产品销售、渠道费用和农户增收的可持续性。</w:t>
      </w:r>
    </w:p>
    <w:bookmarkEnd w:id="26"/>
    <w:bookmarkStart w:id="27" w:name="国内联播快讯前海合作区进出口增长"/>
    <w:p>
      <w:pPr>
        <w:pStyle w:val="Heading3"/>
      </w:pPr>
      <w:r>
        <w:t xml:space="preserve">15.4 </w:t>
      </w:r>
      <w:r>
        <w:rPr>
          <w:rFonts w:hint="eastAsia"/>
        </w:rPr>
        <w:t xml:space="preserve">国内联播快讯：前海合作区进出口增长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信号强度：★★★★☆｜方向：粤港澳外贸、集成电路、生物医药、高端消费和新能源机电偏利好｜时效：短中期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前8个月深圳前海合作区进出口总值7889亿元，同比增长62.9%，创历史同期新高；主要货物包括集成电路、生物医药、高端消费品、电子及新能源机电产品。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这是明确的区域外贸高增数据，但合作区统计可能受平台集聚、转口、基数和货值结构影响，不能直接外推全国或个别企业盈利。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港口物流、跨境供应链、集成电路贸易、生物医药流通和新能源机电出口服务可能受益。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跟踪出口数量与价格、贸易方式、主要市场、订单、汇率、物流费率和企业现金流。</w:t>
      </w:r>
    </w:p>
    <w:bookmarkEnd w:id="27"/>
    <w:bookmarkStart w:id="28" w:name="国内联播快讯新时代好少年主题读书活动"/>
    <w:p>
      <w:pPr>
        <w:pStyle w:val="Heading3"/>
      </w:pPr>
      <w:r>
        <w:t xml:space="preserve">15.5 </w:t>
      </w:r>
      <w:r>
        <w:rPr>
          <w:rFonts w:hint="eastAsia"/>
        </w:rPr>
        <w:t xml:space="preserve">国内联播快讯：“新时代好少年”主题读书活动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信号强度：★☆☆☆☆｜方向：教育出版与红色研学长期轻度正面，A股影响有限｜时效：长期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主题读书活动通过共读长征图书、探访红色教育基地等形式开展，带动超5000万人次中小学生参与。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这是德育和主题教育活动成果，参与人次不等于付费用户或出版销售。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教育出版、研学和文化场馆存在场景机会，但缺少采购金额与商业转化信息。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以后续教材图书采购、研学收费、实际客流和毛利为准。</w:t>
      </w:r>
    </w:p>
    <w:bookmarkEnd w:id="28"/>
    <w:bookmarkStart w:id="29" w:name="国内联播快讯孔子文化节与尼山世界文明论坛"/>
    <w:p>
      <w:pPr>
        <w:pStyle w:val="Heading3"/>
      </w:pPr>
      <w:r>
        <w:t xml:space="preserve">15.6 </w:t>
      </w:r>
      <w:r>
        <w:rPr>
          <w:rFonts w:hint="eastAsia"/>
        </w:rPr>
        <w:t xml:space="preserve">国内联播快讯：孔子文化节与尼山世界文明论坛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信号强度：★★☆☆☆｜方向：山东文旅、文化会展和国际交流事件性偏利好｜时效：短期至长期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2026中国国际孔子文化节和尼山世界文明论坛在曲阜开幕，主题为“仁礼天下</w:t>
      </w:r>
      <w:r>
        <w:t xml:space="preserve"> </w:t>
      </w:r>
      <w:r>
        <w:rPr>
          <w:rFonts w:hint="eastAsia"/>
        </w:rPr>
        <w:t xml:space="preserve">和合大同”，颁发孔子教育奖，并讨论文明韧性、全球治理、思想对话与文明融通。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活动提升曲阜文化品牌和会展旅游关注度，但没有披露客流、合同或消费金额。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景区、酒店、会展和文化传播可能获得窗口性需求，长期价值取决于持续客流与产品化。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跟踪参会规模、游客、入住率、客单价、活动成本和后续项目。</w:t>
      </w:r>
    </w:p>
    <w:bookmarkEnd w:id="29"/>
    <w:bookmarkStart w:id="30" w:name="国内联播快讯圣杯屿元代沉船文物移交"/>
    <w:p>
      <w:pPr>
        <w:pStyle w:val="Heading3"/>
      </w:pPr>
      <w:r>
        <w:t xml:space="preserve">15.7 </w:t>
      </w:r>
      <w:r>
        <w:rPr>
          <w:rFonts w:hint="eastAsia"/>
        </w:rPr>
        <w:t xml:space="preserve">国内联播快讯：圣杯屿元代沉船文物移交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信号强度：★★☆☆☆｜方向：水下考古、博物馆展陈和文物数字化长期正面｜时效：长期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福建漳州圣杯屿元代沉船17223件出水文物移交收藏单位，以元代龙泉青瓷为主，填补元代海船研究空白，并为出水文物规范移交提供示范。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这是考古、收藏和研究体系的成果，潜在价值在保护、修复、数字化与展陈，不是文物交易或商业资产注入。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文博数字化、展陈工程、环境控制和文化旅游存在长期条件性需求。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跟踪保护修复预算、博物馆展览计划、数字采集和项目招标。</w:t>
      </w:r>
    </w:p>
    <w:bookmarkEnd w:id="30"/>
    <w:bookmarkStart w:id="31" w:name="国内联播快讯电视剧爱在山海间播出"/>
    <w:p>
      <w:pPr>
        <w:pStyle w:val="Heading3"/>
      </w:pPr>
      <w:r>
        <w:t xml:space="preserve">15.8 </w:t>
      </w:r>
      <w:r>
        <w:rPr>
          <w:rFonts w:hint="eastAsia"/>
        </w:rPr>
        <w:t xml:space="preserve">国内联播快讯：电视剧《爱在山海间》播出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信号强度：★☆☆☆☆｜方向：影视内容与主旋律题材情绪中性｜时效：播出期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该剧于9月28日在央视综合频道黄金档播出，以医疗援藏为题材，表现民族团结。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这是单部电视剧播出信息，原文未披露制作方、版权交易、广告或收视数据。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对影视板块直接影响很弱，只有明确上市公司权益和商业数据才可映射。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跟踪版权归属、收视、广告、平台分账与制作成本，禁止仅凭播出平台推断受益公司。</w:t>
      </w:r>
    </w:p>
    <w:bookmarkEnd w:id="31"/>
    <w:bookmarkStart w:id="32" w:name="大熊猫平平福双抵达美国亚特兰大动物园"/>
    <w:p>
      <w:pPr>
        <w:pStyle w:val="Heading3"/>
      </w:pPr>
      <w:r>
        <w:t xml:space="preserve">16. </w:t>
      </w:r>
      <w:r>
        <w:rPr>
          <w:rFonts w:hint="eastAsia"/>
        </w:rPr>
        <w:t xml:space="preserve">大熊猫“平平”“福双”抵达美国亚特兰大动物园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信号强度：★★☆☆☆｜方向：中美人文交流、动物保护合作长期正面｜时效：长期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两只大熊猫27日抵达亚特兰大，进行约一个月检疫隔离；中方兽医和饲养员驻园3个月协助适应。两只大熊猫均出生于2020年，美国民众表示欢迎。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这是人文与科研交流的延续，情绪层面有助于民间友好，但没有商业合同、旅游收入或上市公司参与信息。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对航空、文旅和文化传播仅有弱情绪影响，不能推导持续业绩。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只有出现明确运输、保险、旅游产品或商业合作数据时才提高产业权重。</w:t>
      </w:r>
    </w:p>
    <w:bookmarkEnd w:id="32"/>
    <w:bookmarkStart w:id="33" w:name="国际联播快讯美伊谈判与军事打击风险并存"/>
    <w:p>
      <w:pPr>
        <w:pStyle w:val="Heading3"/>
      </w:pPr>
      <w:r>
        <w:t xml:space="preserve">17.1 </w:t>
      </w:r>
      <w:r>
        <w:rPr>
          <w:rFonts w:hint="eastAsia"/>
        </w:rPr>
        <w:t xml:space="preserve">国际联播快讯：美伊谈判与军事打击风险并存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信号强度：★★★★☆｜方向：原油、油运、黄金和全球风险偏好双向波动｜时效：事件性至中期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美国总统特朗普称预计本周与伊朗进行更多谈判，同时表示一直考虑是否恢复军事打击；伊朗外长称已做好战事重开的准备，但未放弃外交接触。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谈判与军事威胁并存，意味着尾部风险没有解除。任何单边押注都可能因谈判进展或冲突升级迅速反转。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冲突升级可能抬升原油、油运、黄金和军工风险溢价并压制高风险资产；外交缓和则可能使地缘溢价回落。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跟踪正式会谈、制裁、军事行动、油价、运价、保险费率和霍尔木兹通航，不以政治表态代替实际进展。</w:t>
      </w:r>
    </w:p>
    <w:bookmarkEnd w:id="33"/>
    <w:bookmarkStart w:id="34" w:name="国际联播快讯黎真主党拒绝解除武装"/>
    <w:p>
      <w:pPr>
        <w:pStyle w:val="Heading3"/>
      </w:pPr>
      <w:r>
        <w:t xml:space="preserve">17.2 </w:t>
      </w:r>
      <w:r>
        <w:rPr>
          <w:rFonts w:hint="eastAsia"/>
        </w:rPr>
        <w:t xml:space="preserve">国际联播快讯：黎真主党拒绝解除武装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信号强度：★★★☆☆｜方向：中东地缘、航运与能源风险偏空｜时效：事件性至中期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黎巴嫩真主党纪念其前领导人纳斯鲁拉身亡两周年，现任领导人重申拒绝解除武装、坚持抵抗并呼吁国内团结。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强硬立场说明黎以相关安全风险仍有持续性，但原文没有报告新的军事行动、设施损失或航线中断。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能源、航运、黄金和军工可能获得风险溢价，航空旅游和风险偏好可能承压，影响取决于是否发生外溢。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跟踪实际冲突、边境局势、港口航线、油价和保险费率；若无升级，事件交易可能快速衰减。</w:t>
      </w:r>
    </w:p>
    <w:bookmarkEnd w:id="34"/>
    <w:bookmarkStart w:id="35" w:name="国际联播快讯英国疏散美军基地附近居民"/>
    <w:p>
      <w:pPr>
        <w:pStyle w:val="Heading3"/>
      </w:pPr>
      <w:r>
        <w:t xml:space="preserve">17.3 </w:t>
      </w:r>
      <w:r>
        <w:rPr>
          <w:rFonts w:hint="eastAsia"/>
        </w:rPr>
        <w:t xml:space="preserve">国际联播快讯：英国疏散美军基地附近居民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信号强度：★★☆☆☆｜方向：海外安防与反恐风险关注上升，A股直接影响有限｜时效：短期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英国警方疏散费尔福德空军基地附近数十户居民，以涉嫌爆炸物犯罪逮捕5名男子，未说明是否与基地有关；报道提及该基地此前被允许用于对伊朗打击。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事件存在调查不确定性，原文明示警方未确认与基地关联，不能扩写为针对军事基地的已证实袭击。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对安防、反恐和军工更多是情绪层面，对A股基本面传导很弱。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等待警方调查结论和是否出现设施、航班或军事部署变化。</w:t>
      </w:r>
    </w:p>
    <w:bookmarkEnd w:id="35"/>
    <w:bookmarkStart w:id="36" w:name="国际联播快讯美国东北部风暴造成断电"/>
    <w:p>
      <w:pPr>
        <w:pStyle w:val="Heading3"/>
      </w:pPr>
      <w:r>
        <w:t xml:space="preserve">17.4 </w:t>
      </w:r>
      <w:r>
        <w:rPr>
          <w:rFonts w:hint="eastAsia"/>
        </w:rPr>
        <w:t xml:space="preserve">国际联播快讯：美国东北部风暴造成断电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信号强度：★★★☆☆｜方向：海外电网韧性、应急电源与保险需求上升｜时效：短期至中期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风暴一度造成超过10万户家庭与商户断电；截至27日上午，纽约州仍超4万用户、康涅狄格州仍约3万用户断电。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这是极端天气对配电网韧性的现实冲击，但原文未给出损失金额、设备损毁范围或采购计划。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条件性A股推演：</w:t>
      </w:r>
      <w:r>
        <w:t xml:space="preserve"> </w:t>
      </w:r>
      <w:r>
        <w:rPr>
          <w:rFonts w:hint="eastAsia"/>
        </w:rPr>
        <w:t xml:space="preserve">电网加固、备用电源、储能和应急装备具有全球长期需求逻辑；对中国上市公司是否受益取决于海外客户、认证和订单。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验证与证伪：</w:t>
      </w:r>
      <w:r>
        <w:t xml:space="preserve"> </w:t>
      </w:r>
      <w:r>
        <w:rPr>
          <w:rFonts w:hint="eastAsia"/>
        </w:rPr>
        <w:t xml:space="preserve">跟踪复电时间、灾损、电网投资、设备采购与中国供应商订单，不能把海外停电直接映射为国内收入。</w:t>
      </w:r>
    </w:p>
    <w:bookmarkEnd w:id="36"/>
    <w:bookmarkEnd w:id="37"/>
    <w:bookmarkStart w:id="38" w:name="三核心政策与市场信号"/>
    <w:p>
      <w:pPr>
        <w:pStyle w:val="Heading2"/>
      </w:pPr>
      <w:r>
        <w:rPr>
          <w:rFonts w:hint="eastAsia"/>
        </w:rPr>
        <w:t xml:space="preserve">三、核心政策与市场信号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逆周期调节与有效投资明确加力。</w:t>
      </w:r>
      <w:r>
        <w:t xml:space="preserve"> </w:t>
      </w:r>
      <w:r>
        <w:rPr>
          <w:rFonts w:hint="eastAsia"/>
        </w:rPr>
        <w:t xml:space="preserve">债券使用、重大工程、老旧水库粮库改造、贴息、地方债结存限额、再贷款与内需储备共同形成政策组合，关键看正式细则和资金拨付。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国资央企进入“六张网＋战新扩能＋关键技术＋改革赋能”主线。</w:t>
      </w:r>
      <w:r>
        <w:t xml:space="preserve"> </w:t>
      </w:r>
      <w:r>
        <w:rPr>
          <w:rFonts w:hint="eastAsia"/>
        </w:rPr>
        <w:t xml:space="preserve">约2万亿元计划投资与连续五年研发超万亿元预期提供中长期产业线索，但需落实到项目和上市平台。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AI、电子、算力和光通信出现利润景气数据。</w:t>
      </w:r>
      <w:r>
        <w:t xml:space="preserve"> </w:t>
      </w:r>
      <w:r>
        <w:rPr>
          <w:rFonts w:hint="eastAsia"/>
        </w:rPr>
        <w:t xml:space="preserve">电子利润增1.1倍、光纤增5.3倍、光缆增1.0倍，需继续核对基数、价格、订单与现金流。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★★★★★ </w:t>
      </w:r>
      <w:r>
        <w:rPr>
          <w:rFonts w:hint="eastAsia"/>
          <w:b/>
          <w:bCs/>
        </w:rPr>
        <w:t xml:space="preserve">安全治理从社会治理延伸至高风险行业专项整治。</w:t>
      </w:r>
      <w:r>
        <w:t xml:space="preserve"> </w:t>
      </w:r>
      <w:r>
        <w:rPr>
          <w:rFonts w:hint="eastAsia"/>
        </w:rPr>
        <w:t xml:space="preserve">公共安全、矿山、危化、火灾、船舶、交通和防灾减灾形成需求与合规成本并存的主线。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高铁与深海装备展现重大工程和高端制造兑现。</w:t>
      </w:r>
      <w:r>
        <w:t xml:space="preserve"> </w:t>
      </w:r>
      <w:r>
        <w:rPr>
          <w:rFonts w:hint="eastAsia"/>
        </w:rPr>
        <w:t xml:space="preserve">1100多公里高铁开通与“梦想”号4929.17米纪录分别对应轨交运营和深海技术能力。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新污染物治理强调源头筛查与重点清单。</w:t>
      </w:r>
      <w:r>
        <w:t xml:space="preserve"> </w:t>
      </w:r>
      <w:r>
        <w:rPr>
          <w:rFonts w:hint="eastAsia"/>
        </w:rPr>
        <w:t xml:space="preserve">检测和治理有机会，重点行业也面临转型成本。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前海外贸数据强劲但需拆解结构。</w:t>
      </w:r>
      <w:r>
        <w:t xml:space="preserve"> </w:t>
      </w:r>
      <w:r>
        <w:rPr>
          <w:rFonts w:hint="eastAsia"/>
        </w:rPr>
        <w:t xml:space="preserve">7889亿元和62.9%增长提供区域景气线索，不能简单外推全国或单一企业。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★★★★☆ </w:t>
      </w:r>
      <w:r>
        <w:rPr>
          <w:rFonts w:hint="eastAsia"/>
          <w:b/>
          <w:bCs/>
        </w:rPr>
        <w:t xml:space="preserve">中东局势仍是外部主要风险。</w:t>
      </w:r>
      <w:r>
        <w:t xml:space="preserve"> </w:t>
      </w:r>
      <w:r>
        <w:rPr>
          <w:rFonts w:hint="eastAsia"/>
        </w:rPr>
        <w:t xml:space="preserve">美伊谈判和军事威胁并存，黎以风险延续，能源、航运、黄金与风险偏好可能双向波动。</w:t>
      </w:r>
    </w:p>
    <w:bookmarkEnd w:id="38"/>
    <w:bookmarkStart w:id="39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综合影响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驱动事实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关键验证指标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水利/粮库/重大基建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国常会要求项目尽早开工、改造老旧设施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债券资金、项目清单、招标、开工、回款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“六张网”/央企资本开支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央企年度计划相关投资约2万亿元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网络定义、资本开支、订单、交付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AI电子/算力/光通信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景气偏利好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行业利润1.1倍、5.3倍、1.0倍增长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收入、价格、订单、利润率、现金流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科技技改/设备更新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增加科技创新和技改再贷款额度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正式额度、利率、项目投放、设备订单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房地产链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预期改善但待细则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研究出台稳定房地产政策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政策文本、销售、库存、融资、开工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安全生产/工业检测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需求偏利好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多行业专项整治与隐患闭环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强制标准、检查、招标、整改资本开支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网络安全/社会治理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平安中国、科技赋能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预算、采购、续费、验收、回款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环保检测/新污染物治理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条件性偏利好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源头筛查、动态清单、转型支持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清单、标准、检测量、治理项目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轨交设备/铁路运维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四线开通、月均投资640亿元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新项目、设备订单、客座率、运维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深海装备/海工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“梦想”号试钻和纪录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航次、预算、采购、商业应用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五轴机床/无人机/职教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世技赛新赛项和数控铣升级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实训采购、机床订单、人才需求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前海外贸/跨境物流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区域景气偏利好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进出口7889亿元、增62.9%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数量价格、订单、汇率、物流费率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文旅/会展/文化展陈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事件性至长期结构机会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观潮、孔子文化节、沉船文物</w:t>
            </w:r>
          </w:p>
        </w:tc>
        <w:tc>
          <w:tcPr/>
          <w:p>
            <w:pPr>
              <w:pStyle w:val="Compact"/>
            </w:pPr>
            <w:r>
              <w:t xml:space="preserve">★★☆☆☆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客流、客单价、项目采购、毛利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原油/油运/黄金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双向波动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美伊谈判与军事风险、黎以紧张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会谈、军事行动、油价、运价、保险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海外电网/应急电源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长期条件性机会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美国风暴大范围断电</w:t>
            </w:r>
          </w:p>
        </w:tc>
        <w:tc>
          <w:tcPr/>
          <w:p>
            <w:pPr>
              <w:pStyle w:val="Compact"/>
            </w:pPr>
            <w:r>
              <w:t xml:space="preserve">★★★☆☆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灾损、电网投资、出口订单、认证</w:t>
            </w:r>
          </w:p>
        </w:tc>
      </w:tr>
    </w:tbl>
    <w:bookmarkEnd w:id="39"/>
    <w:bookmarkStart w:id="44" w:name="五明确操作建议"/>
    <w:p>
      <w:pPr>
        <w:pStyle w:val="Heading2"/>
      </w:pPr>
      <w:r>
        <w:rPr>
          <w:rFonts w:hint="eastAsia"/>
        </w:rPr>
        <w:t xml:space="preserve">五、明确操作建议</w:t>
      </w:r>
    </w:p>
    <w:bookmarkStart w:id="40" w:name="短线13个交易日"/>
    <w:p>
      <w:pPr>
        <w:pStyle w:val="Heading3"/>
      </w:pPr>
      <w:r>
        <w:t xml:space="preserve">1. </w:t>
      </w:r>
      <w:r>
        <w:rPr>
          <w:rFonts w:hint="eastAsia"/>
        </w:rPr>
        <w:t xml:space="preserve">短线（1—3个交易日）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第一观察线：稳增长与重大工程。</w:t>
      </w:r>
      <w:r>
        <w:t xml:space="preserve"> </w:t>
      </w:r>
      <w:r>
        <w:rPr>
          <w:rFonts w:hint="eastAsia"/>
        </w:rPr>
        <w:t xml:space="preserve">重点看债券、项目开工和贴息政策是否出现可执行细则；若只有会议表述而板块一致高开，不追涨。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第二观察线：AI算力与光通信。</w:t>
      </w:r>
      <w:r>
        <w:t xml:space="preserve"> </w:t>
      </w:r>
      <w:r>
        <w:rPr>
          <w:rFonts w:hint="eastAsia"/>
        </w:rPr>
        <w:t xml:space="preserve">利润数据强，但醒目增速容易触发注意力和FOMO；优先观察成交承接、产业订单、价格和现金流，不以行业同比增速代替个股业绩。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第三观察线：安全生产和环保检测。</w:t>
      </w:r>
      <w:r>
        <w:t xml:space="preserve"> </w:t>
      </w:r>
      <w:r>
        <w:rPr>
          <w:rFonts w:hint="eastAsia"/>
        </w:rPr>
        <w:t xml:space="preserve">关注强制标准、专项整治和采购落地，区分“设备服务受益”与“高风险企业成本上升”。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第四观察线：央企“六张网”。</w:t>
      </w:r>
      <w:r>
        <w:t xml:space="preserve"> </w:t>
      </w:r>
      <w:r>
        <w:rPr>
          <w:rFonts w:hint="eastAsia"/>
        </w:rPr>
        <w:t xml:space="preserve">先确认具体网络、项目和上市平台业务占比，避免对所有央企无差别扩散。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  <w:b/>
          <w:bCs/>
        </w:rPr>
        <w:t xml:space="preserve">风险线：中东地缘。</w:t>
      </w:r>
      <w:r>
        <w:t xml:space="preserve"> </w:t>
      </w:r>
      <w:r>
        <w:rPr>
          <w:rFonts w:hint="eastAsia"/>
        </w:rPr>
        <w:t xml:space="preserve">谈判与军事威胁并存，油价、黄金、油运和军工易出现高波动，禁止追逐未经证实的冲突消息。</w:t>
      </w:r>
    </w:p>
    <w:bookmarkEnd w:id="40"/>
    <w:bookmarkStart w:id="41" w:name="中线14周及更长"/>
    <w:p>
      <w:pPr>
        <w:pStyle w:val="Heading3"/>
      </w:pPr>
      <w:r>
        <w:t xml:space="preserve">2. </w:t>
      </w:r>
      <w:r>
        <w:rPr>
          <w:rFonts w:hint="eastAsia"/>
        </w:rPr>
        <w:t xml:space="preserve">中线（1—4周及更长）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第一梯队：有效投资与央企重大工程。</w:t>
      </w:r>
      <w:r>
        <w:t xml:space="preserve"> </w:t>
      </w:r>
      <w:r>
        <w:rPr>
          <w:rFonts w:hint="eastAsia"/>
        </w:rPr>
        <w:t xml:space="preserve">验证链为“政策文件—债券/预算—项目清单—招标—开工—交付—回款”。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第二梯队：AI电子、算力和光通信。</w:t>
      </w:r>
      <w:r>
        <w:t xml:space="preserve"> </w:t>
      </w:r>
      <w:r>
        <w:rPr>
          <w:rFonts w:hint="eastAsia"/>
        </w:rPr>
        <w:t xml:space="preserve">验证链为“需求—订单—价格—产能利用率—收入—利润率—现金流”。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第三梯队：科技技改与高端装备。</w:t>
      </w:r>
      <w:r>
        <w:t xml:space="preserve"> </w:t>
      </w:r>
      <w:r>
        <w:rPr>
          <w:rFonts w:hint="eastAsia"/>
        </w:rPr>
        <w:t xml:space="preserve">关注再贷款投放、设备更新、五轴机床、深海装备和国产化的真实采购。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第四梯队：安全与环保治理。</w:t>
      </w:r>
      <w:r>
        <w:t xml:space="preserve"> </w:t>
      </w:r>
      <w:r>
        <w:rPr>
          <w:rFonts w:hint="eastAsia"/>
        </w:rPr>
        <w:t xml:space="preserve">验证强制标准、检查范围、治理清单、预算和企业整改支出。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  <w:b/>
          <w:bCs/>
        </w:rPr>
        <w:t xml:space="preserve">长期观察：</w:t>
      </w:r>
      <w:r>
        <w:t xml:space="preserve"> </w:t>
      </w:r>
      <w:r>
        <w:rPr>
          <w:rFonts w:hint="eastAsia"/>
        </w:rPr>
        <w:t xml:space="preserve">高铁运营、民族地区特色发展、职业教育、文博展陈、乡村工匠和中美人文交流。这些方向社会价值明确，但短期业绩弹性较弱。</w:t>
      </w:r>
    </w:p>
    <w:bookmarkEnd w:id="41"/>
    <w:bookmarkStart w:id="42" w:name="仓位与行为纪律"/>
    <w:p>
      <w:pPr>
        <w:pStyle w:val="Heading3"/>
      </w:pPr>
      <w:r>
        <w:t xml:space="preserve">3. </w:t>
      </w:r>
      <w:r>
        <w:rPr>
          <w:rFonts w:hint="eastAsia"/>
        </w:rPr>
        <w:t xml:space="preserve">仓位与行为纪律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总体判断：</w:t>
      </w:r>
      <w:r>
        <w:t xml:space="preserve"> </w:t>
      </w:r>
      <w:r>
        <w:rPr>
          <w:rFonts w:hint="eastAsia"/>
        </w:rPr>
        <w:t xml:space="preserve">本稿没有使用指数、成交额、估值、资金流和个股公告，不能仅凭联播内容判断次日指数涨跌或决定满仓交易。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右侧条件：</w:t>
      </w:r>
      <w:r>
        <w:t xml:space="preserve"> </w:t>
      </w:r>
      <w:r>
        <w:rPr>
          <w:rFonts w:hint="eastAsia"/>
        </w:rPr>
        <w:t xml:space="preserve">只参与趋势已经形成、缩量回踩不破关键结构且再次放量确认的方向；保守者等待站稳前高，趋势破位或事实被证伪时止损。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仓位纪律：</w:t>
      </w:r>
      <w:r>
        <w:t xml:space="preserve"> </w:t>
      </w:r>
      <w:r>
        <w:rPr>
          <w:rFonts w:hint="eastAsia"/>
        </w:rPr>
        <w:t xml:space="preserve">观察仓约三成；政策细则、项目、订单、产能、业绩和量价共同确认后再提高到六至七成，保留三成机动资金；极高确定性才考虑更高仓位。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  <w:b/>
          <w:bCs/>
        </w:rPr>
        <w:t xml:space="preserve">行为风险：</w:t>
      </w:r>
      <w:r>
        <w:t xml:space="preserve"> </w:t>
      </w:r>
      <w:r>
        <w:rPr>
          <w:rFonts w:hint="eastAsia"/>
        </w:rPr>
        <w:t xml:space="preserve">警惕99.3万亿元、1万亿元、2万亿元、15.7%、1.1倍、5.3倍、1100多公里、4929.17米、62.9%等醒目数字造成锚定、注意力偏差、FOMO、确认偏误和羊群效应。它们分别属于资产、研发预期、计划投资、全国利润、行业利润、工程规模、技术纪录和区域贸易统计，不是个股利润保证。</w:t>
      </w:r>
    </w:p>
    <w:bookmarkEnd w:id="42"/>
    <w:bookmarkStart w:id="43" w:name="后续验证清单"/>
    <w:p>
      <w:pPr>
        <w:pStyle w:val="Heading3"/>
      </w:pPr>
      <w:r>
        <w:t xml:space="preserve">4. </w:t>
      </w:r>
      <w:r>
        <w:rPr>
          <w:rFonts w:hint="eastAsia"/>
        </w:rPr>
        <w:t xml:space="preserve">后续验证清单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增量宏观政策、地方债结存限额使用和货币政策工具调整的正式文件。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“十五五”规划与“六张网”项目清单、资金来源、开工和招标。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老旧水库、老旧粮库改造项目及扩投资、促消费贴息细则。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科技创新、技术改造、支农支小再贷款新增额度与投放结构。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稳定房地产、促进就业增收政策的正式文本与执行日期。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新污染物重点清单、检测标准、企业治理项目和财政支持。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安全生产专项整治、隐患判定标准、设备配置与企业停复产。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央企战新产业投资、重大科技任务、专业化整合和资产注入。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电子、光纤、光缆利润高增的收入、价格、基数和现金流质量。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高铁剩余项目、设备更新、客座率和运营效益。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“梦想”号后续航次、深海装备采购和成果转化。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前海外贸增长的数量、价格、贸易方式、主要市场和企业订单。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职业教育实训、五轴机床和无人机系统的真实采购。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文旅活动客流向客单价、毛利和现金流的转化。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美伊谈判、军事行动、油价、油运运价、黄金和保险费率。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美国风暴灾损、电网修复投资及中国供应链订单。</w:t>
      </w:r>
    </w:p>
    <w:bookmarkEnd w:id="43"/>
    <w:bookmarkEnd w:id="44"/>
    <w:bookmarkStart w:id="45" w:name="六事实核验与完整性结论"/>
    <w:p>
      <w:pPr>
        <w:pStyle w:val="Heading2"/>
      </w:pPr>
      <w:r>
        <w:rPr>
          <w:rFonts w:hint="eastAsia"/>
        </w:rPr>
        <w:t xml:space="preserve">六、事实核验与完整性结论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稿源核验：</w:t>
      </w:r>
      <w:r>
        <w:t xml:space="preserve"> </w:t>
      </w:r>
      <w:r>
        <w:rPr>
          <w:rFonts w:hint="eastAsia"/>
        </w:rPr>
        <w:t xml:space="preserve">只使用用户指定的2026年9月28日存档；文件标题日期为20260928，包含“新闻摘要”“详细新闻”、17条分项央视链接和央视日页来源。本报告没有使用外部新闻稿、行情、上市公司公告或第三方预测补充联播事实。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标题计数核验：</w:t>
      </w:r>
      <w:r>
        <w:t xml:space="preserve"> </w:t>
      </w:r>
      <w:r>
        <w:rPr>
          <w:rFonts w:hint="eastAsia"/>
        </w:rPr>
        <w:t xml:space="preserve">指定文件共有17个三级标题，其中“国内联播快讯”和“国际联播快讯”为2个合集标题，其余15个为独立标题。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事实单元计数核验：</w:t>
      </w:r>
      <w:r>
        <w:t xml:space="preserve"> </w:t>
      </w:r>
      <w:r>
        <w:rPr>
          <w:rFonts w:hint="eastAsia"/>
        </w:rPr>
        <w:t xml:space="preserve">国内联播快讯包含8个子项，国际联播快讯包含4个子项，拆分后总事实单元为</w:t>
      </w:r>
      <w:r>
        <w:rPr>
          <w:rStyle w:val="VerbatimChar"/>
          <w:rFonts w:hint="eastAsia"/>
        </w:rPr>
        <w:t xml:space="preserve">15＋8＋4＝27</w:t>
      </w:r>
      <w:r>
        <w:rPr>
          <w:rFonts w:hint="eastAsia"/>
        </w:rPr>
        <w:t xml:space="preserve">个。本文按源文件顺序覆盖全部17个标题、27个事实单元。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国内快讯核验：</w:t>
      </w:r>
      <w:r>
        <w:t xml:space="preserve"> </w:t>
      </w:r>
      <w:r>
        <w:rPr>
          <w:rFonts w:hint="eastAsia"/>
        </w:rPr>
        <w:t xml:space="preserve">渔业生态公报、黄河排沙、乡村工匠、前海外贸、主题读书、孔子文化节、圣杯屿文物移交、电视剧播出8项均已独立分析。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国际快讯核验：</w:t>
      </w:r>
      <w:r>
        <w:t xml:space="preserve"> </w:t>
      </w:r>
      <w:r>
        <w:rPr>
          <w:rFonts w:hint="eastAsia"/>
        </w:rPr>
        <w:t xml:space="preserve">美伊谈判与军事风险、黎真主党立场、英国基地附近疏散与逮捕、美国东北部风暴断电4项均已独立分析。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关键数字核验：</w:t>
      </w:r>
      <w:r>
        <w:t xml:space="preserve"> </w:t>
      </w:r>
      <w:r>
        <w:rPr>
          <w:rFonts w:hint="eastAsia"/>
        </w:rPr>
        <w:t xml:space="preserve">示范市60个、示范县160个；央企资产99.3万亿元、增长4.2%、研发增长2.7%及全年超1万亿元预期、相关投资约2万亿元；工业利润52719.8亿元及15.7%，电子1.1倍、光纤5.3倍、光缆1.0倍；高铁1100多公里、月均投资640亿元、建成率86%；“梦想”号11000米能力、30天航次、4929.17米纪录；世技赛1385人、71人、64项、41金11银4铜、300多人、7项新增赛项6金、累计134金；标枪70米46；观潮12.2万人；排沙1.11亿吨；乡村工匠超13万人、覆盖14类、帮助500多万人；前海7889亿元及62.9%；读书活动超5000万人次；文物17223件；美国断电超10万户、纽约超4万、康州约3万，均与原文逐项对照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事实边界核验：</w:t>
      </w:r>
      <w:r>
        <w:t xml:space="preserve"> </w:t>
      </w:r>
      <w:r>
        <w:rPr>
          <w:rFonts w:hint="eastAsia"/>
        </w:rPr>
        <w:t xml:space="preserve">“研究出台”未写成政策生效；计划投资未写成已完成订单；行业利润未写成所有企业同步增长；科研试钻未写成资源发现；赛事成绩未写成商品销售；区域贸易额未写成个股收入；国际事件未扩写原文未确认的袭击、损失或行动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产业映射核验：</w:t>
      </w:r>
      <w:r>
        <w:t xml:space="preserve"> </w:t>
      </w:r>
      <w:r>
        <w:rPr>
          <w:rFonts w:hint="eastAsia"/>
        </w:rPr>
        <w:t xml:space="preserve">所有板块方向均作为条件性推演，并配套政策文本、预算、项目、客户、合同、产能、交付、价格、利润率、应收、现金流或实际运行等验证指标；没有列出具体股票或给出收益承诺。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内容隔离核验：</w:t>
      </w:r>
      <w:r>
        <w:t xml:space="preserve"> </w:t>
      </w:r>
      <w:r>
        <w:rPr>
          <w:rFonts w:hint="eastAsia"/>
        </w:rPr>
        <w:t xml:space="preserve">正文仅保留完整分析，不嵌入投递用短文本、内部摘要标记或发送提示；独立短文本由指定的summary.txt承载。</w:t>
      </w:r>
    </w:p>
    <w:bookmarkEnd w:id="45"/>
    <w:bookmarkStart w:id="46" w:name="七结论"/>
    <w:p>
      <w:pPr>
        <w:pStyle w:val="Heading2"/>
      </w:pPr>
      <w:r>
        <w:rPr>
          <w:rFonts w:hint="eastAsia"/>
        </w:rPr>
        <w:t xml:space="preserve">七、结论</w:t>
      </w:r>
    </w:p>
    <w:p>
      <w:pPr>
        <w:pStyle w:val="FirstParagraph"/>
      </w:pPr>
      <w:r>
        <w:rPr>
          <w:rFonts w:hint="eastAsia"/>
        </w:rPr>
        <w:t xml:space="preserve">2026年9月28日联播对A股最强的信号是宏观逆周期调节和有效投资加力。国常会将债券使用、重大工程、老旧水库粮库改造、扩投资促消费贴息、科技和技改再贷款、稳楼市与促就业增收纳入同一政策框架；国资央企报道进一步给出“六张网”约2万亿元计划投资、战新产业扩能和重大科技任务；工业利润数据则为AI电子、算力基础设施和光通信提供景气证据。与此同时，平安中国和安全生产会议把公共安全、矿山、危化、船舶、交通和防灾减灾置于高优先级，新污染物治理形成环保检测与企业转型并行的方向。执行上应把会议表述逐级还原为正式文件、资金、项目、订单、利润和现金流，以右侧趋势和量价承接决定仓位，并对中东地缘风险保持防守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本报告仅依据指定的2026年9月28日《新闻联播》存档原文进行事实整理和条件性A股推演，不构成投资建议。</w:t>
      </w:r>
    </w:p>
    <w:p>
      <w:pPr>
        <w:pStyle w:val="BodyText"/>
      </w:pPr>
      <w:r>
        <w:rPr>
          <w:rFonts w:hint="eastAsia"/>
        </w:rPr>
        <w:t xml:space="preserve">分析和写稿模型：GPT-5.6</w:t>
      </w:r>
      <w:r>
        <w:t xml:space="preserve"> Sol (openai-codex)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2026-09-28T12:23:23Z</dcterms:created>
  <dcterms:modified xsi:type="dcterms:W3CDTF">2026-09-28T12:23:23Z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