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6e7f86ea0640a48d1ebe25b136214c9edd21542"/>
    <w:p>
      <w:pPr>
        <w:pStyle w:val="Heading1"/>
      </w:pPr>
      <w:r>
        <w:rPr>
          <w:rFonts w:hint="eastAsia"/>
        </w:rPr>
        <w:t xml:space="preserve">2026年9月23日《新闻联播》A股深度解读</w:t>
      </w:r>
    </w:p>
    <w:p>
      <w:pPr>
        <w:pStyle w:val="BlockText"/>
      </w:pPr>
      <w:r>
        <w:rPr>
          <w:rFonts w:hint="eastAsia"/>
        </w:rPr>
        <w:t xml:space="preserve">唯一联播原文：</w:t>
      </w:r>
      <w:r>
        <w:rPr>
          <w:rStyle w:val="VerbatimChar"/>
        </w:rPr>
        <w:t xml:space="preserve">/Users/qiji/.hermes/skills/finance/qiji-morning-know/memory/xinwenlianbo/2026-09-23.md</w:t>
      </w:r>
      <w:r>
        <w:br/>
      </w:r>
      <w:r>
        <w:rPr>
          <w:rFonts w:hint="eastAsia"/>
        </w:rPr>
        <w:t xml:space="preserve">分析边界：下文“原文事实”只整理指定文件明确记载的信息；“条件性A股推演”依据政策层级、产业链传导、需求、成本和风险偏好作情景分析，不代表政策目标已经转化为上市公司订单、收入、利润或股价表现。本稿未引入其他新闻稿、行情数据、上市公司公告或第三方预测，不推荐具体个股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整体基调：国内产业与民生政策偏积极，外部关系改善预期和地缘风险并存。</w:t>
      </w:r>
      <w:r>
        <w:t xml:space="preserve"> </w:t>
      </w:r>
      <w:r>
        <w:rPr>
          <w:rFonts w:hint="eastAsia"/>
        </w:rPr>
        <w:t xml:space="preserve">节目头部由国家主席访美、世界技能大赛和粮食安全构成；国内可映射主线集中在高技能人才、职业教育、先进制造用工基础、高标准农田、农业科技与粮食烘干、养老服务、教育提质扩容、集成电路、智能车载设备、能源安全与绿色转型、数字贸易、铁路出行和乡村文旅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政策信号强度：高。</w:t>
      </w:r>
      <w:r>
        <w:t xml:space="preserve"> </w:t>
      </w:r>
      <w:r>
        <w:rPr>
          <w:rFonts w:hint="eastAsia"/>
        </w:rPr>
        <w:t xml:space="preserve">最高层级事件是习近平对美国进行国事访问；产业政策中，世界技能大赛与世界技能大会连续占据前段，职业技能和产教融合得到高规格强化；“十五五”教育、养老和民政安排提供五年期政策框架；工业发票数据则给出新质生产力的明确增长线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对A股总体影响：结构性偏利好，但不能据此判断指数单边方向。</w:t>
      </w:r>
      <w:r>
        <w:t xml:space="preserve"> </w:t>
      </w:r>
      <w:r>
        <w:rPr>
          <w:rFonts w:hint="eastAsia"/>
        </w:rPr>
        <w:t xml:space="preserve">中美关系稳定预期有利于风险偏好和外向型产业链，职业教育、实训设备、工业技能培训、农业基础设施、养老服务、高技术制造与数字贸易具有条件性受益逻辑；霍尔木兹海峡能否重开仍附带高门槛条件，能源、航运、化工和航空成本的不确定性未消失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最强国内产业线：</w:t>
      </w:r>
      <w:r>
        <w:t xml:space="preserve"> </w:t>
      </w:r>
      <w:r>
        <w:rPr>
          <w:rFonts w:hint="eastAsia"/>
        </w:rPr>
        <w:t xml:space="preserve">技能人才与现代职业教育、高技术产业中的集成电路和智能车载设备、粮食安全与农业装备、养老服务网络。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最需要防止的误读：</w:t>
      </w:r>
      <w:r>
        <w:t xml:space="preserve"> </w:t>
      </w:r>
      <w:r>
        <w:rPr>
          <w:rFonts w:hint="eastAsia"/>
        </w:rPr>
        <w:t xml:space="preserve">贺信、开幕式、外交期待、规划目标、展会参展规模和增长数据都不等于上市公司新增订单；高技术产业销售高增也不能自动推导所有概念公司同步受益。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当日优先级为“中美关系事件窗口＞技能人才与职业教育＞集成电路/智能车载设备＞粮食安全与农业装备＞养老服务与教育扩容”，执行上只做政策、业绩与右侧趋势共同确认的方向，地缘事件和展会题材不追涨。</w:t>
      </w:r>
    </w:p>
    <w:bookmarkEnd w:id="9"/>
    <w:bookmarkStart w:id="36" w:name="二全部26个事实单元逐条a股影响分析"/>
    <w:p>
      <w:pPr>
        <w:pStyle w:val="Heading2"/>
      </w:pPr>
      <w:r>
        <w:rPr>
          <w:rFonts w:hint="eastAsia"/>
        </w:rPr>
        <w:t xml:space="preserve">二、全部26个事实单元逐条A股影响分析</w:t>
      </w:r>
    </w:p>
    <w:bookmarkStart w:id="10" w:name="X9aa30e975a851d287bd0b37e2a03be224c6d366"/>
    <w:p>
      <w:pPr>
        <w:pStyle w:val="Heading3"/>
      </w:pPr>
      <w:r>
        <w:t xml:space="preserve">1. </w:t>
      </w:r>
      <w:r>
        <w:rPr>
          <w:rFonts w:hint="eastAsia"/>
        </w:rPr>
        <w:t xml:space="preserve">习近平离京对美国进行国事访问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信号强度：★★★★★｜方向：中美关系改善预期偏利好风险偏好与外向型产业链｜时效：访问期间及后续成果窗口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9月23日下午，习近平应美国总统特朗普邀请，对美国进行国事访问；原文同时列出陪同人员。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元首国事访问属于最高层级外交活动，被置于头条本身即表明其重要性。当前可确认的是访问已经启程，原文没有披露会谈议题、协议、关税、科技限制或经贸成果。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若访问形成经贸、科技、农业、能源或人文交流的明确成果，出口链、跨境物流、航空出行和整体风险偏好可能改善；若成果低于市场预期，访问前交易的预期溢价可能回吐。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只跟踪正式会谈、联合成果和后续政策变化；不得把“应邀访问”改写成双方已解决分歧。</w:t>
      </w:r>
    </w:p>
    <w:bookmarkEnd w:id="10"/>
    <w:bookmarkStart w:id="11" w:name="Xf3b3b21202e57dba3222de243048249b25ff87e"/>
    <w:p>
      <w:pPr>
        <w:pStyle w:val="Heading3"/>
      </w:pPr>
      <w:r>
        <w:t xml:space="preserve">2. </w:t>
      </w:r>
      <w:r>
        <w:rPr>
          <w:rFonts w:hint="eastAsia"/>
        </w:rPr>
        <w:t xml:space="preserve">习近平向第48届世界技能大赛致贺信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信号强度：★★★★☆｜方向：职业教育、技能培训、实训设备和产教融合中长期偏利好｜时效：中长期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习近平指出科技革命和产业变革加速突破，世界技能大赛对接产业需求；强调鼓励引导更多劳动者特别是青年人走技能成才之路，并愿加强国际交流合作。大赛在上海开幕，期间举办世界技能大会和世界技能博览会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贺信是高层关注和方向性支持，重点不是一次赛事，而是技能人才供给要跟上产业升级，并提高青年选择技能成长路径的社会认可度。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职业院校实训、工业仿真、教学设备、技能评价、企业培训和产教融合服务可能获得长期需求；贺信本身没有给出新增预算和采购规模。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跟踪职业教育配套政策、院校扩容、实训基地招标、校企合作合同、学员就业质量及企业付费；缺少持续预算和订单时，赛事热度不构成业绩。</w:t>
      </w:r>
    </w:p>
    <w:bookmarkEnd w:id="11"/>
    <w:bookmarkStart w:id="12" w:name="X4925f740ad8881143367c51318888512d5f74bc"/>
    <w:p>
      <w:pPr>
        <w:pStyle w:val="Heading3"/>
      </w:pPr>
      <w:r>
        <w:t xml:space="preserve">3. </w:t>
      </w:r>
      <w:r>
        <w:rPr>
          <w:rFonts w:hint="eastAsia"/>
        </w:rPr>
        <w:t xml:space="preserve">央视快评：鼓励引导更多劳动者特别是青年人走技能成才之路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信号强度：★★★☆☆｜方向：强化技能成才主题，新增产业信息有限｜时效：中长期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指定原文仅说明本台9月23日播发同名央视快评，没有提供快评全文。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该条对技能人才主题再次加权，但在缺少正文的情况下不能扩展出补贴、招生、证书改革或采购安排。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可与贺信和世界技能大会合并理解为职业技能议题升温，但不构成独立业绩催化。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以后续正式政策、预算和项目为准；本条保持克制，不从标题推演细则。</w:t>
      </w:r>
    </w:p>
    <w:bookmarkEnd w:id="12"/>
    <w:bookmarkStart w:id="13" w:name="Xf2c4c8054593af2383d9434de440d2c5ce0bb42"/>
    <w:p>
      <w:pPr>
        <w:pStyle w:val="Heading3"/>
      </w:pPr>
      <w:r>
        <w:t xml:space="preserve">4. </w:t>
      </w:r>
      <w:r>
        <w:rPr>
          <w:rFonts w:hint="eastAsia"/>
        </w:rPr>
        <w:t xml:space="preserve">【新思想引领新征程】丰收的底气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信号强度：★★★★★｜方向：高标准农田、种业、农机、烘干设备、农田水利与农业科技核心偏利好｜时效：秋收季及中长期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强调乡村全面振兴和粮食安全。秋粮占全年粮食播种面积四分之三；国家粮食安全战略包括“以我为主、立足国内、确保产能、适度进口、科技支撑”。全国高标准农田已覆盖一半多耕地，年均农作物受灾面积占播种面积比例由十多年前的16.6%降至约7%；新疆伊犁河谷百万亩玉米测产；粮食烘干能力由2021年的34.7%提升至68.1%；粮食产量连续两年稳定在1.4万亿斤以上，夏粮首次突破3000亿斤，早稻连续6年稳定在560亿斤以上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粮食安全的抓手已从单纯扩大播种转向“农田基础设施＋良种技术装备＋防灾减灾＋烘干储备＋单产提升”。“藏粮于地、藏粮于技”意味着农业资本开支和科技投入具有长期政策属性。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高标准农田、灌排系统、节水、种业、农机、移动烘干机、农业数字化、仓储和植保服务可能受益。报道中的覆盖率、受灾率和产量是全国层面结果，不能直接折算为企业收入。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跟踪农田项目投资与招标、农机补贴、烘干设备销量、良种推广、单产提升、粮价、订单和回款；若地方项目资金或补贴兑现慢，产业链收入节奏会弱于政策叙事。</w:t>
      </w:r>
    </w:p>
    <w:bookmarkEnd w:id="13"/>
    <w:bookmarkStart w:id="14" w:name="X964a3501b16a156f0cf3eac665ad5135213b22c"/>
    <w:p>
      <w:pPr>
        <w:pStyle w:val="Heading3"/>
      </w:pPr>
      <w:r>
        <w:t xml:space="preserve">5. </w:t>
      </w:r>
      <w:r>
        <w:rPr>
          <w:rFonts w:hint="eastAsia"/>
        </w:rPr>
        <w:t xml:space="preserve">第48届世界技能大赛在上海开幕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信号强度：★★★☆☆｜方向：技能培训、会展服务与职业教育关注度提升｜时效：赛事期及中长期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大赛在上海开幕，李强出席并宣布开幕；68个国家和地区代表团参加，世界技能组织及多个国家和地区有关负责人出席。大赛每两年一届，主题为“技能改变世界</w:t>
      </w:r>
      <w:r>
        <w:t xml:space="preserve"> </w:t>
      </w:r>
      <w:r>
        <w:rPr>
          <w:rFonts w:hint="eastAsia"/>
        </w:rPr>
        <w:t xml:space="preserve">技能照亮前程”。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开幕式规格和国际参与度提升了技能人才议题的社会关注，但本条核心是赛事活动，没有披露教育采购、商业赞助或上市公司订单。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会展、城市服务、职业教育和实训展示可能获得事件性关注；持续影响仍取决于大赛成果能否转化为课程、基地和企业培训项目。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跟踪赛后政策、赛事成果转化、实训项目和校企合同；赛事结束后若无新增安排，短期热度应降级。</w:t>
      </w:r>
    </w:p>
    <w:bookmarkEnd w:id="14"/>
    <w:bookmarkStart w:id="15" w:name="Xdf4a179df71ca733d7b198632c32c9951892f2e"/>
    <w:p>
      <w:pPr>
        <w:pStyle w:val="Heading3"/>
      </w:pPr>
      <w:r>
        <w:t xml:space="preserve">6. </w:t>
      </w:r>
      <w:r>
        <w:rPr>
          <w:rFonts w:hint="eastAsia"/>
        </w:rPr>
        <w:t xml:space="preserve">李强出席2026年世界技能大会开幕式并致辞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信号强度：★★★★★｜方向：现代职业教育、终身培训、产教融合及技能服务核心偏利好｜时效：中长期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提出中国注重产业和技能深度融合，未来将提升技能人才培养的针对性实效性；强化终身职业教育培训，支持劳动者持续“充电”；营造崇尚技能的社会风尚。面对科技革命和产业变革，将推动建设世界技能创新中心，拓展“一带一路”南南合作技能开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相比单纯鼓励技能成才，本条给出更完整的执行方向：培养内容对接产业、培训覆盖整个职业生涯、建设国际技能平台并输出技能合作。其核心是解决产业升级中的高技能人才缺口。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职教课程、工业实训设备、仿真软件、在线培训、企业人才服务、技能评价和产教融合平台具备长期需求；国际技能合作可能带来培训与设备输出，但原文未给出项目金额。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跟踪世界技能创新中心建设方案、职业教育财政投入、企业培训预算、实训设备采购、“一带一路”技能项目及就业转化；只有参赛展示而无持续付费时，业绩映射有限。</w:t>
      </w:r>
    </w:p>
    <w:bookmarkEnd w:id="15"/>
    <w:bookmarkStart w:id="16" w:name="Xac42c6b886c0a872f98062f9825ba325788f6ad"/>
    <w:p>
      <w:pPr>
        <w:pStyle w:val="Heading3"/>
      </w:pPr>
      <w:r>
        <w:t xml:space="preserve">7. </w:t>
      </w:r>
      <w:r>
        <w:rPr>
          <w:rFonts w:hint="eastAsia"/>
        </w:rPr>
        <w:t xml:space="preserve">【“十五五”开好局起好步】锚定蓝图，加快建设教育强国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信号强度：★★★★★｜方向：基础教育提质、高教扩容、职业教育、教师培训和教育信息化中长期偏利好｜时效：“十五五”期间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我国接受过高等教育的人口达2.7亿。《教育发展“十五五”规划》部署未来五年工作，涵盖立德树人、基础教育办强办优、高等教育提质扩容、教育科技人才一体推进、现代职业教育、高水平教师队伍和教育改革开放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教育政策同时强调公平、质量、规模和产业人才供给。高教“提质扩容”与现代职教建设可能形成设施、课程、师资和数字化服务需求，但属于五年期系统工程。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教育数字化、智慧校园、实验实训设备、教师培训、职业教育服务和高校科研条件建设可能受益；义务教育和高教领域的公益属性、价格监管及财政约束会影响商业回报。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跟踪规划全文、专项资金、学位扩容、设备采购、信息化招标、职业院校建设及回款；若扩容主要由公共资源内部消化，上市公司收益弹性可能有限。</w:t>
      </w:r>
    </w:p>
    <w:bookmarkEnd w:id="16"/>
    <w:bookmarkStart w:id="17" w:name="Xac2c6fdea45e69c53b77b96858f24113cd1d455"/>
    <w:p>
      <w:pPr>
        <w:pStyle w:val="Heading3"/>
      </w:pPr>
      <w:r>
        <w:t xml:space="preserve">8. </w:t>
      </w:r>
      <w:r>
        <w:rPr>
          <w:rFonts w:hint="eastAsia"/>
        </w:rPr>
        <w:t xml:space="preserve">【“十五五”开好局起好步】强化普惠性基础性兜底性民生建设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信号强度：★★★★★｜方向：养老服务、护理床位、适老化改造和民政信息化中长期偏利好｜时效：“十五五”期间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将深入实施积极应对人口老龄化国家战略，推动全体老年人享有基本养老服务，健全城乡三级养老服务网络，加大养老机构护理型床位建设，发展农村养老服务；同时涉及婚姻家庭辅导、基本殡葬服务、地名管理、社会组织和慈善事业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养老政策重点是“基本服务可及＋城乡网络下沉＋护理能力增加”，意味着增量不只在高端养老地产，更在普惠服务、护理床位和农村覆盖。其他民政服务则强调公益和治理属性。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养老机构运营、护理设备、康复辅具、适老化改造、民政信息化与社区服务可能受益；普惠和公益属性可能限制价格与利润率，不能只看需求规模忽略支付能力。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跟踪床位建设目标、政府购买服务、长期护理支付、适老化补贴、项目运营率和现金流；若补贴不足、入住率低或人工成本上升，收入增长未必带来利润改善。</w:t>
      </w:r>
    </w:p>
    <w:bookmarkEnd w:id="17"/>
    <w:bookmarkStart w:id="18" w:name="Xa9789251da85a054a885462ad2ea9dd148983f1"/>
    <w:p>
      <w:pPr>
        <w:pStyle w:val="Heading3"/>
      </w:pPr>
      <w:r>
        <w:t xml:space="preserve">9. </w:t>
      </w:r>
      <w:r>
        <w:rPr>
          <w:rFonts w:hint="eastAsia"/>
        </w:rPr>
        <w:t xml:space="preserve">前8个月工业经济稳步增长，新质生产力加快培育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信号强度：★★★★★｜方向：装备制造、集成电路、智能车载设备核心偏利好｜时效：短期数据催化、中期业绩验证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发票数据显示，前8个月全国工业销售收入同比增长7.3%，装备制造业增长10.1%，高技术产业增长15.7%；与人工智能相关的集成电路、智能车载设备销售收入分别增长67.7%和38.8%。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“稳中有进”对应工业销售保持增长，高技术产业明显快于工业整体；联播特别点名集成电路和智能车载设备，显示新质生产力叙事已有销售数据支撑，而不仅是远期规划。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半导体设计制造封测、设备材料、车载计算与感知、智能座舱和汽车电子可能获得关注。发票销售收入是行业口径，不代表利润、现金流或每家上市公司都同比高增，也不能把“与人工智能相关”扩大到所有AI概念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跟踪上市公司收入、毛利、库存、应收、资本开支、订单和现金流，并区分低基数、价格变化和真实销量；若收入高增但库存与应收更快增长，景气质量需下调。</w:t>
      </w:r>
    </w:p>
    <w:bookmarkEnd w:id="18"/>
    <w:bookmarkStart w:id="19" w:name="X8b8ac7fadd5623c172b2376baa50004c8e3ba07"/>
    <w:p>
      <w:pPr>
        <w:pStyle w:val="Heading3"/>
      </w:pPr>
      <w:r>
        <w:t xml:space="preserve">10. </w:t>
      </w:r>
      <w:r>
        <w:rPr>
          <w:rFonts w:hint="eastAsia"/>
        </w:rPr>
        <w:t xml:space="preserve">国新办举行能源领域“新征程上的奋斗者”记者见面会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信号强度：★★★☆☆｜方向：能源保供、绿色低碳转型与自主创新长期偏利好｜时效：中长期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5位能源领域基层代表围绕能源供应保障与绿色转型，分享攻坚克难和自主创新经历，体现保障能源安全、推进绿色低碳转型、建设能源强国。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本条传递“安全保供与绿色转型并重”的长期方向，但属于人物与行业主题报道，没有公布新增政策、项目或投资规模。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电力设备、能源数字化、清洁能源、传统能源安全改造可能长期受益；由于缺少增量措施，短期交易权重低于工业数据和“十五五”规划。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等待正式能源规划、投资计划、设备招标、装机与利用小时、成本和回款；人物报道不能替代订单证据。</w:t>
      </w:r>
    </w:p>
    <w:bookmarkEnd w:id="19"/>
    <w:bookmarkStart w:id="20" w:name="X9602ed10a9dd0f02aff1580d02c32611860215d"/>
    <w:p>
      <w:pPr>
        <w:pStyle w:val="Heading3"/>
      </w:pPr>
      <w:r>
        <w:t xml:space="preserve">11. </w:t>
      </w:r>
      <w:r>
        <w:rPr>
          <w:rFonts w:hint="eastAsia"/>
        </w:rPr>
        <w:t xml:space="preserve">中央纪委国家监委通报六起违反中央八项规定精神典型问题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信号强度：★★★☆☆｜方向：政务合规与内部控制要求趋严，A股总体中性｜时效：节前及长期制度约束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通报6起涉及违规吃喝、收受礼品礼金、接受旅游娱乐安排、政绩观偏差和履职不力等问题；强调作风建设长期推进，强化对领导干部和关键岗位监督，防范纠治政绩观偏差，中秋国庆前加强监督检查。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节前再次强调纪律和合规，要求公共部门及国企减少不合规支出、加强关键岗位监督，并避免脱离实际的“政绩工程”。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对依赖不透明政商支出、礼品宴请或缺乏真实需求的项目形成约束；合规审计、内控和廉洁管理需求可能增加，但原文未涉及具体采购。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跟踪国企费用、项目审批、审计整改和应收回款；不把反腐通报机械映射为单一消费板块全面利空。</w:t>
      </w:r>
    </w:p>
    <w:bookmarkEnd w:id="20"/>
    <w:bookmarkStart w:id="21" w:name="X36922648f0afa55fc24da6d8d7f73d42a60c55e"/>
    <w:p>
      <w:pPr>
        <w:pStyle w:val="Heading3"/>
      </w:pPr>
      <w:r>
        <w:t xml:space="preserve">12. </w:t>
      </w:r>
      <w:r>
        <w:rPr>
          <w:rFonts w:hint="eastAsia"/>
        </w:rPr>
        <w:t xml:space="preserve">第二十届亚运会：中国体育代表团斩获多项团体金牌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信号强度：★★☆☆☆｜方向：体育用品、赛事内容和品牌营销事件性偏利好｜时效：赛事期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中国队在竞走、射击、武术、体操、马术、游泳和女排等项目获得多枚金牌，其中中国女排3比0战胜日本女排，第十次夺得亚运会女排冠军。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赛事成绩提升体育关注度和情绪，但报道没有提供赞助、版权、门票、商品销售或旅游收入。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体育用品、内容传播、赛事营销可能获得短期关注；持续性取决于销量、流量和商业权益收入。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跟踪品牌销售、平台流量、广告赞助与版权收入；没有消费转化时不追逐赛事热度。</w:t>
      </w:r>
    </w:p>
    <w:bookmarkEnd w:id="21"/>
    <w:bookmarkStart w:id="22" w:name="Xc7b2842d22d7ac0d1fd4cb242cf0cc2a6415cb7"/>
    <w:p>
      <w:pPr>
        <w:pStyle w:val="Heading3"/>
      </w:pPr>
      <w:r>
        <w:t xml:space="preserve">13. </w:t>
      </w:r>
      <w:r>
        <w:rPr>
          <w:rFonts w:hint="eastAsia"/>
        </w:rPr>
        <w:t xml:space="preserve">安徽、河南、福建省委主要负责同志职务调整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信号强度：★☆☆☆☆｜方向：组织人事事项，A股直接影响中性｜时效：事件性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原文公布安徽、河南、福建省委主要负责同志职务调整。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本条是组织人事安排，没有同步发布地区经济、产业、财政或项目政策。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不应把人事调整直接解释为某地区板块利好或利空；只有后续独立发布的正式政策才另行评估。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维持中性，不用市场传闻替代正式文件。</w:t>
      </w:r>
    </w:p>
    <w:bookmarkEnd w:id="22"/>
    <w:bookmarkStart w:id="23" w:name="Xf18bd6af55302e71c7f589e75bec30efc1be056"/>
    <w:p>
      <w:pPr>
        <w:pStyle w:val="Heading3"/>
      </w:pPr>
      <w:r>
        <w:t xml:space="preserve">14.1 </w:t>
      </w:r>
      <w:r>
        <w:rPr>
          <w:rFonts w:hint="eastAsia"/>
        </w:rPr>
        <w:t xml:space="preserve">国内联播快讯：前8个月熊猫债券累计发行超2000亿元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信号强度：★★★★☆｜方向：人民币债券国际化、债券承销和金融基础设施偏利好｜时效：中长期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前8个月熊猫债券累计发行2139.8亿元，原文解释为境外主体对人民币融资需求增强。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境外发行人在境内人民币债券市场融资增加，有助于扩展人民币资产和债券市场服务需求，但发行额不是券商利润。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债券承销、托管结算、评级和跨境金融服务可能受益；收益取决于费率、市场份额和风险管理。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跟踪发行主体、期限、利率、承销份额、存量和违约风险；若发行增长主要集中于低费率业务，利润弹性有限。</w:t>
      </w:r>
    </w:p>
    <w:bookmarkEnd w:id="23"/>
    <w:bookmarkStart w:id="24" w:name="X56e0111c8825742f955d2a85bedecf869c5c03a"/>
    <w:p>
      <w:pPr>
        <w:pStyle w:val="Heading3"/>
      </w:pPr>
      <w:r>
        <w:t xml:space="preserve">14.2 </w:t>
      </w:r>
      <w:r>
        <w:rPr>
          <w:rFonts w:hint="eastAsia"/>
        </w:rPr>
        <w:t xml:space="preserve">国内联播快讯：我国农产品出口连续5年保持增长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信号强度：★★★★☆｜方向：优势农产品、冷链物流和农产品加工偏利好｜时效：中期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截至2025年我国农产品出口连续5年增长；今年前8个月出口4920.3亿元，同比增长4.2%，主要品类为蔬菜及食用菌、水产品、干鲜瓜果及坚果。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农产品出口保持增长，明确受益品类集中在原文列出的几类产品，但行业总额不等于企业盈利，汇率、运费和检疫标准仍会影响收益。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水产、果蔬、食用菌、坚果加工、冷链和港口服务可能受益；需区分出口量、价格和产品结构。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跟踪分品类出口量价、订单、汇率、运费、食品安全与贸易壁垒、企业毛利和回款。</w:t>
      </w:r>
    </w:p>
    <w:bookmarkEnd w:id="24"/>
    <w:bookmarkStart w:id="25" w:name="Xeb6c1deaf0e761575786a3e1dda8d40ac542208"/>
    <w:p>
      <w:pPr>
        <w:pStyle w:val="Heading3"/>
      </w:pPr>
      <w:r>
        <w:t xml:space="preserve">14.3 </w:t>
      </w:r>
      <w:r>
        <w:rPr>
          <w:rFonts w:hint="eastAsia"/>
        </w:rPr>
        <w:t xml:space="preserve">国内联播快讯：2025年民营企业500强营收同比增长4.35%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信号强度：★★★☆☆｜方向：民营经济信心边际正面，行业映射分化｜时效：中期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2025年民营企业500强营收总额44.93万亿元，同比增长4.35%。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头部民企整体规模保持增长，但这是500强总量数据，没有给出利润、资产负债率、现金流和行业分布。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有助于稳定民营经济预期，但不能作为所有民营上市公司盈利改善的证据。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跟踪利润率、投资、就业、融资成本、应收和现金流；若营收增长但利润或现金流转弱，质量判断应下调。</w:t>
      </w:r>
    </w:p>
    <w:bookmarkEnd w:id="25"/>
    <w:bookmarkStart w:id="26" w:name="Xeda97ea2ce6a6c9af38b0340c2575b21ea11f94"/>
    <w:p>
      <w:pPr>
        <w:pStyle w:val="Heading3"/>
      </w:pPr>
      <w:r>
        <w:t xml:space="preserve">14.4 </w:t>
      </w:r>
      <w:r>
        <w:rPr>
          <w:rFonts w:hint="eastAsia"/>
        </w:rPr>
        <w:t xml:space="preserve">国内联播快讯：中消协发布中秋国庆双节消费提示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信号强度：★★☆☆☆｜方向：餐饮合规、绿色消费和消费者权益保护，中性为主｜时效：假期窗口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中消协倡导假日聚餐践行绿色消费和“光盘行动”，餐饮经营者提供小份餐品和打包服务，消费者保存凭证并依法维权。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这是消费行为与权益保护提示，不是刺激消费政策；对餐饮企业强调服务、节约和合规。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小份餐饮、外带包装和规范化连锁服务可能获得边际关注，但直接业绩影响有限。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跟踪假期餐饮客流、客单价、翻台率和投诉；不把消费提示解读为消费补贴。</w:t>
      </w:r>
    </w:p>
    <w:bookmarkEnd w:id="26"/>
    <w:bookmarkStart w:id="27" w:name="Xd2dba20900365b836425f0c9d02b43c3ebdba2b"/>
    <w:p>
      <w:pPr>
        <w:pStyle w:val="Heading3"/>
      </w:pPr>
      <w:r>
        <w:t xml:space="preserve">14.5 </w:t>
      </w:r>
      <w:r>
        <w:rPr>
          <w:rFonts w:hint="eastAsia"/>
        </w:rPr>
        <w:t xml:space="preserve">国内联播快讯：铁路中秋国庆假期运输启动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信号强度：★★★★☆｜方向：铁路客运、出行服务、酒店景区和夜间高铁配套偏利好｜时效：9月23日至10月8日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全国铁路预计发送旅客2.84亿人次，日均开行旅客列车约1.3万列；9月24日起京沪、京广、京哈等高铁干线开行夜间高铁。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假期客流规模和运力安排明确，出行需求处于高峰窗口；但预计客流不是已实现收入。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铁路客运服务、票务、酒店、景区和餐饮可能受益；运输企业利润还取决于票价、运力成本和客流结构。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跟踪实际发送人次、上座率、酒店入住率、景区客流和客单价；若实际客流低于预计或价格竞争加剧，弹性会减弱。</w:t>
      </w:r>
    </w:p>
    <w:bookmarkEnd w:id="27"/>
    <w:bookmarkStart w:id="28" w:name="Xb5f5bb11044b9215bd0f85560d2ea5496704564"/>
    <w:p>
      <w:pPr>
        <w:pStyle w:val="Heading3"/>
      </w:pPr>
      <w:r>
        <w:t xml:space="preserve">14.6 </w:t>
      </w:r>
      <w:r>
        <w:rPr>
          <w:rFonts w:hint="eastAsia"/>
        </w:rPr>
        <w:t xml:space="preserve">国内联播快讯：第五届全球数字贸易博览会举行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信号强度：★★★★☆｜方向：AI应用、数智医疗、智能出行和数字文娱偏利好｜时效：展会期及中长期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数贸会在杭州举行，主题为“在数贸会遇见AI未来”，超过2000家企业参展，展示数智医疗、数智出行、数智文娱等数字贸易技术和方案。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展会把AI与具体服务场景和数字贸易结合，有助于产品展示、客户连接和国际合作，但参展数量不等于签约或收入。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医疗数字化、智能驾驶服务、数字内容、跨境数字服务和AI行业应用可能获得关注；商业价值取决于展后合同、付费客户和合规能力。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跟踪签约金额、客户转化、海外收入、续费、数据合规和毛利；若仅为产品展示，题材热度不可持续。</w:t>
      </w:r>
    </w:p>
    <w:bookmarkEnd w:id="28"/>
    <w:bookmarkStart w:id="29" w:name="X6e4d4dc3f6b38fc769e10b3cc42959aa4490438"/>
    <w:p>
      <w:pPr>
        <w:pStyle w:val="Heading3"/>
      </w:pPr>
      <w:r>
        <w:t xml:space="preserve">14.7 </w:t>
      </w:r>
      <w:r>
        <w:rPr>
          <w:rFonts w:hint="eastAsia"/>
        </w:rPr>
        <w:t xml:space="preserve">国内联播快讯：乡村文旅促消费南方主会场活动启动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信号强度：★★★☆☆｜方向：乡村旅游、县域消费、文旅内容和农村电影放映偏利好｜时效：活动期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活动在浙江湖州启动，包括“乡村新体验媒体观察报告专项调研”“寻找美丽乡村100‘佳’”计划和百部经典电影进农村展映。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该活动以宣传、调研和内容下沉带动乡村文旅消费，未披露消费券、投资额和商业合同。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景区运营、乡村住宿、文旅内容和县域服务可能获得事件性关注；实际收益取决于客流、停留时长和付费转化。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跟踪活动覆盖、客流、住宿率、消费额和运营主体收入；只有曝光没有付费时影响有限。</w:t>
      </w:r>
    </w:p>
    <w:bookmarkEnd w:id="29"/>
    <w:bookmarkStart w:id="30" w:name="X6d1f9a0323650a5c594a0a437e37adbdc071a63"/>
    <w:p>
      <w:pPr>
        <w:pStyle w:val="Heading3"/>
      </w:pPr>
      <w:r>
        <w:t xml:space="preserve">14.8 </w:t>
      </w:r>
      <w:r>
        <w:rPr>
          <w:rFonts w:hint="eastAsia"/>
        </w:rPr>
        <w:t xml:space="preserve">国内联播快讯：《2026年中国农民丰收节晚会》播出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信号强度：★☆☆☆☆｜方向：农业文化传播和媒体内容事件性影响｜时效：当晚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晚会以“丰收开新局</w:t>
      </w:r>
      <w:r>
        <w:t xml:space="preserve"> </w:t>
      </w:r>
      <w:r>
        <w:rPr>
          <w:rFonts w:hint="eastAsia"/>
        </w:rPr>
        <w:t xml:space="preserve">实干促振兴”为主题，串联农田、渔港、牧场和市集，展示农村发展画卷。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这是节庆文化节目，强化丰收和乡村振兴叙事，但没有新增农业政策或产业数据。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对农业品牌和乡村文旅主要是曝光效应，不能单独作为交易依据。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如无后续消费、品牌销售或项目数据，维持低权重。</w:t>
      </w:r>
    </w:p>
    <w:bookmarkEnd w:id="30"/>
    <w:bookmarkStart w:id="31" w:name="X688354fda4938e078f8ba968a7581c1ad56c2ac"/>
    <w:p>
      <w:pPr>
        <w:pStyle w:val="Heading3"/>
      </w:pPr>
      <w:r>
        <w:t xml:space="preserve">15. </w:t>
      </w:r>
      <w:r>
        <w:rPr>
          <w:rFonts w:hint="eastAsia"/>
        </w:rPr>
        <w:t xml:space="preserve">国际社会期待习近平主席访美造福两国、惠及世界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信号强度：★★★★☆｜方向：中美关系稳定预期偏利好风险偏好｜时效：访问前后事件窗口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美国和国际人士期待访问增进互信、扩大共同利益，为中美关系平稳前行和世界发展繁荣注入动力。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这是访问前的积极舆论预期，与头条形成呼应，但“期待”不等于双方已经达成共识。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若正式成果改善贸易和产业政策预期，出口、跨境服务和市场风险偏好可能受益；若未有具体成果，预期交易可能降温。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以正式会谈和政策文件为准，不把国际人士表态写成政府承诺。</w:t>
      </w:r>
    </w:p>
    <w:bookmarkEnd w:id="31"/>
    <w:bookmarkStart w:id="32" w:name="Xadb0e3ee0822c93625a0f7c516103d8bd148642"/>
    <w:p>
      <w:pPr>
        <w:pStyle w:val="Heading3"/>
      </w:pPr>
      <w:r>
        <w:t xml:space="preserve">16.1 </w:t>
      </w:r>
      <w:r>
        <w:rPr>
          <w:rFonts w:hint="eastAsia"/>
        </w:rPr>
        <w:t xml:space="preserve">国际联播快讯：第81届联合国大会一般性辩论开幕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信号强度：★★☆☆☆｜方向：全球治理议题，中性为主｜时效：会议期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本届联大主题为“重建信任，管理变革：一个为所有人带来实效的联合国”；古特雷斯提及和平安全、不平等和气候变化等挑战。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这是多边治理议程，未包含对中国企业的具体项目或规则变化。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气候治理与国际合作方向可长期关注，但本条缺少直接A股催化。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等待具体决议、承诺和资金安排；会议开幕本身保持中性。</w:t>
      </w:r>
    </w:p>
    <w:bookmarkEnd w:id="32"/>
    <w:bookmarkStart w:id="33" w:name="X1d90b2c22570e6842853139950fa32f67fc38dc"/>
    <w:p>
      <w:pPr>
        <w:pStyle w:val="Heading3"/>
      </w:pPr>
      <w:r>
        <w:t xml:space="preserve">16.2 </w:t>
      </w:r>
      <w:r>
        <w:rPr>
          <w:rFonts w:hint="eastAsia"/>
        </w:rPr>
        <w:t xml:space="preserve">国际联播快讯：美伊举行会谈，伊朗提出重开霍尔木兹海峡条件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信号强度：★★★★★｜方向：能源、航运、化工和航空成本高波动｜时效：短期事件窗口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特朗普称美伊官员在纽约举行3小时会谈且“非常顺利”“富有成效”，计划再次会谈。伊朗称通过卡塔尔调解向美方传达重开霍尔木兹海峡的条件，包括停止军事行动、解除海上封锁和全部制裁、归还冻结资产并赔偿损失等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会谈本身是缓和信号，但重开海峡条件涉及军事、制裁、资产和赔偿，门槛很高，不能仅凭“会谈顺利”判断海峡即将恢复正常。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若谈判推动海峡恢复，能源和航运风险溢价可能下降，航空、化工下游和运输成本压力可能缓解；若谈判破裂或冲突升级，油气、航运和防务方向可能获得事件溢价，成本敏感行业承压。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跟踪后续会谈、海峡实际通航、保险和运价、油价、制裁变化及军事行动；严格区分双方表态与独立确认的供应变化。</w:t>
      </w:r>
    </w:p>
    <w:bookmarkEnd w:id="33"/>
    <w:bookmarkStart w:id="34" w:name="Xbcf219677710c02f51dd89970d8839e8697dc1a"/>
    <w:p>
      <w:pPr>
        <w:pStyle w:val="Heading3"/>
      </w:pPr>
      <w:r>
        <w:t xml:space="preserve">16.3 </w:t>
      </w:r>
      <w:r>
        <w:rPr>
          <w:rFonts w:hint="eastAsia"/>
        </w:rPr>
        <w:t xml:space="preserve">国际联播快讯：经合组织上调2026年全球经济增速预期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信号强度：★★★★☆｜方向：全球增长预期和AI投资链边际偏利好｜时效：中期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经合组织将2026年全球经济增速预期由2.8%上调至2.9%；报告认为中东局势造成冲击、上半年增长放缓，但多国经济有韧性，AI活跃带动投资、生产和贸易增长。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上调幅度为0.1个百分点，代表全球增长预期小幅改善，而非强劲复苏；AI被明确列为投资、生产和贸易的支撑因素。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出口链、AI基础设施和全球资本开支相关方向可能边际受益，但中东风险仍可能通过能源和运输成本抵消部分改善。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跟踪全球制造业、贸易、AI资本开支、油价和后续预测修订；不能把0.1个百分点上调解释为全面景气反转。</w:t>
      </w:r>
    </w:p>
    <w:bookmarkEnd w:id="34"/>
    <w:bookmarkStart w:id="35" w:name="X4db39a57fe637ae5563d9412c71818590e598e7"/>
    <w:p>
      <w:pPr>
        <w:pStyle w:val="Heading3"/>
      </w:pPr>
      <w:r>
        <w:t xml:space="preserve">17. </w:t>
      </w:r>
      <w:r>
        <w:rPr>
          <w:rFonts w:hint="eastAsia"/>
        </w:rPr>
        <w:t xml:space="preserve">二十四节气·秋分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信号强度：★☆☆☆☆｜方向：文化传播和农业季节叙事，中性｜时效：节气当日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报道介绍秋分、中国农民丰收节、秋粮集中收获和冬小麦下种，以及秋分习俗与自然文化意象。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这是节气文化收束，与前文丰收主题呼应，没有新增政策、资金或产业数据。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不构成独立投资催化；农业方向应以前述粮食安全、农田建设、装备和订单验证为准。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维持中性，不把文化节目外推为产业政策。</w:t>
      </w:r>
    </w:p>
    <w:bookmarkEnd w:id="35"/>
    <w:bookmarkEnd w:id="36"/>
    <w:bookmarkStart w:id="37" w:name="三核心政策与市场信号"/>
    <w:p>
      <w:pPr>
        <w:pStyle w:val="Heading2"/>
      </w:pPr>
      <w:r>
        <w:rPr>
          <w:rFonts w:hint="eastAsia"/>
        </w:rPr>
        <w:t xml:space="preserve">三、核心政策与市场信号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中美关系进入元首国事访问事件窗口。</w:t>
      </w:r>
      <w:r>
        <w:t xml:space="preserve"> </w:t>
      </w:r>
      <w:r>
        <w:rPr>
          <w:rFonts w:hint="eastAsia"/>
        </w:rPr>
        <w:t xml:space="preserve">最高层级外交活动有助于改善风险偏好预期，但必须等待正式成果，不能把“访问”和“期待”提前写成协议落地。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技能人才被放在产业升级的人力资本底座位置。</w:t>
      </w:r>
      <w:r>
        <w:t xml:space="preserve"> </w:t>
      </w:r>
      <w:r>
        <w:rPr>
          <w:rFonts w:hint="eastAsia"/>
        </w:rPr>
        <w:t xml:space="preserve">贺信、世界技能大赛、总理致辞和教育“十五五”连续强化职业教育、终身培训、产教融合与实训体系。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新质生产力出现可量化销售数据。</w:t>
      </w:r>
      <w:r>
        <w:t xml:space="preserve"> </w:t>
      </w:r>
      <w:r>
        <w:rPr>
          <w:rFonts w:hint="eastAsia"/>
        </w:rPr>
        <w:t xml:space="preserve">高技术产业增长15.7%，与AI相关的集成电路和智能车载设备分别增长67.7%和38.8%，但仍需上市公司利润与现金流验证。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粮食安全形成“高标准农田＋良种技术装备＋防灾减灾＋烘干储备”的完整链条。</w:t>
      </w:r>
      <w:r>
        <w:t xml:space="preserve"> </w:t>
      </w:r>
      <w:r>
        <w:rPr>
          <w:rFonts w:hint="eastAsia"/>
        </w:rPr>
        <w:t xml:space="preserve">烘干能力、高标准农田覆盖和受灾比例变化给出明确建设成效。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“十五五”养老与教育安排提供五年期需求框架。</w:t>
      </w:r>
      <w:r>
        <w:t xml:space="preserve"> </w:t>
      </w:r>
      <w:r>
        <w:rPr>
          <w:rFonts w:hint="eastAsia"/>
        </w:rPr>
        <w:t xml:space="preserve">养老服务网络、护理床位、高教扩容、现代职教和教师队伍建设具有长期性，同时受公共支付和财政约束。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国内需求与开放线索并行。</w:t>
      </w:r>
      <w:r>
        <w:t xml:space="preserve"> </w:t>
      </w:r>
      <w:r>
        <w:rPr>
          <w:rFonts w:hint="eastAsia"/>
        </w:rPr>
        <w:t xml:space="preserve">熊猫债发行、农产品出口、假期铁路客流、数字贸易展会和乡村文旅分别对应金融开放、出口、服务消费和数字服务。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外部风险仍集中在霍尔木兹海峡。</w:t>
      </w:r>
      <w:r>
        <w:t xml:space="preserve"> </w:t>
      </w:r>
      <w:r>
        <w:rPr>
          <w:rFonts w:hint="eastAsia"/>
        </w:rPr>
        <w:t xml:space="preserve">美伊会谈提供缓和可能，但伊方条件范围广、门槛高，能源和运输风险尚不能视为解除。</w:t>
      </w:r>
    </w:p>
    <w:bookmarkEnd w:id="37"/>
    <w:bookmarkStart w:id="38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职业教育/产教融合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贺信、世界技能大会、教育“十五五”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预算、招生、实训采购、就业、校企合同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工业实训设备/仿真软件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技能培养对接产业需求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订单、交付、利用率、回款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集成电路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数据催化、结构性偏利好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销售收入增长67.7%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收入、毛利、库存、应收、现金流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智能车载设备/汽车电子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数据催化、结构性偏利好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销售收入增长38.8%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出货、单车价值、客户定点、回款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装备制造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稳健偏利好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销售收入增长10.1%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订单、产能利用率、出口、利润率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高标准农田/农田水利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覆盖一半多耕地、防灾能力提升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项目投资、招标、验收、回款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农机/粮食烘干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烘干能力由34.7%升至68.1%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补贴、设备销量、利用率、毛利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种业/农业科技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藏粮于技、单产提升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品种推广、单产、订单、研发成果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养老服务/护理床位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城乡三级网络、护理型床位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床位目标、入住率、支付、人工成本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康复辅具/适老化改造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普惠基本养老服务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补贴、采购、服务覆盖、毛利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教育数字化/智慧校园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教育提质扩容、教师队伍建设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招标、项目验收、续费、回款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能源安全/绿色转型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能源保供与低碳转型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正式规划、投资、装机、利用小时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熊猫债/债券服务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发行2139.8亿元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承销份额、费率、托管规模、信用风险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农产品出口/冷链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出口4920.3亿元、增长4.2%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分品类量价、运费、汇率、毛利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铁路出行/酒店景区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假期窗口偏利好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预计2.84亿人次、夜间高铁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实际客流、上座率、入住率、客单价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AI行业应用/数字贸易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数贸会、2000余家企业、三类场景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签约、客户转化、海外收入、续费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乡村旅游/县域消费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乡村文旅促消费活动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客流、住宿率、消费额、运营收入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体育消费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亚运多项目夺金</w:t>
            </w:r>
          </w:p>
        </w:tc>
        <w:tc>
          <w:tcPr/>
          <w:p>
            <w:pPr>
              <w:pStyle w:val="Compact"/>
            </w:pPr>
            <w:r>
              <w:t xml:space="preserve">★★☆☆☆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销量、流量、赞助、版权收入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出口链/跨境服务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预期偏利好、高波动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习近平访美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正式成果、关税与科技政策、订单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油气/航运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事件性双向高波动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美伊会谈与海峡条件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通航、油价、运价、保险费率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航空/化工下游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成本风险待缓解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海峡与能源运输不确定性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航油、原料价差、票价、提价能力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全球AI资本开支链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边际偏利好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OECD称AI带动投资生产贸易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海外资本开支、订单、出口、预测修订</w:t>
            </w:r>
          </w:p>
        </w:tc>
      </w:tr>
    </w:tbl>
    <w:bookmarkEnd w:id="38"/>
    <w:bookmarkStart w:id="43" w:name="五明确操作建议"/>
    <w:p>
      <w:pPr>
        <w:pStyle w:val="Heading2"/>
      </w:pPr>
      <w:r>
        <w:rPr>
          <w:rFonts w:hint="eastAsia"/>
        </w:rPr>
        <w:t xml:space="preserve">五、明确操作建议</w:t>
      </w:r>
    </w:p>
    <w:bookmarkStart w:id="39" w:name="X656b59737e1d88bb9c57e51b40c8decd7b12c22"/>
    <w:p>
      <w:pPr>
        <w:pStyle w:val="Heading3"/>
      </w:pPr>
      <w:r>
        <w:t xml:space="preserve">1. </w:t>
      </w:r>
      <w:r>
        <w:rPr>
          <w:rFonts w:hint="eastAsia"/>
        </w:rPr>
        <w:t xml:space="preserve">短线（1—3个交易日）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第一观察线：中美访问成果。</w:t>
      </w:r>
      <w:r>
        <w:t xml:space="preserve"> </w:t>
      </w:r>
      <w:r>
        <w:rPr>
          <w:rFonts w:hint="eastAsia"/>
        </w:rPr>
        <w:t xml:space="preserve">只交易正式公布的经贸、科技、农业、能源或人文交流成果，不根据“期待”追高出口与跨境概念；若没有可验证增量，预期溢价应迅速降级。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第二观察线：集成电路与智能车载设备。</w:t>
      </w:r>
      <w:r>
        <w:t xml:space="preserve"> </w:t>
      </w:r>
      <w:r>
        <w:rPr>
          <w:rFonts w:hint="eastAsia"/>
        </w:rPr>
        <w:t xml:space="preserve">联播给出高增销售数据，优先观察有真实收入、订单、客户和现金流的细分；若板块普遍高开但成交拥挤，等待缩量回踩和再放量确认。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第三观察线：职业教育与实训。</w:t>
      </w:r>
      <w:r>
        <w:t xml:space="preserve"> </w:t>
      </w:r>
      <w:r>
        <w:rPr>
          <w:rFonts w:hint="eastAsia"/>
        </w:rPr>
        <w:t xml:space="preserve">高层信号密集但业绩兑现较慢，只关注已有院校或企业客户、实训设备交付和回款的方向，不追纯赛事标签。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第四观察线：农机与粮食烘干。</w:t>
      </w:r>
      <w:r>
        <w:t xml:space="preserve"> </w:t>
      </w:r>
      <w:r>
        <w:rPr>
          <w:rFonts w:hint="eastAsia"/>
        </w:rPr>
        <w:t xml:space="preserve">场景与政策链完整，关注秋收需求、补贴和设备销量；产量丰收不等于所有农业公司利润同步上升。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  <w:b/>
          <w:bCs/>
        </w:rPr>
        <w:t xml:space="preserve">风险线：霍尔木兹海峡。</w:t>
      </w:r>
      <w:r>
        <w:t xml:space="preserve"> </w:t>
      </w:r>
      <w:r>
        <w:rPr>
          <w:rFonts w:hint="eastAsia"/>
        </w:rPr>
        <w:t xml:space="preserve">“会谈顺利”与“恢复通航”之间仍有距离，油气、航运和防务只做事实确认后的右侧交易，航空和化工下游关注成本变化。</w:t>
      </w:r>
    </w:p>
    <w:bookmarkEnd w:id="39"/>
    <w:bookmarkStart w:id="40" w:name="X6b6e6b9565136137c3f1be5b45996378ac97476"/>
    <w:p>
      <w:pPr>
        <w:pStyle w:val="Heading3"/>
      </w:pPr>
      <w:r>
        <w:t xml:space="preserve">2. </w:t>
      </w:r>
      <w:r>
        <w:rPr>
          <w:rFonts w:hint="eastAsia"/>
        </w:rPr>
        <w:t xml:space="preserve">中线（1—4周及更长）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第一梯队：</w:t>
      </w:r>
      <w:r>
        <w:t xml:space="preserve"> </w:t>
      </w:r>
      <w:r>
        <w:rPr>
          <w:rFonts w:hint="eastAsia"/>
        </w:rPr>
        <w:t xml:space="preserve">集成电路、智能车载设备、装备制造。验证链为“行业销售增长—公司订单—收入—毛利—库存与应收—经营现金流”。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第二梯队：</w:t>
      </w:r>
      <w:r>
        <w:t xml:space="preserve"> </w:t>
      </w:r>
      <w:r>
        <w:rPr>
          <w:rFonts w:hint="eastAsia"/>
        </w:rPr>
        <w:t xml:space="preserve">职业教育、工业实训、终身培训和产教融合。验证链为“规划—预算—院校或企业采购—交付—就业或培训效果—回款”。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第三梯队：</w:t>
      </w:r>
      <w:r>
        <w:t xml:space="preserve"> </w:t>
      </w:r>
      <w:r>
        <w:rPr>
          <w:rFonts w:hint="eastAsia"/>
        </w:rPr>
        <w:t xml:space="preserve">高标准农田、农机、烘干、种业和农业科技。验证链为“财政与补贴—项目/销量—单产或减灾效果—利润—现金流”。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第四梯队：</w:t>
      </w:r>
      <w:r>
        <w:t xml:space="preserve"> </w:t>
      </w:r>
      <w:r>
        <w:rPr>
          <w:rFonts w:hint="eastAsia"/>
        </w:rPr>
        <w:t xml:space="preserve">养老服务、护理床位、康复辅具和适老化改造。验证链为“建设目标—支付机制—床位投运—入住率—人力成本—现金流”。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长期观察：</w:t>
      </w:r>
      <w:r>
        <w:t xml:space="preserve"> </w:t>
      </w:r>
      <w:r>
        <w:rPr>
          <w:rFonts w:hint="eastAsia"/>
        </w:rPr>
        <w:t xml:space="preserve">教育提质扩容、数字贸易和人民币债券国际化。政策空间明确，但商业回报仍取决于公共支付、客户付费、跨境合规和服务费率。</w:t>
      </w:r>
    </w:p>
    <w:bookmarkEnd w:id="40"/>
    <w:bookmarkStart w:id="41" w:name="X98973523b7f3924365fb0f5906b772f457b7e3e"/>
    <w:p>
      <w:pPr>
        <w:pStyle w:val="Heading3"/>
      </w:pPr>
      <w:r>
        <w:t xml:space="preserve">3. </w:t>
      </w:r>
      <w:r>
        <w:rPr>
          <w:rFonts w:hint="eastAsia"/>
        </w:rPr>
        <w:t xml:space="preserve">仓位与行为纪律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总体判断：</w:t>
      </w:r>
      <w:r>
        <w:t xml:space="preserve"> </w:t>
      </w:r>
      <w:r>
        <w:rPr>
          <w:rFonts w:hint="eastAsia"/>
        </w:rPr>
        <w:t xml:space="preserve">国内结构性信号积极，但本稿未使用指数、成交额、估值和资金流，不能仅凭联播决定指数方向或满仓交易。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右侧条件：</w:t>
      </w:r>
      <w:r>
        <w:t xml:space="preserve"> </w:t>
      </w:r>
      <w:r>
        <w:rPr>
          <w:rFonts w:hint="eastAsia"/>
        </w:rPr>
        <w:t xml:space="preserve">只参与趋势已经形成、缩量回踩不破关键结构且再次放量确认的方向；题材因高层活动、增长数字或展会规模一致高开时，先看承接和兑现证据。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仓位纪律：</w:t>
      </w:r>
      <w:r>
        <w:t xml:space="preserve"> </w:t>
      </w:r>
      <w:r>
        <w:rPr>
          <w:rFonts w:hint="eastAsia"/>
        </w:rPr>
        <w:t xml:space="preserve">观察仓约三成；政策、订单、业绩和量价共同确认后再提高到六至七成，保留机动资金；趋势破位或事实被证伪时止损。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行为风险：</w:t>
      </w:r>
      <w:r>
        <w:t xml:space="preserve"> </w:t>
      </w:r>
      <w:r>
        <w:rPr>
          <w:rFonts w:hint="eastAsia"/>
        </w:rPr>
        <w:t xml:space="preserve">警惕67.7%、38.8%、15.7%、1.4万亿斤、68.1%、2.7亿人、2139.8亿元、2.84亿人次和2000余家企业等醒目数字引发锚定、FOMO、羊群和确认偏误。这些数字分别属于行业销售、粮食产能、受教育人口、债券发行、预计客流和参展规模，不是个股利润指标。</w:t>
      </w:r>
    </w:p>
    <w:bookmarkEnd w:id="41"/>
    <w:bookmarkStart w:id="42" w:name="Xd1934e71c6240136a33ffbf643345d1116b17b8"/>
    <w:p>
      <w:pPr>
        <w:pStyle w:val="Heading3"/>
      </w:pPr>
      <w:r>
        <w:t xml:space="preserve">4. </w:t>
      </w:r>
      <w:r>
        <w:rPr>
          <w:rFonts w:hint="eastAsia"/>
        </w:rPr>
        <w:t xml:space="preserve">后续验证清单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习近平访美的正式会谈成果及经贸、科技、农业和能源政策变化。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世界技能创新中心的建设方案、预算、参与机构和项目。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职业教育、高等教育扩容、实训基地和教师培训的资金与招标。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集成电路销售高增对应的产品结构、库存、价格、订单和现金流。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智能车载设备销售增长对应的客户定点、出货、单车价值和毛利。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高标准农田、灌排与防灾项目的投资、招标、验收和回款。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移动式烘干机和其他应急农机的补贴、销量、利用率和售后。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良种、集成增产技术和农业装备对单产提升的实际贡献。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养老三级网络、护理型床位、农村养老的建设目标和支付机制。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养老机构入住率、护理人员成本、政府购买服务和经营现金流。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熊猫债发行主体、承销份额、费率和信用风险。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蔬菜食用菌、水产品、干鲜瓜果和坚果的出口量价、运费与汇率。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假期铁路实际发送人次、夜间高铁上座率、酒店和景区客流。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数贸会的真实签约、客户转化、海外收入和数据合规。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乡村文旅活动的客流、停留时长、住宿率和付费转化。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美伊后续会谈、霍尔木兹海峡实际通航、油价、运价和保险费率。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OECD后续全球增长预测、AI资本开支、贸易和中东风险变化。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反腐与作风整治对国企费用、项目审批和“政绩工程”整改的影响。</w:t>
      </w:r>
    </w:p>
    <w:bookmarkEnd w:id="42"/>
    <w:bookmarkEnd w:id="43"/>
    <w:bookmarkStart w:id="44" w:name="六事实核验与完整性结论"/>
    <w:p>
      <w:pPr>
        <w:pStyle w:val="Heading2"/>
      </w:pPr>
      <w:r>
        <w:rPr>
          <w:rFonts w:hint="eastAsia"/>
        </w:rPr>
        <w:t xml:space="preserve">六、事实核验与完整性结论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稿源核验：</w:t>
      </w:r>
      <w:r>
        <w:t xml:space="preserve"> </w:t>
      </w:r>
      <w:r>
        <w:rPr>
          <w:rFonts w:hint="eastAsia"/>
        </w:rPr>
        <w:t xml:space="preserve">只使用用户指定的2026年9月23日存档；文件标题日期为20260923，包含“新闻摘要”“详细新闻”、逐条央视链接和央视日页来源。本报告没有使用外部新闻稿、行情、上市公司公告或第三方预测补充联播事实。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标题计数核验：</w:t>
      </w:r>
      <w:r>
        <w:t xml:space="preserve"> </w:t>
      </w:r>
      <w:r>
        <w:rPr>
          <w:rFonts w:hint="eastAsia"/>
        </w:rPr>
        <w:t xml:space="preserve">指定文件共有17个三级标题，其中“国内联播快讯”和“国际联播快讯”为2个合集标题；其余15个为独立标题。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事实单元计数核验：</w:t>
      </w:r>
      <w:r>
        <w:t xml:space="preserve"> </w:t>
      </w:r>
      <w:r>
        <w:rPr>
          <w:rFonts w:hint="eastAsia"/>
        </w:rPr>
        <w:t xml:space="preserve">国内联播快讯包含8个子项，国际联播快讯包含3个子项，拆分后总事实单元为</w:t>
      </w:r>
      <w:r>
        <w:rPr>
          <w:rStyle w:val="VerbatimChar"/>
          <w:rFonts w:hint="eastAsia"/>
        </w:rPr>
        <w:t xml:space="preserve">15＋8＋3＝26</w:t>
      </w:r>
      <w:r>
        <w:rPr>
          <w:rFonts w:hint="eastAsia"/>
        </w:rPr>
        <w:t xml:space="preserve">个。本文按源文件顺序覆盖全部17个标题、26个事实单元。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国内快讯核验：</w:t>
      </w:r>
      <w:r>
        <w:t xml:space="preserve"> </w:t>
      </w:r>
      <w:r>
        <w:rPr>
          <w:rFonts w:hint="eastAsia"/>
        </w:rPr>
        <w:t xml:space="preserve">熊猫债、农产品出口、民企500强、中消协提示、铁路假期运输、数字贸易博览会、乡村文旅促消费、丰收节晚会8项均已独立分析。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国际快讯核验：</w:t>
      </w:r>
      <w:r>
        <w:t xml:space="preserve"> </w:t>
      </w:r>
      <w:r>
        <w:rPr>
          <w:rFonts w:hint="eastAsia"/>
        </w:rPr>
        <w:t xml:space="preserve">联大一般性辩论、美伊会谈与海峡条件、OECD上调全球增速预期3项均已独立分析，并保留各方表态的来源属性。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关键数字核验：</w:t>
      </w:r>
      <w:r>
        <w:t xml:space="preserve"> </w:t>
      </w:r>
      <w:r>
        <w:rPr>
          <w:rFonts w:hint="eastAsia"/>
        </w:rPr>
        <w:t xml:space="preserve">秋粮播种面积占四分之三、高标准农田覆盖一半多耕地、受灾比例由16.6%降至约7%、烘干能力由34.7%升至68.1%、粮食产量1.4万亿斤以上、夏粮突破3000亿斤、早稻560亿斤以上；高教人口2.7亿；工业销售增长7.3%、装备制造10.1%、高技术产业15.7%、集成电路67.7%、智能车载设备38.8%；熊猫债2139.8亿元、农产品出口4920.3亿元和4.2%、民企500强44.93万亿元和4.35%、铁路预计2.84亿人次与约1.3万列、数贸会超2000家企业；OECD由2.8%上调至2.9%，均与原文逐项对照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事实边界核验：</w:t>
      </w:r>
      <w:r>
        <w:t xml:space="preserve"> </w:t>
      </w:r>
      <w:r>
        <w:rPr>
          <w:rFonts w:hint="eastAsia"/>
        </w:rPr>
        <w:t xml:space="preserve">访问未写成协议达成；外交人士“期待”未写成政府承诺；行业销售增长未写成上市公司利润增长；预计铁路客流未写成已实现客流；展会参展规模未写成签约规模；美伊双方表态未写成海峡已重开；OECD上调0.1个百分点未写成全球经济强劲复苏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产业映射核验：</w:t>
      </w:r>
      <w:r>
        <w:t xml:space="preserve"> </w:t>
      </w:r>
      <w:r>
        <w:rPr>
          <w:rFonts w:hint="eastAsia"/>
        </w:rPr>
        <w:t xml:space="preserve">所有板块方向均作为条件性推演，并配套政策、预算、项目、客户、订单、交付、价格、毛利、库存、应收、现金流或实际运行等验证指标；没有列出具体股票或给出收益承诺。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摘要隔离核验：</w:t>
      </w:r>
      <w:r>
        <w:t xml:space="preserve"> </w:t>
      </w:r>
      <w:r>
        <w:rPr>
          <w:rFonts w:hint="eastAsia"/>
        </w:rPr>
        <w:t xml:space="preserve">正文只保留完整分析，不嵌入投递摘要、任务内部摘要标记或投递提示；独立摘要由指定的summary.txt承载。</w:t>
      </w:r>
    </w:p>
    <w:bookmarkEnd w:id="44"/>
    <w:bookmarkStart w:id="45" w:name="七结论"/>
    <w:p>
      <w:pPr>
        <w:pStyle w:val="Heading2"/>
      </w:pPr>
      <w:r>
        <w:rPr>
          <w:rFonts w:hint="eastAsia"/>
        </w:rPr>
        <w:t xml:space="preserve">七、结论</w:t>
      </w:r>
    </w:p>
    <w:p>
      <w:pPr>
        <w:pStyle w:val="FirstParagraph"/>
      </w:pPr>
      <w:r>
        <w:rPr>
          <w:rFonts w:hint="eastAsia"/>
        </w:rPr>
        <w:t xml:space="preserve">2026年9月23日联播对A股最重要的信号，首先是中美关系进入元首国事访问窗口，风险偏好可能改善但必须等待正式成果；其次是技能人才和现代职业教育获得连续高规格强化，从青年技能成才延伸到产业技能融合、终身培训、世界技能创新中心和教育“十五五”规划；第三是新质生产力出现量化销售支撑，集成电路和智能车载设备显著快于工业整体，但最终要落到上市公司的利润质量和现金流。粮食安全则形成高标准农田、农业科技、应急农机和烘干储备的完整长期链条，养老服务网络与护理床位构成“十五五”民生增量。执行上坚持右侧确认，把外交访问、规划目标、赛事展会和行业数字逐级还原为正式文件、预算、订单、交付、利润、现金流和量价趋势；霍尔木兹海峡风险未被事实解除，所有事件交易都应避免追高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本报告仅依据指定的2026年9月23日《新闻联播》存档原文进行事实整理和条件性A股推演，不构成投资建议。</w:t>
      </w:r>
    </w:p>
    <w:p>
      <w:pPr>
        <w:pStyle w:val="BodyText"/>
      </w:pPr>
      <w:r>
        <w:rPr>
          <w:rFonts w:hint="eastAsia"/>
        </w:rPr>
        <w:t xml:space="preserve">分析和写稿模型：GPT-5.6</w:t>
      </w:r>
      <w:r>
        <w:t xml:space="preserve"> Sol (openai-codex)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2026-09-23T12:39:33Z</dcterms:created>
  <dcterms:modified xsi:type="dcterms:W3CDTF">2026-09-23T12:39:33Z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